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B9846" w14:textId="026460BA" w:rsidR="005C54CB" w:rsidRDefault="004F5F15" w:rsidP="004F5F15">
      <w:pPr>
        <w:pStyle w:val="Pagedecouverture"/>
        <w:rPr>
          <w:noProof/>
        </w:rPr>
      </w:pPr>
      <w:bookmarkStart w:id="0" w:name="LW_BM_COVERPAGE"/>
      <w:r>
        <w:rPr>
          <w:noProof/>
        </w:rPr>
        <w:pict w14:anchorId="2AA12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B6D13E8-EA29-4CCB-9937-5AFE155C039B" style="width:455.25pt;height:414.75pt">
            <v:imagedata r:id="rId11" o:title=""/>
          </v:shape>
        </w:pict>
      </w:r>
    </w:p>
    <w:bookmarkEnd w:id="0"/>
    <w:p w14:paraId="44D77F81" w14:textId="7CD14BCA" w:rsidR="00517DBD" w:rsidRPr="00517DBD" w:rsidRDefault="00517DBD" w:rsidP="00517DBD">
      <w:pPr>
        <w:pStyle w:val="Pagedecouverture"/>
        <w:rPr>
          <w:noProof/>
        </w:rPr>
        <w:sectPr w:rsidR="00517DBD" w:rsidRPr="00517DBD" w:rsidSect="004F5F1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5E48901" w14:textId="77777777" w:rsidR="00984DF3" w:rsidRDefault="00984DF3" w:rsidP="00AE2C50">
      <w:pPr>
        <w:pStyle w:val="TOCHeading"/>
        <w:numPr>
          <w:ilvl w:val="0"/>
          <w:numId w:val="0"/>
        </w:numPr>
        <w:rPr>
          <w:rFonts w:ascii="Calibri" w:hAnsi="Calibri" w:cs="Calibri"/>
          <w:noProof/>
          <w:sz w:val="22"/>
          <w:szCs w:val="22"/>
          <w:lang w:val="en-GB"/>
        </w:rPr>
      </w:pPr>
      <w:bookmarkStart w:id="1" w:name="_GoBack"/>
      <w:bookmarkEnd w:id="1"/>
    </w:p>
    <w:p w14:paraId="088E252D" w14:textId="1BF395BD" w:rsidR="00984DF3" w:rsidRDefault="002A3D65">
      <w:pPr>
        <w:spacing w:before="0" w:after="160"/>
        <w:jc w:val="left"/>
        <w:rPr>
          <w:rFonts w:eastAsiaTheme="majorEastAsia" w:cs="Calibri"/>
          <w:bCs/>
          <w:noProof/>
          <w:color w:val="0F4761" w:themeColor="accent1" w:themeShade="BF"/>
          <w:sz w:val="22"/>
          <w:szCs w:val="22"/>
          <w:lang w:eastAsia="en-US"/>
        </w:rPr>
      </w:pPr>
      <w:r w:rsidRPr="00417E18">
        <w:rPr>
          <w:noProof/>
          <w:lang w:eastAsia="en-GB"/>
        </w:rPr>
        <mc:AlternateContent>
          <mc:Choice Requires="wps">
            <w:drawing>
              <wp:anchor distT="0" distB="0" distL="114300" distR="114300" simplePos="0" relativeHeight="251658240" behindDoc="0" locked="0" layoutInCell="1" allowOverlap="1" wp14:anchorId="2780D92B" wp14:editId="57DA2E26">
                <wp:simplePos x="0" y="0"/>
                <wp:positionH relativeFrom="margin">
                  <wp:align>left</wp:align>
                </wp:positionH>
                <wp:positionV relativeFrom="paragraph">
                  <wp:posOffset>2324100</wp:posOffset>
                </wp:positionV>
                <wp:extent cx="6296025" cy="2543175"/>
                <wp:effectExtent l="0" t="0" r="0" b="0"/>
                <wp:wrapThrough wrapText="bothSides">
                  <wp:wrapPolygon edited="0">
                    <wp:start x="196" y="0"/>
                    <wp:lineTo x="196" y="21357"/>
                    <wp:lineTo x="21371" y="21357"/>
                    <wp:lineTo x="21371" y="0"/>
                    <wp:lineTo x="196" y="0"/>
                  </wp:wrapPolygon>
                </wp:wrapThrough>
                <wp:docPr id="2045630113" name="Zone de texte 7"/>
                <wp:cNvGraphicFramePr/>
                <a:graphic xmlns:a="http://schemas.openxmlformats.org/drawingml/2006/main">
                  <a:graphicData uri="http://schemas.microsoft.com/office/word/2010/wordprocessingShape">
                    <wps:wsp>
                      <wps:cNvSpPr txBox="1"/>
                      <wps:spPr>
                        <a:xfrm>
                          <a:off x="0" y="0"/>
                          <a:ext cx="6296025" cy="2543175"/>
                        </a:xfrm>
                        <a:prstGeom prst="rect">
                          <a:avLst/>
                        </a:prstGeom>
                        <a:noFill/>
                        <a:ln w="6350">
                          <a:noFill/>
                        </a:ln>
                      </wps:spPr>
                      <wps:txbx>
                        <w:txbxContent>
                          <w:p w14:paraId="31E94487" w14:textId="77777777" w:rsidR="000023E3" w:rsidRDefault="00DC7E96" w:rsidP="000023E3">
                            <w:pPr>
                              <w:spacing w:line="240" w:lineRule="auto"/>
                              <w:rPr>
                                <w:b/>
                                <w:color w:val="FFFFFF" w:themeColor="background1"/>
                                <w:sz w:val="72"/>
                                <w:szCs w:val="72"/>
                              </w:rPr>
                            </w:pPr>
                            <w:r w:rsidRPr="00C063F8">
                              <w:rPr>
                                <w:b/>
                                <w:color w:val="FFFFFF" w:themeColor="background1"/>
                                <w:sz w:val="72"/>
                                <w:szCs w:val="72"/>
                              </w:rPr>
                              <w:t xml:space="preserve">State of </w:t>
                            </w:r>
                            <w:r w:rsidR="000023E3" w:rsidRPr="00C063F8">
                              <w:rPr>
                                <w:b/>
                                <w:color w:val="FFFFFF" w:themeColor="background1"/>
                                <w:sz w:val="72"/>
                                <w:szCs w:val="72"/>
                              </w:rPr>
                              <w:t xml:space="preserve">the Digital </w:t>
                            </w:r>
                          </w:p>
                          <w:p w14:paraId="5CF6BCE4" w14:textId="77777777" w:rsidR="000023E3" w:rsidRDefault="000023E3" w:rsidP="000023E3">
                            <w:pPr>
                              <w:spacing w:line="240" w:lineRule="auto"/>
                              <w:rPr>
                                <w:b/>
                                <w:color w:val="FFFFFF" w:themeColor="background1"/>
                                <w:sz w:val="72"/>
                                <w:szCs w:val="72"/>
                              </w:rPr>
                            </w:pPr>
                            <w:r w:rsidRPr="00C063F8">
                              <w:rPr>
                                <w:b/>
                                <w:color w:val="FFFFFF" w:themeColor="background1"/>
                                <w:sz w:val="72"/>
                                <w:szCs w:val="72"/>
                              </w:rPr>
                              <w:t>Decade 2026:</w:t>
                            </w:r>
                            <w:r>
                              <w:rPr>
                                <w:b/>
                                <w:color w:val="FFFFFF" w:themeColor="background1"/>
                                <w:sz w:val="72"/>
                                <w:szCs w:val="72"/>
                              </w:rPr>
                              <w:t xml:space="preserve"> </w:t>
                            </w:r>
                          </w:p>
                          <w:p w14:paraId="5D9C93B4" w14:textId="69162D8B" w:rsidR="002A3D65" w:rsidRPr="000023E3" w:rsidRDefault="00DC7E96" w:rsidP="005D6B90">
                            <w:pPr>
                              <w:spacing w:line="640" w:lineRule="exact"/>
                              <w:jc w:val="left"/>
                              <w:rPr>
                                <w:color w:val="FFFF00"/>
                                <w:sz w:val="56"/>
                                <w:szCs w:val="56"/>
                              </w:rPr>
                            </w:pPr>
                            <w:r w:rsidRPr="000023E3">
                              <w:rPr>
                                <w:color w:val="FFFF00"/>
                                <w:sz w:val="56"/>
                                <w:szCs w:val="56"/>
                              </w:rPr>
                              <w:t>State of EU digital transformation in 2026</w:t>
                            </w:r>
                            <w:r w:rsidR="00503E85" w:rsidRPr="00503E85">
                              <w:rPr>
                                <w:i/>
                                <w:iCs/>
                                <w:color w:val="FFFF00"/>
                                <w:sz w:val="56"/>
                                <w:szCs w:val="56"/>
                              </w:rPr>
                              <w:t xml:space="preserve"> P</w:t>
                            </w:r>
                            <w:r w:rsidRPr="00503E85">
                              <w:rPr>
                                <w:i/>
                                <w:iCs/>
                                <w:color w:val="FFFF00"/>
                                <w:sz w:val="56"/>
                                <w:szCs w:val="56"/>
                              </w:rPr>
                              <w:t>rogress</w:t>
                            </w:r>
                            <w:r w:rsidRPr="00503E85">
                              <w:rPr>
                                <w:i/>
                                <w:color w:val="FFFF00"/>
                                <w:sz w:val="56"/>
                                <w:szCs w:val="56"/>
                              </w:rPr>
                              <w:t xml:space="preserve"> and EU-level </w:t>
                            </w:r>
                            <w:r w:rsidRPr="00503E85">
                              <w:rPr>
                                <w:i/>
                                <w:iCs/>
                                <w:color w:val="FFFF00"/>
                                <w:sz w:val="56"/>
                                <w:szCs w:val="56"/>
                              </w:rPr>
                              <w:t>recommendations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0D92B" id="_x0000_t202" coordsize="21600,21600" o:spt="202" path="m,l,21600r21600,l21600,xe">
                <v:stroke joinstyle="miter"/>
                <v:path gradientshapeok="t" o:connecttype="rect"/>
              </v:shapetype>
              <v:shape id="Zone de texte 7" o:spid="_x0000_s1026" type="#_x0000_t202" style="position:absolute;margin-left:0;margin-top:183pt;width:495.75pt;height:200.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09PAIAAGAEAAAOAAAAZHJzL2Uyb0RvYy54bWysVE1v2zAMvQ/YfxB0X/yROF2NOEXWIsOA&#10;oC2QDgV2U2Q5NiCLmqTEzn79KNlJg26nYReZIilSfO/Ji7u+leQojG1AFTSZxJQIxaFs1L6g31/W&#10;nz5TYh1TJZOgREFPwtK75ccPi07nIoUaZCkMwSLK5p0uaO2czqPI8lq0zE5AC4XBCkzLHG7NPioN&#10;67B6K6M0judRB6bUBriwFr0PQ5AuQ/2qEtw9VZUVjsiC4t1cWE1Yd36NlguW7w3TdcPHa7B/uEXL&#10;GoVNL6UemGPkYJo/SrUNN2ChchMObQRV1XARZsBpkvjdNNuaaRFmQXCsvsBk/19Z/nh8NqQpC5rG&#10;s2w+jZNkSoliLXL1AxkjpSBO9E6QG49Vp22OR7YaD7n+C/TI+dlv0ekh6CvT+i8ORzCOqJ8uSGMl&#10;wtE5T2/ncZpRwjGWZrNpcpP5OtHbcW2s+yqgJd4oqEEqA8LsuLFuSD2n+G4K1o2UgU6pSIctplkc&#10;DlwiWFwq7OGHGC7rLdfv+nGyHZQnHMzAIBOr+brB5htm3TMzqAucBbXunnCpJGATGC1KajC//ub3&#10;+UgXRinpUGcFtT8PzAhK5DeFRN4ms5kXZtjMspsUN+Y6sruOqEN7DyjlBF+V5sH0+U6ezcpA+4pP&#10;YuW7Yogpjr0L6s7mvRvUj0+Ki9UqJKEUNXMbtdXcl/Zwemhf+ldm9Ii/F8EjnBXJ8nc0DLkDEauD&#10;g6oJHHmAB1RH3FHGgeXxyfl3cr0PWW8/huVvAAAA//8DAFBLAwQUAAYACAAAACEAzmclreAAAAAI&#10;AQAADwAAAGRycy9kb3ducmV2LnhtbEyPT0vDQBDF74LfYRnBm920ktjGTEoJFEH00NqLt0l2mgT3&#10;T8xu2+indz3p7Q1veO/3ivVktDjz6HtnEeazBATbxqnetgiHt+3dEoQPZBVpZxnhiz2sy+urgnLl&#10;LnbH531oRQyxPieELoQhl9I3HRvyMzewjd7RjYZCPMdWqpEuMdxouUiSTBrqbWzoaOCq4+ZjfzII&#10;z9X2lXb1wiy/dfX0ctwMn4f3FPH2Zto8ggg8hb9n+MWP6FBGptqdrPJCI8QhAeE+y6KI9mo1T0HU&#10;CA9ZloIsC/l/QPkDAAD//wMAUEsBAi0AFAAGAAgAAAAhALaDOJL+AAAA4QEAABMAAAAAAAAAAAAA&#10;AAAAAAAAAFtDb250ZW50X1R5cGVzXS54bWxQSwECLQAUAAYACAAAACEAOP0h/9YAAACUAQAACwAA&#10;AAAAAAAAAAAAAAAvAQAAX3JlbHMvLnJlbHNQSwECLQAUAAYACAAAACEA8kCdPTwCAABgBAAADgAA&#10;AAAAAAAAAAAAAAAuAgAAZHJzL2Uyb0RvYy54bWxQSwECLQAUAAYACAAAACEAzmclreAAAAAIAQAA&#10;DwAAAAAAAAAAAAAAAACWBAAAZHJzL2Rvd25yZXYueG1sUEsFBgAAAAAEAAQA8wAAAKMFAAAAAA==&#10;" filled="f" stroked="f" strokeweight=".5pt">
                <v:textbox>
                  <w:txbxContent>
                    <w:p w14:paraId="31E94487" w14:textId="77777777" w:rsidR="000023E3" w:rsidRDefault="00DC7E96" w:rsidP="000023E3">
                      <w:pPr>
                        <w:spacing w:line="240" w:lineRule="auto"/>
                        <w:rPr>
                          <w:b/>
                          <w:color w:val="FFFFFF" w:themeColor="background1"/>
                          <w:sz w:val="72"/>
                          <w:szCs w:val="72"/>
                        </w:rPr>
                      </w:pPr>
                      <w:r w:rsidRPr="00C063F8">
                        <w:rPr>
                          <w:b/>
                          <w:color w:val="FFFFFF" w:themeColor="background1"/>
                          <w:sz w:val="72"/>
                          <w:szCs w:val="72"/>
                        </w:rPr>
                        <w:t xml:space="preserve">State of </w:t>
                      </w:r>
                      <w:r w:rsidR="000023E3" w:rsidRPr="00C063F8">
                        <w:rPr>
                          <w:b/>
                          <w:color w:val="FFFFFF" w:themeColor="background1"/>
                          <w:sz w:val="72"/>
                          <w:szCs w:val="72"/>
                        </w:rPr>
                        <w:t xml:space="preserve">the Digital </w:t>
                      </w:r>
                    </w:p>
                    <w:p w14:paraId="5CF6BCE4" w14:textId="77777777" w:rsidR="000023E3" w:rsidRDefault="000023E3" w:rsidP="000023E3">
                      <w:pPr>
                        <w:spacing w:line="240" w:lineRule="auto"/>
                        <w:rPr>
                          <w:b/>
                          <w:color w:val="FFFFFF" w:themeColor="background1"/>
                          <w:sz w:val="72"/>
                          <w:szCs w:val="72"/>
                        </w:rPr>
                      </w:pPr>
                      <w:r w:rsidRPr="00C063F8">
                        <w:rPr>
                          <w:b/>
                          <w:color w:val="FFFFFF" w:themeColor="background1"/>
                          <w:sz w:val="72"/>
                          <w:szCs w:val="72"/>
                        </w:rPr>
                        <w:t>Decade 2026:</w:t>
                      </w:r>
                      <w:r>
                        <w:rPr>
                          <w:b/>
                          <w:color w:val="FFFFFF" w:themeColor="background1"/>
                          <w:sz w:val="72"/>
                          <w:szCs w:val="72"/>
                        </w:rPr>
                        <w:t xml:space="preserve"> </w:t>
                      </w:r>
                    </w:p>
                    <w:p w14:paraId="5D9C93B4" w14:textId="69162D8B" w:rsidR="002A3D65" w:rsidRPr="000023E3" w:rsidRDefault="00DC7E96" w:rsidP="005D6B90">
                      <w:pPr>
                        <w:spacing w:line="640" w:lineRule="exact"/>
                        <w:jc w:val="left"/>
                        <w:rPr>
                          <w:color w:val="FFFF00"/>
                          <w:sz w:val="56"/>
                          <w:szCs w:val="56"/>
                        </w:rPr>
                      </w:pPr>
                      <w:r w:rsidRPr="000023E3">
                        <w:rPr>
                          <w:color w:val="FFFF00"/>
                          <w:sz w:val="56"/>
                          <w:szCs w:val="56"/>
                        </w:rPr>
                        <w:t>State of EU digital transformation in 2026</w:t>
                      </w:r>
                      <w:r w:rsidR="00503E85" w:rsidRPr="00503E85">
                        <w:rPr>
                          <w:i/>
                          <w:iCs/>
                          <w:color w:val="FFFF00"/>
                          <w:sz w:val="56"/>
                          <w:szCs w:val="56"/>
                        </w:rPr>
                        <w:t xml:space="preserve"> P</w:t>
                      </w:r>
                      <w:r w:rsidRPr="00503E85">
                        <w:rPr>
                          <w:i/>
                          <w:iCs/>
                          <w:color w:val="FFFF00"/>
                          <w:sz w:val="56"/>
                          <w:szCs w:val="56"/>
                        </w:rPr>
                        <w:t>rogress</w:t>
                      </w:r>
                      <w:r w:rsidRPr="00503E85">
                        <w:rPr>
                          <w:i/>
                          <w:color w:val="FFFF00"/>
                          <w:sz w:val="56"/>
                          <w:szCs w:val="56"/>
                        </w:rPr>
                        <w:t xml:space="preserve"> and EU-level </w:t>
                      </w:r>
                      <w:r w:rsidRPr="00503E85">
                        <w:rPr>
                          <w:i/>
                          <w:iCs/>
                          <w:color w:val="FFFF00"/>
                          <w:sz w:val="56"/>
                          <w:szCs w:val="56"/>
                        </w:rPr>
                        <w:t>recommendations</w:t>
                      </w:r>
                    </w:p>
                  </w:txbxContent>
                </v:textbox>
                <w10:wrap type="through" anchorx="margin"/>
              </v:shape>
            </w:pict>
          </mc:Fallback>
        </mc:AlternateContent>
      </w:r>
      <w:r w:rsidR="00984DF3">
        <w:rPr>
          <w:rFonts w:cs="Calibri"/>
          <w:noProof/>
          <w:sz w:val="22"/>
          <w:szCs w:val="22"/>
        </w:rPr>
        <w:br w:type="page"/>
      </w:r>
      <w:r w:rsidR="00481CF2">
        <w:rPr>
          <w:rFonts w:cs="Calibri"/>
          <w:noProof/>
          <w:sz w:val="22"/>
          <w:szCs w:val="22"/>
        </w:rPr>
        <w:t xml:space="preserve"> </w:t>
      </w:r>
    </w:p>
    <w:p w14:paraId="419E5B56" w14:textId="4B68A4FC" w:rsidR="00283CC0" w:rsidRPr="00BA741D" w:rsidRDefault="00BA741D" w:rsidP="00BA741D">
      <w:pPr>
        <w:pStyle w:val="TOCHeading"/>
        <w:rPr>
          <w:rFonts w:ascii="Calibri" w:hAnsi="Calibri" w:cs="Calibri"/>
          <w:noProof/>
          <w:sz w:val="22"/>
          <w:szCs w:val="22"/>
          <w:lang w:val="en-GB"/>
        </w:rPr>
      </w:pPr>
      <w:r w:rsidRPr="6E0CA051">
        <w:rPr>
          <w:rFonts w:ascii="Calibri" w:hAnsi="Calibri" w:cs="Calibri"/>
          <w:noProof/>
          <w:sz w:val="22"/>
          <w:szCs w:val="22"/>
          <w:lang w:val="en-GB"/>
        </w:rPr>
        <w:t>Contents</w:t>
      </w:r>
      <w:r w:rsidR="00315352" w:rsidRPr="00417E18">
        <w:rPr>
          <w:noProof/>
        </w:rPr>
        <w:tab/>
      </w:r>
    </w:p>
    <w:sdt>
      <w:sdtPr>
        <w:rPr>
          <w:noProof/>
        </w:rPr>
        <w:id w:val="1999685966"/>
        <w:docPartObj>
          <w:docPartGallery w:val="Table of Contents"/>
          <w:docPartUnique/>
        </w:docPartObj>
      </w:sdtPr>
      <w:sdtEndPr/>
      <w:sdtContent>
        <w:p w14:paraId="1FD75838" w14:textId="76736A1B" w:rsidR="007A60E1" w:rsidRDefault="3B8C0C4F">
          <w:pPr>
            <w:pStyle w:val="TOC1"/>
            <w:tabs>
              <w:tab w:val="left" w:pos="440"/>
              <w:tab w:val="right" w:leader="dot" w:pos="9350"/>
            </w:tabs>
            <w:rPr>
              <w:rFonts w:asciiTheme="minorHAnsi" w:hAnsiTheme="minorHAnsi"/>
              <w:noProof/>
              <w:kern w:val="2"/>
              <w:lang w:val="en-IE" w:eastAsia="en-IE"/>
              <w14:ligatures w14:val="standardContextual"/>
            </w:rPr>
          </w:pPr>
          <w:r w:rsidRPr="00417E18">
            <w:rPr>
              <w:noProof/>
            </w:rPr>
            <w:fldChar w:fldCharType="begin"/>
          </w:r>
          <w:r>
            <w:rPr>
              <w:noProof/>
            </w:rPr>
            <w:instrText>TOC \o "1-3" \z \u \h</w:instrText>
          </w:r>
          <w:r w:rsidRPr="00417E18">
            <w:rPr>
              <w:noProof/>
            </w:rPr>
            <w:fldChar w:fldCharType="separate"/>
          </w:r>
          <w:hyperlink w:anchor="_Toc231830049" w:history="1">
            <w:r w:rsidR="007A60E1" w:rsidRPr="002F5563">
              <w:rPr>
                <w:rStyle w:val="Hyperlink"/>
                <w:noProof/>
              </w:rPr>
              <w:t>1.</w:t>
            </w:r>
            <w:r w:rsidR="007A60E1">
              <w:rPr>
                <w:rFonts w:asciiTheme="minorHAnsi" w:hAnsiTheme="minorHAnsi"/>
                <w:noProof/>
                <w:kern w:val="2"/>
                <w:lang w:val="en-IE" w:eastAsia="en-IE"/>
                <w14:ligatures w14:val="standardContextual"/>
              </w:rPr>
              <w:tab/>
            </w:r>
            <w:r w:rsidR="007A60E1" w:rsidRPr="002F5563">
              <w:rPr>
                <w:rStyle w:val="Hyperlink"/>
                <w:noProof/>
              </w:rPr>
              <w:t>Introduction</w:t>
            </w:r>
            <w:r w:rsidR="007A60E1">
              <w:rPr>
                <w:noProof/>
                <w:webHidden/>
              </w:rPr>
              <w:tab/>
            </w:r>
            <w:r w:rsidR="007A60E1">
              <w:rPr>
                <w:noProof/>
                <w:webHidden/>
              </w:rPr>
              <w:fldChar w:fldCharType="begin"/>
            </w:r>
            <w:r w:rsidR="007A60E1">
              <w:rPr>
                <w:noProof/>
                <w:webHidden/>
              </w:rPr>
              <w:instrText xml:space="preserve"> PAGEREF _Toc231830049 \h </w:instrText>
            </w:r>
            <w:r w:rsidR="007A60E1">
              <w:rPr>
                <w:noProof/>
                <w:webHidden/>
              </w:rPr>
            </w:r>
            <w:r w:rsidR="007A60E1">
              <w:rPr>
                <w:noProof/>
                <w:webHidden/>
              </w:rPr>
              <w:fldChar w:fldCharType="separate"/>
            </w:r>
            <w:r w:rsidR="00896FE2">
              <w:rPr>
                <w:noProof/>
                <w:webHidden/>
              </w:rPr>
              <w:t>3</w:t>
            </w:r>
            <w:r w:rsidR="007A60E1">
              <w:rPr>
                <w:noProof/>
                <w:webHidden/>
              </w:rPr>
              <w:fldChar w:fldCharType="end"/>
            </w:r>
          </w:hyperlink>
        </w:p>
        <w:p w14:paraId="2360197D" w14:textId="389AEF3D" w:rsidR="007A60E1" w:rsidRDefault="004F5F15">
          <w:pPr>
            <w:pStyle w:val="TOC1"/>
            <w:tabs>
              <w:tab w:val="left" w:pos="440"/>
              <w:tab w:val="right" w:leader="dot" w:pos="9350"/>
            </w:tabs>
            <w:rPr>
              <w:rFonts w:asciiTheme="minorHAnsi" w:hAnsiTheme="minorHAnsi"/>
              <w:noProof/>
              <w:kern w:val="2"/>
              <w:lang w:val="en-IE" w:eastAsia="en-IE"/>
              <w14:ligatures w14:val="standardContextual"/>
            </w:rPr>
          </w:pPr>
          <w:hyperlink w:anchor="_Toc231830050" w:history="1">
            <w:r w:rsidR="007A60E1" w:rsidRPr="002F5563">
              <w:rPr>
                <w:rStyle w:val="Hyperlink"/>
                <w:rFonts w:cs="Calibri"/>
                <w:noProof/>
              </w:rPr>
              <w:t>2.</w:t>
            </w:r>
            <w:r w:rsidR="007A60E1">
              <w:rPr>
                <w:rFonts w:asciiTheme="minorHAnsi" w:hAnsiTheme="minorHAnsi"/>
                <w:noProof/>
                <w:kern w:val="2"/>
                <w:lang w:val="en-IE" w:eastAsia="en-IE"/>
                <w14:ligatures w14:val="standardContextual"/>
              </w:rPr>
              <w:tab/>
            </w:r>
            <w:r w:rsidR="007A60E1" w:rsidRPr="002F5563">
              <w:rPr>
                <w:rStyle w:val="Hyperlink"/>
                <w:rFonts w:cs="Calibri"/>
                <w:noProof/>
              </w:rPr>
              <w:t>Reinforcing technological sovereignty, digital leadership, security and competitiveness</w:t>
            </w:r>
            <w:r w:rsidR="007A60E1">
              <w:rPr>
                <w:noProof/>
                <w:webHidden/>
              </w:rPr>
              <w:tab/>
            </w:r>
            <w:r w:rsidR="007A60E1">
              <w:rPr>
                <w:noProof/>
                <w:webHidden/>
              </w:rPr>
              <w:fldChar w:fldCharType="begin"/>
            </w:r>
            <w:r w:rsidR="007A60E1">
              <w:rPr>
                <w:noProof/>
                <w:webHidden/>
              </w:rPr>
              <w:instrText xml:space="preserve"> PAGEREF _Toc231830050 \h </w:instrText>
            </w:r>
            <w:r w:rsidR="007A60E1">
              <w:rPr>
                <w:noProof/>
                <w:webHidden/>
              </w:rPr>
            </w:r>
            <w:r w:rsidR="007A60E1">
              <w:rPr>
                <w:noProof/>
                <w:webHidden/>
              </w:rPr>
              <w:fldChar w:fldCharType="separate"/>
            </w:r>
            <w:r w:rsidR="00896FE2">
              <w:rPr>
                <w:noProof/>
                <w:webHidden/>
              </w:rPr>
              <w:t>8</w:t>
            </w:r>
            <w:r w:rsidR="007A60E1">
              <w:rPr>
                <w:noProof/>
                <w:webHidden/>
              </w:rPr>
              <w:fldChar w:fldCharType="end"/>
            </w:r>
          </w:hyperlink>
        </w:p>
        <w:p w14:paraId="38BE8C47" w14:textId="60D93AA5"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51" w:history="1">
            <w:r w:rsidR="007A60E1" w:rsidRPr="002F5563">
              <w:rPr>
                <w:rStyle w:val="Hyperlink"/>
                <w:noProof/>
              </w:rPr>
              <w:t>2.1.</w:t>
            </w:r>
            <w:r w:rsidR="007A60E1">
              <w:rPr>
                <w:rFonts w:asciiTheme="minorHAnsi" w:hAnsiTheme="minorHAnsi"/>
                <w:noProof/>
                <w:kern w:val="2"/>
                <w:lang w:val="en-IE" w:eastAsia="en-IE"/>
                <w14:ligatures w14:val="standardContextual"/>
              </w:rPr>
              <w:tab/>
            </w:r>
            <w:r w:rsidR="007A60E1" w:rsidRPr="002F5563">
              <w:rPr>
                <w:rStyle w:val="Hyperlink"/>
                <w:noProof/>
              </w:rPr>
              <w:t>Cutting-edge technological capacities</w:t>
            </w:r>
            <w:r w:rsidR="007A60E1">
              <w:rPr>
                <w:noProof/>
                <w:webHidden/>
              </w:rPr>
              <w:tab/>
            </w:r>
            <w:r w:rsidR="007A60E1">
              <w:rPr>
                <w:noProof/>
                <w:webHidden/>
              </w:rPr>
              <w:fldChar w:fldCharType="begin"/>
            </w:r>
            <w:r w:rsidR="007A60E1">
              <w:rPr>
                <w:noProof/>
                <w:webHidden/>
              </w:rPr>
              <w:instrText xml:space="preserve"> PAGEREF _Toc231830051 \h </w:instrText>
            </w:r>
            <w:r w:rsidR="007A60E1">
              <w:rPr>
                <w:noProof/>
                <w:webHidden/>
              </w:rPr>
            </w:r>
            <w:r w:rsidR="007A60E1">
              <w:rPr>
                <w:noProof/>
                <w:webHidden/>
              </w:rPr>
              <w:fldChar w:fldCharType="separate"/>
            </w:r>
            <w:r w:rsidR="00896FE2">
              <w:rPr>
                <w:noProof/>
                <w:webHidden/>
              </w:rPr>
              <w:t>8</w:t>
            </w:r>
            <w:r w:rsidR="007A60E1">
              <w:rPr>
                <w:noProof/>
                <w:webHidden/>
              </w:rPr>
              <w:fldChar w:fldCharType="end"/>
            </w:r>
          </w:hyperlink>
        </w:p>
        <w:p w14:paraId="01185EA8" w14:textId="1E1847F0" w:rsidR="007A60E1" w:rsidRDefault="004F5F15">
          <w:pPr>
            <w:pStyle w:val="TOC3"/>
            <w:tabs>
              <w:tab w:val="right" w:leader="dot" w:pos="9350"/>
            </w:tabs>
            <w:rPr>
              <w:rFonts w:asciiTheme="minorHAnsi" w:hAnsiTheme="minorHAnsi"/>
              <w:noProof/>
              <w:kern w:val="2"/>
              <w:lang w:val="en-IE" w:eastAsia="en-IE"/>
              <w14:ligatures w14:val="standardContextual"/>
            </w:rPr>
          </w:pPr>
          <w:hyperlink w:anchor="_Toc231830052" w:history="1">
            <w:r w:rsidR="007A60E1" w:rsidRPr="002F5563">
              <w:rPr>
                <w:rStyle w:val="Hyperlink"/>
                <w:noProof/>
              </w:rPr>
              <w:t>2.1.1 Semiconductors</w:t>
            </w:r>
            <w:r w:rsidR="007A60E1">
              <w:rPr>
                <w:noProof/>
                <w:webHidden/>
              </w:rPr>
              <w:tab/>
            </w:r>
            <w:r w:rsidR="007A60E1">
              <w:rPr>
                <w:noProof/>
                <w:webHidden/>
              </w:rPr>
              <w:fldChar w:fldCharType="begin"/>
            </w:r>
            <w:r w:rsidR="007A60E1">
              <w:rPr>
                <w:noProof/>
                <w:webHidden/>
              </w:rPr>
              <w:instrText xml:space="preserve"> PAGEREF _Toc231830052 \h </w:instrText>
            </w:r>
            <w:r w:rsidR="007A60E1">
              <w:rPr>
                <w:noProof/>
                <w:webHidden/>
              </w:rPr>
            </w:r>
            <w:r w:rsidR="007A60E1">
              <w:rPr>
                <w:noProof/>
                <w:webHidden/>
              </w:rPr>
              <w:fldChar w:fldCharType="separate"/>
            </w:r>
            <w:r w:rsidR="00896FE2">
              <w:rPr>
                <w:noProof/>
                <w:webHidden/>
              </w:rPr>
              <w:t>9</w:t>
            </w:r>
            <w:r w:rsidR="007A60E1">
              <w:rPr>
                <w:noProof/>
                <w:webHidden/>
              </w:rPr>
              <w:fldChar w:fldCharType="end"/>
            </w:r>
          </w:hyperlink>
        </w:p>
        <w:p w14:paraId="1EF404DC" w14:textId="66AB31E4" w:rsidR="007A60E1" w:rsidRDefault="004F5F15">
          <w:pPr>
            <w:pStyle w:val="TOC3"/>
            <w:tabs>
              <w:tab w:val="right" w:leader="dot" w:pos="9350"/>
            </w:tabs>
            <w:rPr>
              <w:rFonts w:asciiTheme="minorHAnsi" w:hAnsiTheme="minorHAnsi"/>
              <w:noProof/>
              <w:kern w:val="2"/>
              <w:lang w:val="en-IE" w:eastAsia="en-IE"/>
              <w14:ligatures w14:val="standardContextual"/>
            </w:rPr>
          </w:pPr>
          <w:hyperlink w:anchor="_Toc231830053" w:history="1">
            <w:r w:rsidR="007A60E1" w:rsidRPr="002F5563">
              <w:rPr>
                <w:rStyle w:val="Hyperlink"/>
                <w:noProof/>
              </w:rPr>
              <w:t>2.1.2 Quantum</w:t>
            </w:r>
            <w:r w:rsidR="007A60E1">
              <w:rPr>
                <w:noProof/>
                <w:webHidden/>
              </w:rPr>
              <w:tab/>
            </w:r>
            <w:r w:rsidR="007A60E1">
              <w:rPr>
                <w:noProof/>
                <w:webHidden/>
              </w:rPr>
              <w:fldChar w:fldCharType="begin"/>
            </w:r>
            <w:r w:rsidR="007A60E1">
              <w:rPr>
                <w:noProof/>
                <w:webHidden/>
              </w:rPr>
              <w:instrText xml:space="preserve"> PAGEREF _Toc231830053 \h </w:instrText>
            </w:r>
            <w:r w:rsidR="007A60E1">
              <w:rPr>
                <w:noProof/>
                <w:webHidden/>
              </w:rPr>
            </w:r>
            <w:r w:rsidR="007A60E1">
              <w:rPr>
                <w:noProof/>
                <w:webHidden/>
              </w:rPr>
              <w:fldChar w:fldCharType="separate"/>
            </w:r>
            <w:r w:rsidR="00896FE2">
              <w:rPr>
                <w:noProof/>
                <w:webHidden/>
              </w:rPr>
              <w:t>13</w:t>
            </w:r>
            <w:r w:rsidR="007A60E1">
              <w:rPr>
                <w:noProof/>
                <w:webHidden/>
              </w:rPr>
              <w:fldChar w:fldCharType="end"/>
            </w:r>
          </w:hyperlink>
        </w:p>
        <w:p w14:paraId="126B3DBF" w14:textId="30E319DE" w:rsidR="007A60E1" w:rsidRDefault="004F5F15">
          <w:pPr>
            <w:pStyle w:val="TOC3"/>
            <w:tabs>
              <w:tab w:val="right" w:leader="dot" w:pos="9350"/>
            </w:tabs>
            <w:rPr>
              <w:rFonts w:asciiTheme="minorHAnsi" w:hAnsiTheme="minorHAnsi"/>
              <w:noProof/>
              <w:kern w:val="2"/>
              <w:lang w:val="en-IE" w:eastAsia="en-IE"/>
              <w14:ligatures w14:val="standardContextual"/>
            </w:rPr>
          </w:pPr>
          <w:hyperlink w:anchor="_Toc231830054" w:history="1">
            <w:r w:rsidR="007A60E1" w:rsidRPr="002F5563">
              <w:rPr>
                <w:rStyle w:val="Hyperlink"/>
                <w:noProof/>
              </w:rPr>
              <w:t>2.1.3 High-performance computing, AI Factories and AI Gigafactories</w:t>
            </w:r>
            <w:r w:rsidR="007A60E1">
              <w:rPr>
                <w:noProof/>
                <w:webHidden/>
              </w:rPr>
              <w:tab/>
            </w:r>
            <w:r w:rsidR="007A60E1">
              <w:rPr>
                <w:noProof/>
                <w:webHidden/>
              </w:rPr>
              <w:fldChar w:fldCharType="begin"/>
            </w:r>
            <w:r w:rsidR="007A60E1">
              <w:rPr>
                <w:noProof/>
                <w:webHidden/>
              </w:rPr>
              <w:instrText xml:space="preserve"> PAGEREF _Toc231830054 \h </w:instrText>
            </w:r>
            <w:r w:rsidR="007A60E1">
              <w:rPr>
                <w:noProof/>
                <w:webHidden/>
              </w:rPr>
            </w:r>
            <w:r w:rsidR="007A60E1">
              <w:rPr>
                <w:noProof/>
                <w:webHidden/>
              </w:rPr>
              <w:fldChar w:fldCharType="separate"/>
            </w:r>
            <w:r w:rsidR="00896FE2">
              <w:rPr>
                <w:noProof/>
                <w:webHidden/>
              </w:rPr>
              <w:t>16</w:t>
            </w:r>
            <w:r w:rsidR="007A60E1">
              <w:rPr>
                <w:noProof/>
                <w:webHidden/>
              </w:rPr>
              <w:fldChar w:fldCharType="end"/>
            </w:r>
          </w:hyperlink>
        </w:p>
        <w:p w14:paraId="372C94DA" w14:textId="3100636C" w:rsidR="007A60E1" w:rsidRDefault="004F5F15">
          <w:pPr>
            <w:pStyle w:val="TOC3"/>
            <w:tabs>
              <w:tab w:val="right" w:leader="dot" w:pos="9350"/>
            </w:tabs>
            <w:rPr>
              <w:rFonts w:asciiTheme="minorHAnsi" w:hAnsiTheme="minorHAnsi"/>
              <w:noProof/>
              <w:kern w:val="2"/>
              <w:lang w:val="en-IE" w:eastAsia="en-IE"/>
              <w14:ligatures w14:val="standardContextual"/>
            </w:rPr>
          </w:pPr>
          <w:hyperlink w:anchor="_Toc231830055" w:history="1">
            <w:r w:rsidR="007A60E1" w:rsidRPr="002F5563">
              <w:rPr>
                <w:rStyle w:val="Hyperlink"/>
                <w:noProof/>
              </w:rPr>
              <w:t>2.1.4 Edge nodes and computing capacity deployment</w:t>
            </w:r>
            <w:r w:rsidR="007A60E1">
              <w:rPr>
                <w:noProof/>
                <w:webHidden/>
              </w:rPr>
              <w:tab/>
            </w:r>
            <w:r w:rsidR="007A60E1">
              <w:rPr>
                <w:noProof/>
                <w:webHidden/>
              </w:rPr>
              <w:fldChar w:fldCharType="begin"/>
            </w:r>
            <w:r w:rsidR="007A60E1">
              <w:rPr>
                <w:noProof/>
                <w:webHidden/>
              </w:rPr>
              <w:instrText xml:space="preserve"> PAGEREF _Toc231830055 \h </w:instrText>
            </w:r>
            <w:r w:rsidR="007A60E1">
              <w:rPr>
                <w:noProof/>
                <w:webHidden/>
              </w:rPr>
            </w:r>
            <w:r w:rsidR="007A60E1">
              <w:rPr>
                <w:noProof/>
                <w:webHidden/>
              </w:rPr>
              <w:fldChar w:fldCharType="separate"/>
            </w:r>
            <w:r w:rsidR="00896FE2">
              <w:rPr>
                <w:noProof/>
                <w:webHidden/>
              </w:rPr>
              <w:t>17</w:t>
            </w:r>
            <w:r w:rsidR="007A60E1">
              <w:rPr>
                <w:noProof/>
                <w:webHidden/>
              </w:rPr>
              <w:fldChar w:fldCharType="end"/>
            </w:r>
          </w:hyperlink>
        </w:p>
        <w:p w14:paraId="445743D4" w14:textId="48145204"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56" w:history="1">
            <w:r w:rsidR="007A60E1" w:rsidRPr="002F5563">
              <w:rPr>
                <w:rStyle w:val="Hyperlink"/>
                <w:noProof/>
              </w:rPr>
              <w:t>2.2.</w:t>
            </w:r>
            <w:r w:rsidR="007A60E1">
              <w:rPr>
                <w:rFonts w:asciiTheme="minorHAnsi" w:hAnsiTheme="minorHAnsi"/>
                <w:noProof/>
                <w:kern w:val="2"/>
                <w:lang w:val="en-IE" w:eastAsia="en-IE"/>
                <w14:ligatures w14:val="standardContextual"/>
              </w:rPr>
              <w:tab/>
            </w:r>
            <w:r w:rsidR="007A60E1" w:rsidRPr="002F5563">
              <w:rPr>
                <w:rStyle w:val="Hyperlink"/>
                <w:noProof/>
              </w:rPr>
              <w:t>Supporting innovative companies with digital tools and resilient network</w:t>
            </w:r>
            <w:r w:rsidR="007A60E1">
              <w:rPr>
                <w:noProof/>
                <w:webHidden/>
              </w:rPr>
              <w:tab/>
            </w:r>
            <w:r w:rsidR="007A60E1">
              <w:rPr>
                <w:noProof/>
                <w:webHidden/>
              </w:rPr>
              <w:fldChar w:fldCharType="begin"/>
            </w:r>
            <w:r w:rsidR="007A60E1">
              <w:rPr>
                <w:noProof/>
                <w:webHidden/>
              </w:rPr>
              <w:instrText xml:space="preserve"> PAGEREF _Toc231830056 \h </w:instrText>
            </w:r>
            <w:r w:rsidR="007A60E1">
              <w:rPr>
                <w:noProof/>
                <w:webHidden/>
              </w:rPr>
            </w:r>
            <w:r w:rsidR="007A60E1">
              <w:rPr>
                <w:noProof/>
                <w:webHidden/>
              </w:rPr>
              <w:fldChar w:fldCharType="separate"/>
            </w:r>
            <w:r w:rsidR="00896FE2">
              <w:rPr>
                <w:noProof/>
                <w:webHidden/>
              </w:rPr>
              <w:t>24</w:t>
            </w:r>
            <w:r w:rsidR="007A60E1">
              <w:rPr>
                <w:noProof/>
                <w:webHidden/>
              </w:rPr>
              <w:fldChar w:fldCharType="end"/>
            </w:r>
          </w:hyperlink>
        </w:p>
        <w:p w14:paraId="62D1E8E4" w14:textId="44F35719"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57" w:history="1">
            <w:r w:rsidR="007A60E1" w:rsidRPr="002F5563">
              <w:rPr>
                <w:rStyle w:val="Hyperlink"/>
                <w:noProof/>
              </w:rPr>
              <w:t>2.2.1.</w:t>
            </w:r>
            <w:r w:rsidR="007A60E1">
              <w:rPr>
                <w:rFonts w:asciiTheme="minorHAnsi" w:hAnsiTheme="minorHAnsi"/>
                <w:noProof/>
                <w:kern w:val="2"/>
                <w:lang w:val="en-IE" w:eastAsia="en-IE"/>
                <w14:ligatures w14:val="standardContextual"/>
              </w:rPr>
              <w:tab/>
            </w:r>
            <w:r w:rsidR="007A60E1" w:rsidRPr="002F5563">
              <w:rPr>
                <w:rStyle w:val="Hyperlink"/>
                <w:noProof/>
              </w:rPr>
              <w:t>Connectivity</w:t>
            </w:r>
            <w:r w:rsidR="007A60E1">
              <w:rPr>
                <w:noProof/>
                <w:webHidden/>
              </w:rPr>
              <w:tab/>
            </w:r>
            <w:r w:rsidR="007A60E1">
              <w:rPr>
                <w:noProof/>
                <w:webHidden/>
              </w:rPr>
              <w:fldChar w:fldCharType="begin"/>
            </w:r>
            <w:r w:rsidR="007A60E1">
              <w:rPr>
                <w:noProof/>
                <w:webHidden/>
              </w:rPr>
              <w:instrText xml:space="preserve"> PAGEREF _Toc231830057 \h </w:instrText>
            </w:r>
            <w:r w:rsidR="007A60E1">
              <w:rPr>
                <w:noProof/>
                <w:webHidden/>
              </w:rPr>
            </w:r>
            <w:r w:rsidR="007A60E1">
              <w:rPr>
                <w:noProof/>
                <w:webHidden/>
              </w:rPr>
              <w:fldChar w:fldCharType="separate"/>
            </w:r>
            <w:r w:rsidR="00896FE2">
              <w:rPr>
                <w:noProof/>
                <w:webHidden/>
              </w:rPr>
              <w:t>24</w:t>
            </w:r>
            <w:r w:rsidR="007A60E1">
              <w:rPr>
                <w:noProof/>
                <w:webHidden/>
              </w:rPr>
              <w:fldChar w:fldCharType="end"/>
            </w:r>
          </w:hyperlink>
        </w:p>
        <w:p w14:paraId="29E05A9B" w14:textId="7E3B1718"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58" w:history="1">
            <w:r w:rsidR="007A60E1" w:rsidRPr="002F5563">
              <w:rPr>
                <w:rStyle w:val="Hyperlink"/>
                <w:noProof/>
              </w:rPr>
              <w:t>2.2.2.</w:t>
            </w:r>
            <w:r w:rsidR="007A60E1">
              <w:rPr>
                <w:rFonts w:asciiTheme="minorHAnsi" w:hAnsiTheme="minorHAnsi"/>
                <w:noProof/>
                <w:kern w:val="2"/>
                <w:lang w:val="en-IE" w:eastAsia="en-IE"/>
                <w14:ligatures w14:val="standardContextual"/>
              </w:rPr>
              <w:tab/>
            </w:r>
            <w:r w:rsidR="007A60E1" w:rsidRPr="002F5563">
              <w:rPr>
                <w:rStyle w:val="Hyperlink"/>
                <w:noProof/>
              </w:rPr>
              <w:t>Digitalisation of SMEs and uptake of digital technologies by EU enterprises: AI, Cloud and data analytics</w:t>
            </w:r>
            <w:r w:rsidR="007A60E1">
              <w:rPr>
                <w:noProof/>
                <w:webHidden/>
              </w:rPr>
              <w:tab/>
            </w:r>
            <w:r w:rsidR="007A60E1">
              <w:rPr>
                <w:noProof/>
                <w:webHidden/>
              </w:rPr>
              <w:fldChar w:fldCharType="begin"/>
            </w:r>
            <w:r w:rsidR="007A60E1">
              <w:rPr>
                <w:noProof/>
                <w:webHidden/>
              </w:rPr>
              <w:instrText xml:space="preserve"> PAGEREF _Toc231830058 \h </w:instrText>
            </w:r>
            <w:r w:rsidR="007A60E1">
              <w:rPr>
                <w:noProof/>
                <w:webHidden/>
              </w:rPr>
            </w:r>
            <w:r w:rsidR="007A60E1">
              <w:rPr>
                <w:noProof/>
                <w:webHidden/>
              </w:rPr>
              <w:fldChar w:fldCharType="separate"/>
            </w:r>
            <w:r w:rsidR="00896FE2">
              <w:rPr>
                <w:noProof/>
                <w:webHidden/>
              </w:rPr>
              <w:t>38</w:t>
            </w:r>
            <w:r w:rsidR="007A60E1">
              <w:rPr>
                <w:noProof/>
                <w:webHidden/>
              </w:rPr>
              <w:fldChar w:fldCharType="end"/>
            </w:r>
          </w:hyperlink>
        </w:p>
        <w:p w14:paraId="1F00B5BE" w14:textId="14C2A8BC"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59" w:history="1">
            <w:r w:rsidR="007A60E1" w:rsidRPr="002F5563">
              <w:rPr>
                <w:rStyle w:val="Hyperlink"/>
                <w:noProof/>
              </w:rPr>
              <w:t>2.2.3.</w:t>
            </w:r>
            <w:r w:rsidR="007A60E1">
              <w:rPr>
                <w:rFonts w:asciiTheme="minorHAnsi" w:hAnsiTheme="minorHAnsi"/>
                <w:noProof/>
                <w:kern w:val="2"/>
                <w:lang w:val="en-IE" w:eastAsia="en-IE"/>
                <w14:ligatures w14:val="standardContextual"/>
              </w:rPr>
              <w:tab/>
            </w:r>
            <w:r w:rsidR="007A60E1" w:rsidRPr="002F5563">
              <w:rPr>
                <w:rStyle w:val="Hyperlink"/>
                <w:noProof/>
              </w:rPr>
              <w:t>Open Source</w:t>
            </w:r>
            <w:r w:rsidR="007A60E1">
              <w:rPr>
                <w:noProof/>
                <w:webHidden/>
              </w:rPr>
              <w:tab/>
            </w:r>
            <w:r w:rsidR="007A60E1">
              <w:rPr>
                <w:noProof/>
                <w:webHidden/>
              </w:rPr>
              <w:fldChar w:fldCharType="begin"/>
            </w:r>
            <w:r w:rsidR="007A60E1">
              <w:rPr>
                <w:noProof/>
                <w:webHidden/>
              </w:rPr>
              <w:instrText xml:space="preserve"> PAGEREF _Toc231830059 \h </w:instrText>
            </w:r>
            <w:r w:rsidR="007A60E1">
              <w:rPr>
                <w:noProof/>
                <w:webHidden/>
              </w:rPr>
            </w:r>
            <w:r w:rsidR="007A60E1">
              <w:rPr>
                <w:noProof/>
                <w:webHidden/>
              </w:rPr>
              <w:fldChar w:fldCharType="separate"/>
            </w:r>
            <w:r w:rsidR="00896FE2">
              <w:rPr>
                <w:noProof/>
                <w:webHidden/>
              </w:rPr>
              <w:t>47</w:t>
            </w:r>
            <w:r w:rsidR="007A60E1">
              <w:rPr>
                <w:noProof/>
                <w:webHidden/>
              </w:rPr>
              <w:fldChar w:fldCharType="end"/>
            </w:r>
          </w:hyperlink>
        </w:p>
        <w:p w14:paraId="7948EDCC" w14:textId="69B123EC"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0" w:history="1">
            <w:r w:rsidR="007A60E1" w:rsidRPr="002F5563">
              <w:rPr>
                <w:rStyle w:val="Hyperlink"/>
                <w:noProof/>
              </w:rPr>
              <w:t>2.2.4.</w:t>
            </w:r>
            <w:r w:rsidR="007A60E1">
              <w:rPr>
                <w:rFonts w:asciiTheme="minorHAnsi" w:hAnsiTheme="minorHAnsi"/>
                <w:noProof/>
                <w:kern w:val="2"/>
                <w:lang w:val="en-IE" w:eastAsia="en-IE"/>
                <w14:ligatures w14:val="standardContextual"/>
              </w:rPr>
              <w:tab/>
            </w:r>
            <w:r w:rsidR="007A60E1" w:rsidRPr="002F5563">
              <w:rPr>
                <w:rStyle w:val="Hyperlink"/>
                <w:noProof/>
              </w:rPr>
              <w:t>Unicorns</w:t>
            </w:r>
            <w:r w:rsidR="007A60E1">
              <w:rPr>
                <w:noProof/>
                <w:webHidden/>
              </w:rPr>
              <w:tab/>
            </w:r>
            <w:r w:rsidR="007A60E1">
              <w:rPr>
                <w:noProof/>
                <w:webHidden/>
              </w:rPr>
              <w:fldChar w:fldCharType="begin"/>
            </w:r>
            <w:r w:rsidR="007A60E1">
              <w:rPr>
                <w:noProof/>
                <w:webHidden/>
              </w:rPr>
              <w:instrText xml:space="preserve"> PAGEREF _Toc231830060 \h </w:instrText>
            </w:r>
            <w:r w:rsidR="007A60E1">
              <w:rPr>
                <w:noProof/>
                <w:webHidden/>
              </w:rPr>
            </w:r>
            <w:r w:rsidR="007A60E1">
              <w:rPr>
                <w:noProof/>
                <w:webHidden/>
              </w:rPr>
              <w:fldChar w:fldCharType="separate"/>
            </w:r>
            <w:r w:rsidR="00896FE2">
              <w:rPr>
                <w:noProof/>
                <w:webHidden/>
              </w:rPr>
              <w:t>49</w:t>
            </w:r>
            <w:r w:rsidR="007A60E1">
              <w:rPr>
                <w:noProof/>
                <w:webHidden/>
              </w:rPr>
              <w:fldChar w:fldCharType="end"/>
            </w:r>
          </w:hyperlink>
        </w:p>
        <w:p w14:paraId="7DD798A7" w14:textId="5F9EBEF5"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61" w:history="1">
            <w:r w:rsidR="007A60E1" w:rsidRPr="002F5563">
              <w:rPr>
                <w:rStyle w:val="Hyperlink"/>
                <w:noProof/>
              </w:rPr>
              <w:t>2.3.</w:t>
            </w:r>
            <w:r w:rsidR="007A60E1">
              <w:rPr>
                <w:rFonts w:asciiTheme="minorHAnsi" w:hAnsiTheme="minorHAnsi"/>
                <w:noProof/>
                <w:kern w:val="2"/>
                <w:lang w:val="en-IE" w:eastAsia="en-IE"/>
                <w14:ligatures w14:val="standardContextual"/>
              </w:rPr>
              <w:tab/>
            </w:r>
            <w:r w:rsidR="007A60E1" w:rsidRPr="002F5563">
              <w:rPr>
                <w:rStyle w:val="Hyperlink"/>
                <w:noProof/>
              </w:rPr>
              <w:t>Ensuring security for competitive growth</w:t>
            </w:r>
            <w:r w:rsidR="007A60E1">
              <w:rPr>
                <w:noProof/>
                <w:webHidden/>
              </w:rPr>
              <w:tab/>
            </w:r>
            <w:r w:rsidR="007A60E1">
              <w:rPr>
                <w:noProof/>
                <w:webHidden/>
              </w:rPr>
              <w:fldChar w:fldCharType="begin"/>
            </w:r>
            <w:r w:rsidR="007A60E1">
              <w:rPr>
                <w:noProof/>
                <w:webHidden/>
              </w:rPr>
              <w:instrText xml:space="preserve"> PAGEREF _Toc231830061 \h </w:instrText>
            </w:r>
            <w:r w:rsidR="007A60E1">
              <w:rPr>
                <w:noProof/>
                <w:webHidden/>
              </w:rPr>
            </w:r>
            <w:r w:rsidR="007A60E1">
              <w:rPr>
                <w:noProof/>
                <w:webHidden/>
              </w:rPr>
              <w:fldChar w:fldCharType="separate"/>
            </w:r>
            <w:r w:rsidR="00896FE2">
              <w:rPr>
                <w:noProof/>
                <w:webHidden/>
              </w:rPr>
              <w:t>54</w:t>
            </w:r>
            <w:r w:rsidR="007A60E1">
              <w:rPr>
                <w:noProof/>
                <w:webHidden/>
              </w:rPr>
              <w:fldChar w:fldCharType="end"/>
            </w:r>
          </w:hyperlink>
        </w:p>
        <w:p w14:paraId="53082E16" w14:textId="65B94E51" w:rsidR="007A60E1" w:rsidRDefault="004F5F15">
          <w:pPr>
            <w:pStyle w:val="TOC1"/>
            <w:tabs>
              <w:tab w:val="left" w:pos="440"/>
              <w:tab w:val="right" w:leader="dot" w:pos="9350"/>
            </w:tabs>
            <w:rPr>
              <w:rFonts w:asciiTheme="minorHAnsi" w:hAnsiTheme="minorHAnsi"/>
              <w:noProof/>
              <w:kern w:val="2"/>
              <w:lang w:val="en-IE" w:eastAsia="en-IE"/>
              <w14:ligatures w14:val="standardContextual"/>
            </w:rPr>
          </w:pPr>
          <w:hyperlink w:anchor="_Toc231830062" w:history="1">
            <w:r w:rsidR="007A60E1" w:rsidRPr="002F5563">
              <w:rPr>
                <w:rStyle w:val="Hyperlink"/>
                <w:noProof/>
              </w:rPr>
              <w:t>3.</w:t>
            </w:r>
            <w:r w:rsidR="007A60E1">
              <w:rPr>
                <w:rFonts w:asciiTheme="minorHAnsi" w:hAnsiTheme="minorHAnsi"/>
                <w:noProof/>
                <w:kern w:val="2"/>
                <w:lang w:val="en-IE" w:eastAsia="en-IE"/>
                <w14:ligatures w14:val="standardContextual"/>
              </w:rPr>
              <w:tab/>
            </w:r>
            <w:r w:rsidR="007A60E1" w:rsidRPr="002F5563">
              <w:rPr>
                <w:rStyle w:val="Hyperlink"/>
                <w:noProof/>
              </w:rPr>
              <w:t>Protecting and empowering people, reducing burdens and harnessing digitalisation for sustainability</w:t>
            </w:r>
            <w:r w:rsidR="007A60E1">
              <w:rPr>
                <w:noProof/>
                <w:webHidden/>
              </w:rPr>
              <w:tab/>
            </w:r>
            <w:r w:rsidR="007A60E1">
              <w:rPr>
                <w:noProof/>
                <w:webHidden/>
              </w:rPr>
              <w:fldChar w:fldCharType="begin"/>
            </w:r>
            <w:r w:rsidR="007A60E1">
              <w:rPr>
                <w:noProof/>
                <w:webHidden/>
              </w:rPr>
              <w:instrText xml:space="preserve"> PAGEREF _Toc231830062 \h </w:instrText>
            </w:r>
            <w:r w:rsidR="007A60E1">
              <w:rPr>
                <w:noProof/>
                <w:webHidden/>
              </w:rPr>
            </w:r>
            <w:r w:rsidR="007A60E1">
              <w:rPr>
                <w:noProof/>
                <w:webHidden/>
              </w:rPr>
              <w:fldChar w:fldCharType="separate"/>
            </w:r>
            <w:r w:rsidR="00896FE2">
              <w:rPr>
                <w:noProof/>
                <w:webHidden/>
              </w:rPr>
              <w:t>58</w:t>
            </w:r>
            <w:r w:rsidR="007A60E1">
              <w:rPr>
                <w:noProof/>
                <w:webHidden/>
              </w:rPr>
              <w:fldChar w:fldCharType="end"/>
            </w:r>
          </w:hyperlink>
        </w:p>
        <w:p w14:paraId="7BDCDFB9" w14:textId="6D285F98"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63" w:history="1">
            <w:r w:rsidR="007A60E1" w:rsidRPr="002F5563">
              <w:rPr>
                <w:rStyle w:val="Hyperlink"/>
                <w:noProof/>
              </w:rPr>
              <w:t>3.1.</w:t>
            </w:r>
            <w:r w:rsidR="007A60E1">
              <w:rPr>
                <w:rFonts w:asciiTheme="minorHAnsi" w:hAnsiTheme="minorHAnsi"/>
                <w:noProof/>
                <w:kern w:val="2"/>
                <w:lang w:val="en-IE" w:eastAsia="en-IE"/>
                <w14:ligatures w14:val="standardContextual"/>
              </w:rPr>
              <w:tab/>
            </w:r>
            <w:r w:rsidR="007A60E1" w:rsidRPr="002F5563">
              <w:rPr>
                <w:rStyle w:val="Hyperlink"/>
                <w:noProof/>
              </w:rPr>
              <w:t>Digital skills for smart society and competitive economy</w:t>
            </w:r>
            <w:r w:rsidR="007A60E1">
              <w:rPr>
                <w:noProof/>
                <w:webHidden/>
              </w:rPr>
              <w:tab/>
            </w:r>
            <w:r w:rsidR="007A60E1">
              <w:rPr>
                <w:noProof/>
                <w:webHidden/>
              </w:rPr>
              <w:fldChar w:fldCharType="begin"/>
            </w:r>
            <w:r w:rsidR="007A60E1">
              <w:rPr>
                <w:noProof/>
                <w:webHidden/>
              </w:rPr>
              <w:instrText xml:space="preserve"> PAGEREF _Toc231830063 \h </w:instrText>
            </w:r>
            <w:r w:rsidR="007A60E1">
              <w:rPr>
                <w:noProof/>
                <w:webHidden/>
              </w:rPr>
            </w:r>
            <w:r w:rsidR="007A60E1">
              <w:rPr>
                <w:noProof/>
                <w:webHidden/>
              </w:rPr>
              <w:fldChar w:fldCharType="separate"/>
            </w:r>
            <w:r w:rsidR="00896FE2">
              <w:rPr>
                <w:noProof/>
                <w:webHidden/>
              </w:rPr>
              <w:t>58</w:t>
            </w:r>
            <w:r w:rsidR="007A60E1">
              <w:rPr>
                <w:noProof/>
                <w:webHidden/>
              </w:rPr>
              <w:fldChar w:fldCharType="end"/>
            </w:r>
          </w:hyperlink>
        </w:p>
        <w:p w14:paraId="637FC553" w14:textId="316F8387"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4" w:history="1">
            <w:r w:rsidR="007A60E1" w:rsidRPr="002F5563">
              <w:rPr>
                <w:rStyle w:val="Hyperlink"/>
                <w:noProof/>
              </w:rPr>
              <w:t>3.1.1.</w:t>
            </w:r>
            <w:r w:rsidR="007A60E1">
              <w:rPr>
                <w:rFonts w:asciiTheme="minorHAnsi" w:hAnsiTheme="minorHAnsi"/>
                <w:noProof/>
                <w:kern w:val="2"/>
                <w:lang w:val="en-IE" w:eastAsia="en-IE"/>
                <w14:ligatures w14:val="standardContextual"/>
              </w:rPr>
              <w:tab/>
            </w:r>
            <w:r w:rsidR="007A60E1" w:rsidRPr="002F5563">
              <w:rPr>
                <w:rStyle w:val="Hyperlink"/>
                <w:noProof/>
              </w:rPr>
              <w:t>Basic digital skills</w:t>
            </w:r>
            <w:r w:rsidR="007A60E1">
              <w:rPr>
                <w:noProof/>
                <w:webHidden/>
              </w:rPr>
              <w:tab/>
            </w:r>
            <w:r w:rsidR="007A60E1">
              <w:rPr>
                <w:noProof/>
                <w:webHidden/>
              </w:rPr>
              <w:fldChar w:fldCharType="begin"/>
            </w:r>
            <w:r w:rsidR="007A60E1">
              <w:rPr>
                <w:noProof/>
                <w:webHidden/>
              </w:rPr>
              <w:instrText xml:space="preserve"> PAGEREF _Toc231830064 \h </w:instrText>
            </w:r>
            <w:r w:rsidR="007A60E1">
              <w:rPr>
                <w:noProof/>
                <w:webHidden/>
              </w:rPr>
            </w:r>
            <w:r w:rsidR="007A60E1">
              <w:rPr>
                <w:noProof/>
                <w:webHidden/>
              </w:rPr>
              <w:fldChar w:fldCharType="separate"/>
            </w:r>
            <w:r w:rsidR="00896FE2">
              <w:rPr>
                <w:noProof/>
                <w:webHidden/>
              </w:rPr>
              <w:t>59</w:t>
            </w:r>
            <w:r w:rsidR="007A60E1">
              <w:rPr>
                <w:noProof/>
                <w:webHidden/>
              </w:rPr>
              <w:fldChar w:fldCharType="end"/>
            </w:r>
          </w:hyperlink>
        </w:p>
        <w:p w14:paraId="37C1EA94" w14:textId="1C72B7F5"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5" w:history="1">
            <w:r w:rsidR="007A60E1" w:rsidRPr="002F5563">
              <w:rPr>
                <w:rStyle w:val="Hyperlink"/>
                <w:noProof/>
              </w:rPr>
              <w:t>3.1.2.</w:t>
            </w:r>
            <w:r w:rsidR="007A60E1">
              <w:rPr>
                <w:rFonts w:asciiTheme="minorHAnsi" w:hAnsiTheme="minorHAnsi"/>
                <w:noProof/>
                <w:kern w:val="2"/>
                <w:lang w:val="en-IE" w:eastAsia="en-IE"/>
                <w14:ligatures w14:val="standardContextual"/>
              </w:rPr>
              <w:tab/>
            </w:r>
            <w:r w:rsidR="007A60E1" w:rsidRPr="002F5563">
              <w:rPr>
                <w:rStyle w:val="Hyperlink"/>
                <w:noProof/>
              </w:rPr>
              <w:t>ICT Specialists</w:t>
            </w:r>
            <w:r w:rsidR="007A60E1">
              <w:rPr>
                <w:noProof/>
                <w:webHidden/>
              </w:rPr>
              <w:tab/>
            </w:r>
            <w:r w:rsidR="007A60E1">
              <w:rPr>
                <w:noProof/>
                <w:webHidden/>
              </w:rPr>
              <w:fldChar w:fldCharType="begin"/>
            </w:r>
            <w:r w:rsidR="007A60E1">
              <w:rPr>
                <w:noProof/>
                <w:webHidden/>
              </w:rPr>
              <w:instrText xml:space="preserve"> PAGEREF _Toc231830065 \h </w:instrText>
            </w:r>
            <w:r w:rsidR="007A60E1">
              <w:rPr>
                <w:noProof/>
                <w:webHidden/>
              </w:rPr>
            </w:r>
            <w:r w:rsidR="007A60E1">
              <w:rPr>
                <w:noProof/>
                <w:webHidden/>
              </w:rPr>
              <w:fldChar w:fldCharType="separate"/>
            </w:r>
            <w:r w:rsidR="00896FE2">
              <w:rPr>
                <w:noProof/>
                <w:webHidden/>
              </w:rPr>
              <w:t>62</w:t>
            </w:r>
            <w:r w:rsidR="007A60E1">
              <w:rPr>
                <w:noProof/>
                <w:webHidden/>
              </w:rPr>
              <w:fldChar w:fldCharType="end"/>
            </w:r>
          </w:hyperlink>
        </w:p>
        <w:p w14:paraId="2550F90C" w14:textId="74B9D1BA"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6" w:history="1">
            <w:r w:rsidR="007A60E1" w:rsidRPr="002F5563">
              <w:rPr>
                <w:rStyle w:val="Hyperlink"/>
                <w:noProof/>
              </w:rPr>
              <w:t>3.1.3.</w:t>
            </w:r>
            <w:r w:rsidR="007A60E1">
              <w:rPr>
                <w:rFonts w:asciiTheme="minorHAnsi" w:hAnsiTheme="minorHAnsi"/>
                <w:noProof/>
                <w:kern w:val="2"/>
                <w:lang w:val="en-IE" w:eastAsia="en-IE"/>
                <w14:ligatures w14:val="standardContextual"/>
              </w:rPr>
              <w:tab/>
            </w:r>
            <w:r w:rsidR="007A60E1" w:rsidRPr="002F5563">
              <w:rPr>
                <w:rStyle w:val="Hyperlink"/>
                <w:noProof/>
              </w:rPr>
              <w:t>Protecting people, in particular minors, in the online space</w:t>
            </w:r>
            <w:r w:rsidR="007A60E1">
              <w:rPr>
                <w:noProof/>
                <w:webHidden/>
              </w:rPr>
              <w:tab/>
            </w:r>
            <w:r w:rsidR="007A60E1">
              <w:rPr>
                <w:noProof/>
                <w:webHidden/>
              </w:rPr>
              <w:fldChar w:fldCharType="begin"/>
            </w:r>
            <w:r w:rsidR="007A60E1">
              <w:rPr>
                <w:noProof/>
                <w:webHidden/>
              </w:rPr>
              <w:instrText xml:space="preserve"> PAGEREF _Toc231830066 \h </w:instrText>
            </w:r>
            <w:r w:rsidR="007A60E1">
              <w:rPr>
                <w:noProof/>
                <w:webHidden/>
              </w:rPr>
            </w:r>
            <w:r w:rsidR="007A60E1">
              <w:rPr>
                <w:noProof/>
                <w:webHidden/>
              </w:rPr>
              <w:fldChar w:fldCharType="separate"/>
            </w:r>
            <w:r w:rsidR="00896FE2">
              <w:rPr>
                <w:noProof/>
                <w:webHidden/>
              </w:rPr>
              <w:t>65</w:t>
            </w:r>
            <w:r w:rsidR="007A60E1">
              <w:rPr>
                <w:noProof/>
                <w:webHidden/>
              </w:rPr>
              <w:fldChar w:fldCharType="end"/>
            </w:r>
          </w:hyperlink>
        </w:p>
        <w:p w14:paraId="2E6F0D90" w14:textId="0E457425"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67" w:history="1">
            <w:r w:rsidR="007A60E1" w:rsidRPr="002F5563">
              <w:rPr>
                <w:rStyle w:val="Hyperlink"/>
                <w:noProof/>
              </w:rPr>
              <w:t>3.2.</w:t>
            </w:r>
            <w:r w:rsidR="007A60E1">
              <w:rPr>
                <w:rFonts w:asciiTheme="minorHAnsi" w:hAnsiTheme="minorHAnsi"/>
                <w:noProof/>
                <w:kern w:val="2"/>
                <w:lang w:val="en-IE" w:eastAsia="en-IE"/>
                <w14:ligatures w14:val="standardContextual"/>
              </w:rPr>
              <w:tab/>
            </w:r>
            <w:r w:rsidR="007A60E1" w:rsidRPr="002F5563">
              <w:rPr>
                <w:rStyle w:val="Hyperlink"/>
                <w:noProof/>
              </w:rPr>
              <w:t>Efficient public services and administrative burden reduction</w:t>
            </w:r>
            <w:r w:rsidR="007A60E1">
              <w:rPr>
                <w:noProof/>
                <w:webHidden/>
              </w:rPr>
              <w:tab/>
            </w:r>
            <w:r w:rsidR="007A60E1">
              <w:rPr>
                <w:noProof/>
                <w:webHidden/>
              </w:rPr>
              <w:fldChar w:fldCharType="begin"/>
            </w:r>
            <w:r w:rsidR="007A60E1">
              <w:rPr>
                <w:noProof/>
                <w:webHidden/>
              </w:rPr>
              <w:instrText xml:space="preserve"> PAGEREF _Toc231830067 \h </w:instrText>
            </w:r>
            <w:r w:rsidR="007A60E1">
              <w:rPr>
                <w:noProof/>
                <w:webHidden/>
              </w:rPr>
            </w:r>
            <w:r w:rsidR="007A60E1">
              <w:rPr>
                <w:noProof/>
                <w:webHidden/>
              </w:rPr>
              <w:fldChar w:fldCharType="separate"/>
            </w:r>
            <w:r w:rsidR="00896FE2">
              <w:rPr>
                <w:noProof/>
                <w:webHidden/>
              </w:rPr>
              <w:t>68</w:t>
            </w:r>
            <w:r w:rsidR="007A60E1">
              <w:rPr>
                <w:noProof/>
                <w:webHidden/>
              </w:rPr>
              <w:fldChar w:fldCharType="end"/>
            </w:r>
          </w:hyperlink>
        </w:p>
        <w:p w14:paraId="75681CBC" w14:textId="5D43C643"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8" w:history="1">
            <w:r w:rsidR="007A60E1" w:rsidRPr="002F5563">
              <w:rPr>
                <w:rStyle w:val="Hyperlink"/>
                <w:noProof/>
              </w:rPr>
              <w:t>3.2.1.</w:t>
            </w:r>
            <w:r w:rsidR="007A60E1">
              <w:rPr>
                <w:rFonts w:asciiTheme="minorHAnsi" w:hAnsiTheme="minorHAnsi"/>
                <w:noProof/>
                <w:kern w:val="2"/>
                <w:lang w:val="en-IE" w:eastAsia="en-IE"/>
                <w14:ligatures w14:val="standardContextual"/>
              </w:rPr>
              <w:tab/>
            </w:r>
            <w:r w:rsidR="007A60E1" w:rsidRPr="002F5563">
              <w:rPr>
                <w:rStyle w:val="Hyperlink"/>
                <w:noProof/>
              </w:rPr>
              <w:t>European Digital Identity and business wallets</w:t>
            </w:r>
            <w:r w:rsidR="007A60E1">
              <w:rPr>
                <w:noProof/>
                <w:webHidden/>
              </w:rPr>
              <w:tab/>
            </w:r>
            <w:r w:rsidR="007A60E1">
              <w:rPr>
                <w:noProof/>
                <w:webHidden/>
              </w:rPr>
              <w:fldChar w:fldCharType="begin"/>
            </w:r>
            <w:r w:rsidR="007A60E1">
              <w:rPr>
                <w:noProof/>
                <w:webHidden/>
              </w:rPr>
              <w:instrText xml:space="preserve"> PAGEREF _Toc231830068 \h </w:instrText>
            </w:r>
            <w:r w:rsidR="007A60E1">
              <w:rPr>
                <w:noProof/>
                <w:webHidden/>
              </w:rPr>
            </w:r>
            <w:r w:rsidR="007A60E1">
              <w:rPr>
                <w:noProof/>
                <w:webHidden/>
              </w:rPr>
              <w:fldChar w:fldCharType="separate"/>
            </w:r>
            <w:r w:rsidR="00896FE2">
              <w:rPr>
                <w:noProof/>
                <w:webHidden/>
              </w:rPr>
              <w:t>69</w:t>
            </w:r>
            <w:r w:rsidR="007A60E1">
              <w:rPr>
                <w:noProof/>
                <w:webHidden/>
              </w:rPr>
              <w:fldChar w:fldCharType="end"/>
            </w:r>
          </w:hyperlink>
        </w:p>
        <w:p w14:paraId="362346D1" w14:textId="3AF7AF12"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69" w:history="1">
            <w:r w:rsidR="007A60E1" w:rsidRPr="002F5563">
              <w:rPr>
                <w:rStyle w:val="Hyperlink"/>
                <w:noProof/>
              </w:rPr>
              <w:t>3.2.2.</w:t>
            </w:r>
            <w:r w:rsidR="007A60E1">
              <w:rPr>
                <w:rFonts w:asciiTheme="minorHAnsi" w:hAnsiTheme="minorHAnsi"/>
                <w:noProof/>
                <w:kern w:val="2"/>
                <w:lang w:val="en-IE" w:eastAsia="en-IE"/>
                <w14:ligatures w14:val="standardContextual"/>
              </w:rPr>
              <w:tab/>
            </w:r>
            <w:r w:rsidR="007A60E1" w:rsidRPr="002F5563">
              <w:rPr>
                <w:rStyle w:val="Hyperlink"/>
                <w:noProof/>
              </w:rPr>
              <w:t>Digital Public Services for Citizens and businesses</w:t>
            </w:r>
            <w:r w:rsidR="007A60E1">
              <w:rPr>
                <w:noProof/>
                <w:webHidden/>
              </w:rPr>
              <w:tab/>
            </w:r>
            <w:r w:rsidR="007A60E1">
              <w:rPr>
                <w:noProof/>
                <w:webHidden/>
              </w:rPr>
              <w:fldChar w:fldCharType="begin"/>
            </w:r>
            <w:r w:rsidR="007A60E1">
              <w:rPr>
                <w:noProof/>
                <w:webHidden/>
              </w:rPr>
              <w:instrText xml:space="preserve"> PAGEREF _Toc231830069 \h </w:instrText>
            </w:r>
            <w:r w:rsidR="007A60E1">
              <w:rPr>
                <w:noProof/>
                <w:webHidden/>
              </w:rPr>
            </w:r>
            <w:r w:rsidR="007A60E1">
              <w:rPr>
                <w:noProof/>
                <w:webHidden/>
              </w:rPr>
              <w:fldChar w:fldCharType="separate"/>
            </w:r>
            <w:r w:rsidR="00896FE2">
              <w:rPr>
                <w:noProof/>
                <w:webHidden/>
              </w:rPr>
              <w:t>70</w:t>
            </w:r>
            <w:r w:rsidR="007A60E1">
              <w:rPr>
                <w:noProof/>
                <w:webHidden/>
              </w:rPr>
              <w:fldChar w:fldCharType="end"/>
            </w:r>
          </w:hyperlink>
        </w:p>
        <w:p w14:paraId="026096C6" w14:textId="130012BA"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0" w:history="1">
            <w:r w:rsidR="007A60E1" w:rsidRPr="002F5563">
              <w:rPr>
                <w:rStyle w:val="Hyperlink"/>
                <w:noProof/>
              </w:rPr>
              <w:t>3.2.3.</w:t>
            </w:r>
            <w:r w:rsidR="007A60E1">
              <w:rPr>
                <w:rFonts w:asciiTheme="minorHAnsi" w:hAnsiTheme="minorHAnsi"/>
                <w:noProof/>
                <w:kern w:val="2"/>
                <w:lang w:val="en-IE" w:eastAsia="en-IE"/>
                <w14:ligatures w14:val="standardContextual"/>
              </w:rPr>
              <w:tab/>
            </w:r>
            <w:r w:rsidR="007A60E1" w:rsidRPr="002F5563">
              <w:rPr>
                <w:rStyle w:val="Hyperlink"/>
                <w:noProof/>
              </w:rPr>
              <w:t>e-Health</w:t>
            </w:r>
            <w:r w:rsidR="007A60E1">
              <w:rPr>
                <w:noProof/>
                <w:webHidden/>
              </w:rPr>
              <w:tab/>
            </w:r>
            <w:r w:rsidR="007A60E1">
              <w:rPr>
                <w:noProof/>
                <w:webHidden/>
              </w:rPr>
              <w:fldChar w:fldCharType="begin"/>
            </w:r>
            <w:r w:rsidR="007A60E1">
              <w:rPr>
                <w:noProof/>
                <w:webHidden/>
              </w:rPr>
              <w:instrText xml:space="preserve"> PAGEREF _Toc231830070 \h </w:instrText>
            </w:r>
            <w:r w:rsidR="007A60E1">
              <w:rPr>
                <w:noProof/>
                <w:webHidden/>
              </w:rPr>
            </w:r>
            <w:r w:rsidR="007A60E1">
              <w:rPr>
                <w:noProof/>
                <w:webHidden/>
              </w:rPr>
              <w:fldChar w:fldCharType="separate"/>
            </w:r>
            <w:r w:rsidR="00896FE2">
              <w:rPr>
                <w:noProof/>
                <w:webHidden/>
              </w:rPr>
              <w:t>74</w:t>
            </w:r>
            <w:r w:rsidR="007A60E1">
              <w:rPr>
                <w:noProof/>
                <w:webHidden/>
              </w:rPr>
              <w:fldChar w:fldCharType="end"/>
            </w:r>
          </w:hyperlink>
        </w:p>
        <w:p w14:paraId="4E84CB0C" w14:textId="3A221D85" w:rsidR="007A60E1" w:rsidRDefault="004F5F15">
          <w:pPr>
            <w:pStyle w:val="TOC2"/>
            <w:tabs>
              <w:tab w:val="left" w:pos="960"/>
              <w:tab w:val="right" w:leader="dot" w:pos="9350"/>
            </w:tabs>
            <w:rPr>
              <w:rFonts w:asciiTheme="minorHAnsi" w:hAnsiTheme="minorHAnsi"/>
              <w:noProof/>
              <w:kern w:val="2"/>
              <w:lang w:val="en-IE" w:eastAsia="en-IE"/>
              <w14:ligatures w14:val="standardContextual"/>
            </w:rPr>
          </w:pPr>
          <w:hyperlink w:anchor="_Toc231830071" w:history="1">
            <w:r w:rsidR="007A60E1" w:rsidRPr="002F5563">
              <w:rPr>
                <w:rStyle w:val="Hyperlink"/>
                <w:noProof/>
              </w:rPr>
              <w:t>3.3.</w:t>
            </w:r>
            <w:r w:rsidR="007A60E1">
              <w:rPr>
                <w:rFonts w:asciiTheme="minorHAnsi" w:hAnsiTheme="minorHAnsi"/>
                <w:noProof/>
                <w:kern w:val="2"/>
                <w:lang w:val="en-IE" w:eastAsia="en-IE"/>
                <w14:ligatures w14:val="standardContextual"/>
              </w:rPr>
              <w:tab/>
            </w:r>
            <w:r w:rsidR="007A60E1" w:rsidRPr="002F5563">
              <w:rPr>
                <w:rStyle w:val="Hyperlink"/>
                <w:noProof/>
              </w:rPr>
              <w:t>Digital for decarbonisation and sustainable technologies</w:t>
            </w:r>
            <w:r w:rsidR="007A60E1">
              <w:rPr>
                <w:noProof/>
                <w:webHidden/>
              </w:rPr>
              <w:tab/>
            </w:r>
            <w:r w:rsidR="007A60E1">
              <w:rPr>
                <w:noProof/>
                <w:webHidden/>
              </w:rPr>
              <w:fldChar w:fldCharType="begin"/>
            </w:r>
            <w:r w:rsidR="007A60E1">
              <w:rPr>
                <w:noProof/>
                <w:webHidden/>
              </w:rPr>
              <w:instrText xml:space="preserve"> PAGEREF _Toc231830071 \h </w:instrText>
            </w:r>
            <w:r w:rsidR="007A60E1">
              <w:rPr>
                <w:noProof/>
                <w:webHidden/>
              </w:rPr>
            </w:r>
            <w:r w:rsidR="007A60E1">
              <w:rPr>
                <w:noProof/>
                <w:webHidden/>
              </w:rPr>
              <w:fldChar w:fldCharType="separate"/>
            </w:r>
            <w:r w:rsidR="00896FE2">
              <w:rPr>
                <w:noProof/>
                <w:webHidden/>
              </w:rPr>
              <w:t>78</w:t>
            </w:r>
            <w:r w:rsidR="007A60E1">
              <w:rPr>
                <w:noProof/>
                <w:webHidden/>
              </w:rPr>
              <w:fldChar w:fldCharType="end"/>
            </w:r>
          </w:hyperlink>
        </w:p>
        <w:p w14:paraId="576E7024" w14:textId="5868BDDC"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2" w:history="1">
            <w:r w:rsidR="007A60E1" w:rsidRPr="002F5563">
              <w:rPr>
                <w:rStyle w:val="Hyperlink"/>
                <w:noProof/>
              </w:rPr>
              <w:t>3.3.1.</w:t>
            </w:r>
            <w:r w:rsidR="007A60E1">
              <w:rPr>
                <w:rFonts w:asciiTheme="minorHAnsi" w:hAnsiTheme="minorHAnsi"/>
                <w:noProof/>
                <w:kern w:val="2"/>
                <w:lang w:val="en-IE" w:eastAsia="en-IE"/>
                <w14:ligatures w14:val="standardContextual"/>
              </w:rPr>
              <w:tab/>
            </w:r>
            <w:r w:rsidR="007A60E1" w:rsidRPr="002F5563">
              <w:rPr>
                <w:rStyle w:val="Hyperlink"/>
                <w:noProof/>
              </w:rPr>
              <w:t>Sustainable digitalisation for competitiveness, resilience and net positive impacts</w:t>
            </w:r>
            <w:r w:rsidR="007A60E1">
              <w:rPr>
                <w:noProof/>
                <w:webHidden/>
              </w:rPr>
              <w:tab/>
            </w:r>
            <w:r w:rsidR="007A60E1">
              <w:rPr>
                <w:noProof/>
                <w:webHidden/>
              </w:rPr>
              <w:fldChar w:fldCharType="begin"/>
            </w:r>
            <w:r w:rsidR="007A60E1">
              <w:rPr>
                <w:noProof/>
                <w:webHidden/>
              </w:rPr>
              <w:instrText xml:space="preserve"> PAGEREF _Toc231830072 \h </w:instrText>
            </w:r>
            <w:r w:rsidR="007A60E1">
              <w:rPr>
                <w:noProof/>
                <w:webHidden/>
              </w:rPr>
            </w:r>
            <w:r w:rsidR="007A60E1">
              <w:rPr>
                <w:noProof/>
                <w:webHidden/>
              </w:rPr>
              <w:fldChar w:fldCharType="separate"/>
            </w:r>
            <w:r w:rsidR="00896FE2">
              <w:rPr>
                <w:noProof/>
                <w:webHidden/>
              </w:rPr>
              <w:t>78</w:t>
            </w:r>
            <w:r w:rsidR="007A60E1">
              <w:rPr>
                <w:noProof/>
                <w:webHidden/>
              </w:rPr>
              <w:fldChar w:fldCharType="end"/>
            </w:r>
          </w:hyperlink>
        </w:p>
        <w:p w14:paraId="42D0EB52" w14:textId="76ED3E4A"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3" w:history="1">
            <w:r w:rsidR="007A60E1" w:rsidRPr="002F5563">
              <w:rPr>
                <w:rStyle w:val="Hyperlink"/>
                <w:noProof/>
              </w:rPr>
              <w:t>3.3.2.</w:t>
            </w:r>
            <w:r w:rsidR="007A60E1">
              <w:rPr>
                <w:rFonts w:asciiTheme="minorHAnsi" w:hAnsiTheme="minorHAnsi"/>
                <w:noProof/>
                <w:kern w:val="2"/>
                <w:lang w:val="en-IE" w:eastAsia="en-IE"/>
                <w14:ligatures w14:val="standardContextual"/>
              </w:rPr>
              <w:tab/>
            </w:r>
            <w:r w:rsidR="007A60E1" w:rsidRPr="002F5563">
              <w:rPr>
                <w:rStyle w:val="Hyperlink"/>
                <w:noProof/>
              </w:rPr>
              <w:t>Rising environmental concerns: electricity, water and material demand for digital transition</w:t>
            </w:r>
            <w:r w:rsidR="007A60E1">
              <w:rPr>
                <w:noProof/>
                <w:webHidden/>
              </w:rPr>
              <w:tab/>
            </w:r>
            <w:r w:rsidR="007A60E1">
              <w:rPr>
                <w:noProof/>
                <w:webHidden/>
              </w:rPr>
              <w:fldChar w:fldCharType="begin"/>
            </w:r>
            <w:r w:rsidR="007A60E1">
              <w:rPr>
                <w:noProof/>
                <w:webHidden/>
              </w:rPr>
              <w:instrText xml:space="preserve"> PAGEREF _Toc231830073 \h </w:instrText>
            </w:r>
            <w:r w:rsidR="007A60E1">
              <w:rPr>
                <w:noProof/>
                <w:webHidden/>
              </w:rPr>
            </w:r>
            <w:r w:rsidR="007A60E1">
              <w:rPr>
                <w:noProof/>
                <w:webHidden/>
              </w:rPr>
              <w:fldChar w:fldCharType="separate"/>
            </w:r>
            <w:r w:rsidR="00896FE2">
              <w:rPr>
                <w:noProof/>
                <w:webHidden/>
              </w:rPr>
              <w:t>79</w:t>
            </w:r>
            <w:r w:rsidR="007A60E1">
              <w:rPr>
                <w:noProof/>
                <w:webHidden/>
              </w:rPr>
              <w:fldChar w:fldCharType="end"/>
            </w:r>
          </w:hyperlink>
        </w:p>
        <w:p w14:paraId="63E08540" w14:textId="634A65CE"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4" w:history="1">
            <w:r w:rsidR="007A60E1" w:rsidRPr="002F5563">
              <w:rPr>
                <w:rStyle w:val="Hyperlink"/>
                <w:rFonts w:eastAsia="Calibri"/>
                <w:noProof/>
              </w:rPr>
              <w:t>3.3.3.</w:t>
            </w:r>
            <w:r w:rsidR="007A60E1">
              <w:rPr>
                <w:rFonts w:asciiTheme="minorHAnsi" w:hAnsiTheme="minorHAnsi"/>
                <w:noProof/>
                <w:kern w:val="2"/>
                <w:lang w:val="en-IE" w:eastAsia="en-IE"/>
                <w14:ligatures w14:val="standardContextual"/>
              </w:rPr>
              <w:tab/>
            </w:r>
            <w:r w:rsidR="007A60E1" w:rsidRPr="002F5563">
              <w:rPr>
                <w:rStyle w:val="Hyperlink"/>
                <w:noProof/>
              </w:rPr>
              <w:t>EU actions to unlock the twin green digital transition</w:t>
            </w:r>
            <w:r w:rsidR="007A60E1">
              <w:rPr>
                <w:noProof/>
                <w:webHidden/>
              </w:rPr>
              <w:tab/>
            </w:r>
            <w:r w:rsidR="007A60E1">
              <w:rPr>
                <w:noProof/>
                <w:webHidden/>
              </w:rPr>
              <w:fldChar w:fldCharType="begin"/>
            </w:r>
            <w:r w:rsidR="007A60E1">
              <w:rPr>
                <w:noProof/>
                <w:webHidden/>
              </w:rPr>
              <w:instrText xml:space="preserve"> PAGEREF _Toc231830074 \h </w:instrText>
            </w:r>
            <w:r w:rsidR="007A60E1">
              <w:rPr>
                <w:noProof/>
                <w:webHidden/>
              </w:rPr>
            </w:r>
            <w:r w:rsidR="007A60E1">
              <w:rPr>
                <w:noProof/>
                <w:webHidden/>
              </w:rPr>
              <w:fldChar w:fldCharType="separate"/>
            </w:r>
            <w:r w:rsidR="00896FE2">
              <w:rPr>
                <w:noProof/>
                <w:webHidden/>
              </w:rPr>
              <w:t>80</w:t>
            </w:r>
            <w:r w:rsidR="007A60E1">
              <w:rPr>
                <w:noProof/>
                <w:webHidden/>
              </w:rPr>
              <w:fldChar w:fldCharType="end"/>
            </w:r>
          </w:hyperlink>
        </w:p>
        <w:p w14:paraId="3764C7A2" w14:textId="5C1781C9"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5" w:history="1">
            <w:r w:rsidR="007A60E1" w:rsidRPr="002F5563">
              <w:rPr>
                <w:rStyle w:val="Hyperlink"/>
                <w:noProof/>
              </w:rPr>
              <w:t>3.3.4.</w:t>
            </w:r>
            <w:r w:rsidR="007A60E1">
              <w:rPr>
                <w:rFonts w:asciiTheme="minorHAnsi" w:hAnsiTheme="minorHAnsi"/>
                <w:noProof/>
                <w:kern w:val="2"/>
                <w:lang w:val="en-IE" w:eastAsia="en-IE"/>
                <w14:ligatures w14:val="standardContextual"/>
              </w:rPr>
              <w:tab/>
            </w:r>
            <w:r w:rsidR="007A60E1" w:rsidRPr="002F5563">
              <w:rPr>
                <w:rStyle w:val="Hyperlink"/>
                <w:noProof/>
              </w:rPr>
              <w:t>Member State actions towards the twin green and digital transition</w:t>
            </w:r>
            <w:r w:rsidR="007A60E1">
              <w:rPr>
                <w:noProof/>
                <w:webHidden/>
              </w:rPr>
              <w:tab/>
            </w:r>
            <w:r w:rsidR="007A60E1">
              <w:rPr>
                <w:noProof/>
                <w:webHidden/>
              </w:rPr>
              <w:fldChar w:fldCharType="begin"/>
            </w:r>
            <w:r w:rsidR="007A60E1">
              <w:rPr>
                <w:noProof/>
                <w:webHidden/>
              </w:rPr>
              <w:instrText xml:space="preserve"> PAGEREF _Toc231830075 \h </w:instrText>
            </w:r>
            <w:r w:rsidR="007A60E1">
              <w:rPr>
                <w:noProof/>
                <w:webHidden/>
              </w:rPr>
            </w:r>
            <w:r w:rsidR="007A60E1">
              <w:rPr>
                <w:noProof/>
                <w:webHidden/>
              </w:rPr>
              <w:fldChar w:fldCharType="separate"/>
            </w:r>
            <w:r w:rsidR="00896FE2">
              <w:rPr>
                <w:noProof/>
                <w:webHidden/>
              </w:rPr>
              <w:t>82</w:t>
            </w:r>
            <w:r w:rsidR="007A60E1">
              <w:rPr>
                <w:noProof/>
                <w:webHidden/>
              </w:rPr>
              <w:fldChar w:fldCharType="end"/>
            </w:r>
          </w:hyperlink>
        </w:p>
        <w:p w14:paraId="304B7475" w14:textId="0C05874C" w:rsidR="007A60E1" w:rsidRDefault="004F5F15">
          <w:pPr>
            <w:pStyle w:val="TOC3"/>
            <w:tabs>
              <w:tab w:val="left" w:pos="1440"/>
              <w:tab w:val="right" w:leader="dot" w:pos="9350"/>
            </w:tabs>
            <w:rPr>
              <w:rFonts w:asciiTheme="minorHAnsi" w:hAnsiTheme="minorHAnsi"/>
              <w:noProof/>
              <w:kern w:val="2"/>
              <w:lang w:val="en-IE" w:eastAsia="en-IE"/>
              <w14:ligatures w14:val="standardContextual"/>
            </w:rPr>
          </w:pPr>
          <w:hyperlink w:anchor="_Toc231830076" w:history="1">
            <w:r w:rsidR="007A60E1" w:rsidRPr="002F5563">
              <w:rPr>
                <w:rStyle w:val="Hyperlink"/>
                <w:rFonts w:eastAsia="Calibri" w:cs="Calibri"/>
                <w:noProof/>
              </w:rPr>
              <w:t>3.3.5.</w:t>
            </w:r>
            <w:r w:rsidR="007A60E1">
              <w:rPr>
                <w:rFonts w:asciiTheme="minorHAnsi" w:hAnsiTheme="minorHAnsi"/>
                <w:noProof/>
                <w:kern w:val="2"/>
                <w:lang w:val="en-IE" w:eastAsia="en-IE"/>
                <w14:ligatures w14:val="standardContextual"/>
              </w:rPr>
              <w:tab/>
            </w:r>
            <w:r w:rsidR="007A60E1" w:rsidRPr="002F5563">
              <w:rPr>
                <w:rStyle w:val="Hyperlink"/>
                <w:noProof/>
              </w:rPr>
              <w:t xml:space="preserve">Reforms and investments needed to accelerate the green </w:t>
            </w:r>
            <w:r w:rsidR="007A60E1" w:rsidRPr="002F5563">
              <w:rPr>
                <w:rStyle w:val="Hyperlink"/>
                <w:rFonts w:eastAsia="Calibri" w:cs="Calibri"/>
                <w:noProof/>
              </w:rPr>
              <w:t>and digital transition</w:t>
            </w:r>
            <w:r w:rsidR="007A60E1">
              <w:rPr>
                <w:noProof/>
                <w:webHidden/>
              </w:rPr>
              <w:tab/>
            </w:r>
            <w:r w:rsidR="007A60E1">
              <w:rPr>
                <w:noProof/>
                <w:webHidden/>
              </w:rPr>
              <w:fldChar w:fldCharType="begin"/>
            </w:r>
            <w:r w:rsidR="007A60E1">
              <w:rPr>
                <w:noProof/>
                <w:webHidden/>
              </w:rPr>
              <w:instrText xml:space="preserve"> PAGEREF _Toc231830076 \h </w:instrText>
            </w:r>
            <w:r w:rsidR="007A60E1">
              <w:rPr>
                <w:noProof/>
                <w:webHidden/>
              </w:rPr>
            </w:r>
            <w:r w:rsidR="007A60E1">
              <w:rPr>
                <w:noProof/>
                <w:webHidden/>
              </w:rPr>
              <w:fldChar w:fldCharType="separate"/>
            </w:r>
            <w:r w:rsidR="00896FE2">
              <w:rPr>
                <w:noProof/>
                <w:webHidden/>
              </w:rPr>
              <w:t>82</w:t>
            </w:r>
            <w:r w:rsidR="007A60E1">
              <w:rPr>
                <w:noProof/>
                <w:webHidden/>
              </w:rPr>
              <w:fldChar w:fldCharType="end"/>
            </w:r>
          </w:hyperlink>
        </w:p>
        <w:p w14:paraId="59BF87D7" w14:textId="6E87E231" w:rsidR="007A60E1" w:rsidRDefault="004F5F15">
          <w:pPr>
            <w:pStyle w:val="TOC1"/>
            <w:tabs>
              <w:tab w:val="left" w:pos="440"/>
              <w:tab w:val="right" w:leader="dot" w:pos="9350"/>
            </w:tabs>
            <w:rPr>
              <w:rFonts w:asciiTheme="minorHAnsi" w:hAnsiTheme="minorHAnsi"/>
              <w:noProof/>
              <w:kern w:val="2"/>
              <w:lang w:val="en-IE" w:eastAsia="en-IE"/>
              <w14:ligatures w14:val="standardContextual"/>
            </w:rPr>
          </w:pPr>
          <w:hyperlink w:anchor="_Toc231830077" w:history="1">
            <w:r w:rsidR="007A60E1" w:rsidRPr="002F5563">
              <w:rPr>
                <w:rStyle w:val="Hyperlink"/>
                <w:noProof/>
              </w:rPr>
              <w:t>4.</w:t>
            </w:r>
            <w:r w:rsidR="007A60E1">
              <w:rPr>
                <w:rFonts w:asciiTheme="minorHAnsi" w:hAnsiTheme="minorHAnsi"/>
                <w:noProof/>
                <w:kern w:val="2"/>
                <w:lang w:val="en-IE" w:eastAsia="en-IE"/>
                <w14:ligatures w14:val="standardContextual"/>
              </w:rPr>
              <w:tab/>
            </w:r>
            <w:r w:rsidR="007A60E1" w:rsidRPr="002F5563">
              <w:rPr>
                <w:rStyle w:val="Hyperlink"/>
                <w:noProof/>
              </w:rPr>
              <w:t>Funding the Digital Decade</w:t>
            </w:r>
            <w:r w:rsidR="007A60E1">
              <w:rPr>
                <w:noProof/>
                <w:webHidden/>
              </w:rPr>
              <w:tab/>
            </w:r>
            <w:r w:rsidR="007A60E1">
              <w:rPr>
                <w:noProof/>
                <w:webHidden/>
              </w:rPr>
              <w:fldChar w:fldCharType="begin"/>
            </w:r>
            <w:r w:rsidR="007A60E1">
              <w:rPr>
                <w:noProof/>
                <w:webHidden/>
              </w:rPr>
              <w:instrText xml:space="preserve"> PAGEREF _Toc231830077 \h </w:instrText>
            </w:r>
            <w:r w:rsidR="007A60E1">
              <w:rPr>
                <w:noProof/>
                <w:webHidden/>
              </w:rPr>
            </w:r>
            <w:r w:rsidR="007A60E1">
              <w:rPr>
                <w:noProof/>
                <w:webHidden/>
              </w:rPr>
              <w:fldChar w:fldCharType="separate"/>
            </w:r>
            <w:r w:rsidR="00896FE2">
              <w:rPr>
                <w:noProof/>
                <w:webHidden/>
              </w:rPr>
              <w:t>84</w:t>
            </w:r>
            <w:r w:rsidR="007A60E1">
              <w:rPr>
                <w:noProof/>
                <w:webHidden/>
              </w:rPr>
              <w:fldChar w:fldCharType="end"/>
            </w:r>
          </w:hyperlink>
        </w:p>
        <w:p w14:paraId="23CB2D0E" w14:textId="4161945C" w:rsidR="007A60E1" w:rsidRDefault="004F5F15">
          <w:pPr>
            <w:pStyle w:val="TOC1"/>
            <w:tabs>
              <w:tab w:val="left" w:pos="440"/>
              <w:tab w:val="right" w:leader="dot" w:pos="9350"/>
            </w:tabs>
            <w:rPr>
              <w:rFonts w:asciiTheme="minorHAnsi" w:hAnsiTheme="minorHAnsi"/>
              <w:noProof/>
              <w:kern w:val="2"/>
              <w:lang w:val="en-IE" w:eastAsia="en-IE"/>
              <w14:ligatures w14:val="standardContextual"/>
            </w:rPr>
          </w:pPr>
          <w:hyperlink w:anchor="_Toc231830078" w:history="1">
            <w:r w:rsidR="007A60E1" w:rsidRPr="002F5563">
              <w:rPr>
                <w:rStyle w:val="Hyperlink"/>
                <w:noProof/>
              </w:rPr>
              <w:t>5.</w:t>
            </w:r>
            <w:r w:rsidR="007A60E1">
              <w:rPr>
                <w:rFonts w:asciiTheme="minorHAnsi" w:hAnsiTheme="minorHAnsi"/>
                <w:noProof/>
                <w:kern w:val="2"/>
                <w:lang w:val="en-IE" w:eastAsia="en-IE"/>
                <w14:ligatures w14:val="standardContextual"/>
              </w:rPr>
              <w:tab/>
            </w:r>
            <w:r w:rsidR="007A60E1" w:rsidRPr="002F5563">
              <w:rPr>
                <w:rStyle w:val="Hyperlink"/>
                <w:noProof/>
              </w:rPr>
              <w:t>International</w:t>
            </w:r>
            <w:r w:rsidR="007A60E1">
              <w:rPr>
                <w:noProof/>
                <w:webHidden/>
              </w:rPr>
              <w:tab/>
            </w:r>
            <w:r w:rsidR="007A60E1">
              <w:rPr>
                <w:noProof/>
                <w:webHidden/>
              </w:rPr>
              <w:fldChar w:fldCharType="begin"/>
            </w:r>
            <w:r w:rsidR="007A60E1">
              <w:rPr>
                <w:noProof/>
                <w:webHidden/>
              </w:rPr>
              <w:instrText xml:space="preserve"> PAGEREF _Toc231830078 \h </w:instrText>
            </w:r>
            <w:r w:rsidR="007A60E1">
              <w:rPr>
                <w:noProof/>
                <w:webHidden/>
              </w:rPr>
            </w:r>
            <w:r w:rsidR="007A60E1">
              <w:rPr>
                <w:noProof/>
                <w:webHidden/>
              </w:rPr>
              <w:fldChar w:fldCharType="separate"/>
            </w:r>
            <w:r w:rsidR="00896FE2">
              <w:rPr>
                <w:noProof/>
                <w:webHidden/>
              </w:rPr>
              <w:t>89</w:t>
            </w:r>
            <w:r w:rsidR="007A60E1">
              <w:rPr>
                <w:noProof/>
                <w:webHidden/>
              </w:rPr>
              <w:fldChar w:fldCharType="end"/>
            </w:r>
          </w:hyperlink>
        </w:p>
        <w:p w14:paraId="28745634" w14:textId="448C45C8" w:rsidR="00A86737" w:rsidRPr="00417E18" w:rsidDel="00243E91" w:rsidRDefault="3B8C0C4F" w:rsidP="0047F219">
          <w:pPr>
            <w:pStyle w:val="TOC1"/>
            <w:tabs>
              <w:tab w:val="left" w:pos="480"/>
              <w:tab w:val="right" w:leader="dot" w:pos="9345"/>
            </w:tabs>
            <w:rPr>
              <w:rStyle w:val="Hyperlink"/>
              <w:noProof/>
              <w:kern w:val="2"/>
              <w:lang w:eastAsia="en-IE"/>
              <w14:ligatures w14:val="standardContextual"/>
            </w:rPr>
          </w:pPr>
          <w:r w:rsidRPr="00417E18">
            <w:rPr>
              <w:rFonts w:cs="Calibri"/>
              <w:noProof/>
              <w:sz w:val="22"/>
              <w:szCs w:val="22"/>
            </w:rPr>
            <w:fldChar w:fldCharType="end"/>
          </w:r>
        </w:p>
      </w:sdtContent>
    </w:sdt>
    <w:p w14:paraId="2F19626B" w14:textId="7B574E26" w:rsidR="00283CC0" w:rsidRPr="00417E18" w:rsidRDefault="00283CC0" w:rsidP="001065B4">
      <w:pPr>
        <w:pStyle w:val="TOC1"/>
        <w:tabs>
          <w:tab w:val="left" w:pos="480"/>
          <w:tab w:val="right" w:leader="dot" w:pos="9345"/>
        </w:tabs>
        <w:rPr>
          <w:rStyle w:val="Hyperlink"/>
          <w:noProof/>
        </w:rPr>
      </w:pPr>
    </w:p>
    <w:p w14:paraId="70EC8A88" w14:textId="3660A5CF" w:rsidR="00283CC0" w:rsidRPr="00417E18" w:rsidRDefault="00283CC0">
      <w:pPr>
        <w:rPr>
          <w:noProof/>
        </w:rPr>
      </w:pPr>
    </w:p>
    <w:p w14:paraId="5D215E75" w14:textId="7D0F4D25" w:rsidR="008503AB" w:rsidRPr="00417E18" w:rsidRDefault="00E41290">
      <w:pPr>
        <w:rPr>
          <w:noProof/>
        </w:rPr>
      </w:pPr>
      <w:r w:rsidRPr="00417E18">
        <w:rPr>
          <w:noProof/>
        </w:rPr>
        <w:br w:type="page"/>
      </w:r>
    </w:p>
    <w:p w14:paraId="11110431" w14:textId="77777777" w:rsidR="003A53C2" w:rsidRPr="00417E18" w:rsidRDefault="4DB62358" w:rsidP="00E11929">
      <w:pPr>
        <w:pStyle w:val="Heading1"/>
        <w:numPr>
          <w:ilvl w:val="0"/>
          <w:numId w:val="40"/>
        </w:numPr>
        <w:rPr>
          <w:noProof/>
        </w:rPr>
      </w:pPr>
      <w:bookmarkStart w:id="2" w:name="_Toc226710891"/>
      <w:bookmarkStart w:id="3" w:name="_Toc725790776"/>
      <w:bookmarkStart w:id="4" w:name="_Toc386323107"/>
      <w:bookmarkStart w:id="5" w:name="_Toc231830049"/>
      <w:r w:rsidRPr="00417E18">
        <w:rPr>
          <w:noProof/>
        </w:rPr>
        <w:t>Introduction</w:t>
      </w:r>
      <w:bookmarkEnd w:id="2"/>
      <w:bookmarkEnd w:id="3"/>
      <w:bookmarkEnd w:id="4"/>
      <w:bookmarkEnd w:id="5"/>
    </w:p>
    <w:p w14:paraId="4A26A539" w14:textId="0EABBA74" w:rsidR="009F0BFE" w:rsidRPr="00417E18" w:rsidRDefault="1B7C7CEF" w:rsidP="01CF6A3E">
      <w:pPr>
        <w:spacing w:after="0" w:line="264" w:lineRule="auto"/>
        <w:rPr>
          <w:rFonts w:eastAsia="Calibri" w:cs="Calibri"/>
          <w:noProof/>
          <w:sz w:val="22"/>
          <w:szCs w:val="22"/>
        </w:rPr>
      </w:pPr>
      <w:r w:rsidRPr="00417E18">
        <w:rPr>
          <w:rFonts w:eastAsia="Calibri" w:cs="Calibri"/>
          <w:noProof/>
          <w:sz w:val="22"/>
          <w:szCs w:val="22"/>
        </w:rPr>
        <w:t>This Annex forms an integral part of the State of the Digital Decade 2026 report</w:t>
      </w:r>
      <w:r w:rsidR="46B73697" w:rsidRPr="07868930">
        <w:rPr>
          <w:rFonts w:eastAsia="Calibri" w:cs="Calibri"/>
          <w:noProof/>
          <w:sz w:val="22"/>
          <w:szCs w:val="22"/>
        </w:rPr>
        <w:t>.</w:t>
      </w:r>
      <w:r w:rsidR="4178C85D" w:rsidRPr="0A9C2659">
        <w:rPr>
          <w:rFonts w:eastAsia="Calibri" w:cs="Calibri"/>
          <w:noProof/>
          <w:sz w:val="22"/>
          <w:szCs w:val="22"/>
        </w:rPr>
        <w:t xml:space="preserve"> </w:t>
      </w:r>
      <w:r w:rsidR="1CDAAF7D" w:rsidRPr="0A9C2659">
        <w:rPr>
          <w:rFonts w:eastAsia="Calibri" w:cs="Calibri"/>
          <w:noProof/>
          <w:sz w:val="22"/>
          <w:szCs w:val="22"/>
        </w:rPr>
        <w:t xml:space="preserve">It </w:t>
      </w:r>
      <w:r w:rsidR="70F4FA39" w:rsidRPr="07868930">
        <w:rPr>
          <w:rFonts w:eastAsia="Calibri" w:cs="Calibri"/>
          <w:noProof/>
          <w:sz w:val="22"/>
          <w:szCs w:val="22"/>
        </w:rPr>
        <w:t>cover</w:t>
      </w:r>
      <w:r w:rsidR="1CDAAF7D" w:rsidRPr="07868930">
        <w:rPr>
          <w:rFonts w:eastAsia="Calibri" w:cs="Calibri"/>
          <w:noProof/>
          <w:sz w:val="22"/>
          <w:szCs w:val="22"/>
        </w:rPr>
        <w:t>s</w:t>
      </w:r>
      <w:r w:rsidRPr="00417E18">
        <w:rPr>
          <w:rFonts w:eastAsia="Calibri" w:cs="Calibri"/>
          <w:noProof/>
          <w:sz w:val="22"/>
          <w:szCs w:val="22"/>
        </w:rPr>
        <w:t xml:space="preserve"> in particular technological sovereignty, security and competitiveness</w:t>
      </w:r>
      <w:r w:rsidR="5983E4E9" w:rsidRPr="07868930">
        <w:rPr>
          <w:rFonts w:eastAsia="Calibri" w:cs="Calibri"/>
          <w:noProof/>
          <w:sz w:val="22"/>
          <w:szCs w:val="22"/>
        </w:rPr>
        <w:t>;</w:t>
      </w:r>
      <w:r w:rsidR="70F4FA39" w:rsidRPr="07868930">
        <w:rPr>
          <w:rFonts w:eastAsia="Calibri" w:cs="Calibri"/>
          <w:noProof/>
          <w:sz w:val="22"/>
          <w:szCs w:val="22"/>
        </w:rPr>
        <w:t xml:space="preserve"> </w:t>
      </w:r>
      <w:r w:rsidR="79E92B13" w:rsidRPr="07868930">
        <w:rPr>
          <w:rFonts w:eastAsia="Calibri" w:cs="Calibri"/>
          <w:noProof/>
          <w:sz w:val="22"/>
          <w:szCs w:val="22"/>
        </w:rPr>
        <w:t xml:space="preserve">the </w:t>
      </w:r>
      <w:r w:rsidR="29B8CA52" w:rsidRPr="07868930">
        <w:rPr>
          <w:rFonts w:eastAsia="Calibri" w:cs="Calibri"/>
          <w:noProof/>
          <w:sz w:val="22"/>
          <w:szCs w:val="22"/>
        </w:rPr>
        <w:t>pro</w:t>
      </w:r>
      <w:r w:rsidR="30940D60" w:rsidRPr="07868930">
        <w:rPr>
          <w:rFonts w:eastAsia="Calibri" w:cs="Calibri"/>
          <w:noProof/>
          <w:sz w:val="22"/>
          <w:szCs w:val="22"/>
        </w:rPr>
        <w:t>t</w:t>
      </w:r>
      <w:r w:rsidR="29B8CA52" w:rsidRPr="07868930">
        <w:rPr>
          <w:rFonts w:eastAsia="Calibri" w:cs="Calibri"/>
          <w:noProof/>
          <w:sz w:val="22"/>
          <w:szCs w:val="22"/>
        </w:rPr>
        <w:t>ecti</w:t>
      </w:r>
      <w:r w:rsidR="79E92B13" w:rsidRPr="07868930">
        <w:rPr>
          <w:rFonts w:eastAsia="Calibri" w:cs="Calibri"/>
          <w:noProof/>
          <w:sz w:val="22"/>
          <w:szCs w:val="22"/>
        </w:rPr>
        <w:t>on</w:t>
      </w:r>
      <w:r w:rsidRPr="00417E18">
        <w:rPr>
          <w:rFonts w:eastAsia="Calibri" w:cs="Calibri"/>
          <w:noProof/>
          <w:sz w:val="22"/>
          <w:szCs w:val="22"/>
        </w:rPr>
        <w:t xml:space="preserve"> and </w:t>
      </w:r>
      <w:r w:rsidR="79E92B13" w:rsidRPr="0A9C2659">
        <w:rPr>
          <w:rFonts w:eastAsia="Calibri" w:cs="Calibri"/>
          <w:noProof/>
          <w:sz w:val="22"/>
          <w:szCs w:val="22"/>
        </w:rPr>
        <w:t>empowerment of</w:t>
      </w:r>
      <w:r w:rsidRPr="00417E18">
        <w:rPr>
          <w:rFonts w:eastAsia="Calibri" w:cs="Calibri"/>
          <w:noProof/>
          <w:sz w:val="22"/>
          <w:szCs w:val="22"/>
        </w:rPr>
        <w:t xml:space="preserve"> people; </w:t>
      </w:r>
      <w:r w:rsidR="1452CE79" w:rsidRPr="0A9C2659">
        <w:rPr>
          <w:rFonts w:eastAsia="Calibri" w:cs="Calibri"/>
          <w:noProof/>
          <w:sz w:val="22"/>
          <w:szCs w:val="22"/>
        </w:rPr>
        <w:t>the role of</w:t>
      </w:r>
      <w:r w:rsidRPr="00417E18">
        <w:rPr>
          <w:rFonts w:eastAsia="Calibri" w:cs="Calibri"/>
          <w:noProof/>
          <w:sz w:val="22"/>
          <w:szCs w:val="22"/>
        </w:rPr>
        <w:t xml:space="preserve"> digitalisation </w:t>
      </w:r>
      <w:r w:rsidR="1452CE79" w:rsidRPr="0A9C2659">
        <w:rPr>
          <w:rFonts w:eastAsia="Calibri" w:cs="Calibri"/>
          <w:noProof/>
          <w:sz w:val="22"/>
          <w:szCs w:val="22"/>
        </w:rPr>
        <w:t>in</w:t>
      </w:r>
      <w:r w:rsidRPr="00417E18">
        <w:rPr>
          <w:rFonts w:eastAsia="Calibri" w:cs="Calibri"/>
          <w:noProof/>
          <w:sz w:val="22"/>
          <w:szCs w:val="22"/>
        </w:rPr>
        <w:t xml:space="preserve"> the green transition; and a strengthened horizontal dimension on coherence, efficiency and simplification across policies and instruments.</w:t>
      </w:r>
      <w:r w:rsidR="3C13790D" w:rsidRPr="00417E18">
        <w:rPr>
          <w:rFonts w:eastAsia="Calibri" w:cs="Calibri"/>
          <w:noProof/>
          <w:sz w:val="22"/>
          <w:szCs w:val="22"/>
        </w:rPr>
        <w:t xml:space="preserve"> </w:t>
      </w:r>
      <w:r w:rsidR="003E6112">
        <w:rPr>
          <w:rFonts w:eastAsia="Calibri" w:cs="Calibri"/>
          <w:noProof/>
          <w:sz w:val="22"/>
          <w:szCs w:val="22"/>
        </w:rPr>
        <w:t>It also includes horizontal recommendations.</w:t>
      </w:r>
    </w:p>
    <w:p w14:paraId="100058B3" w14:textId="21099526" w:rsidR="07DAF3D5" w:rsidRPr="00417E18" w:rsidRDefault="00925BF9" w:rsidP="2426972F">
      <w:pPr>
        <w:spacing w:line="257" w:lineRule="auto"/>
        <w:rPr>
          <w:rStyle w:val="FootnoteReference"/>
          <w:rFonts w:eastAsia="Calibri" w:cs="Calibri"/>
          <w:noProof/>
          <w:sz w:val="22"/>
          <w:szCs w:val="22"/>
        </w:rPr>
      </w:pPr>
      <w:r w:rsidRPr="00D165D0">
        <w:rPr>
          <w:rFonts w:eastAsia="Calibri" w:cs="Calibri"/>
          <w:noProof/>
          <w:sz w:val="22"/>
          <w:szCs w:val="22"/>
        </w:rPr>
        <w:t xml:space="preserve">Recommendations </w:t>
      </w:r>
      <w:r>
        <w:rPr>
          <w:rFonts w:eastAsia="Calibri" w:cs="Calibri"/>
          <w:noProof/>
          <w:sz w:val="22"/>
          <w:szCs w:val="22"/>
        </w:rPr>
        <w:t xml:space="preserve">issued under the Digital Decade policy programme </w:t>
      </w:r>
      <w:r w:rsidRPr="00D165D0">
        <w:rPr>
          <w:rFonts w:eastAsia="Calibri" w:cs="Calibri"/>
          <w:noProof/>
          <w:sz w:val="22"/>
          <w:szCs w:val="22"/>
        </w:rPr>
        <w:t>may</w:t>
      </w:r>
      <w:r w:rsidR="00062727">
        <w:rPr>
          <w:rFonts w:eastAsia="Calibri" w:cs="Calibri"/>
          <w:noProof/>
          <w:sz w:val="22"/>
          <w:szCs w:val="22"/>
        </w:rPr>
        <w:t xml:space="preserve"> address </w:t>
      </w:r>
      <w:r w:rsidRPr="00D165D0">
        <w:rPr>
          <w:rFonts w:eastAsia="Calibri" w:cs="Calibri"/>
          <w:noProof/>
          <w:sz w:val="22"/>
          <w:szCs w:val="22"/>
        </w:rPr>
        <w:t>all dimensions of the Programme: not only the Digital Decade targets, but also the general objectives set out in Article 3</w:t>
      </w:r>
      <w:r w:rsidR="00DD5238">
        <w:rPr>
          <w:rFonts w:eastAsia="Calibri" w:cs="Calibri"/>
          <w:noProof/>
          <w:sz w:val="22"/>
          <w:szCs w:val="22"/>
        </w:rPr>
        <w:t xml:space="preserve"> (e.g. sovereignty, resilience, competitiveness, security, fighting digital d</w:t>
      </w:r>
      <w:r w:rsidR="00154C8A">
        <w:rPr>
          <w:rFonts w:eastAsia="Calibri" w:cs="Calibri"/>
          <w:noProof/>
          <w:sz w:val="22"/>
          <w:szCs w:val="22"/>
        </w:rPr>
        <w:t>ivides</w:t>
      </w:r>
      <w:r w:rsidR="00DD5238">
        <w:rPr>
          <w:rFonts w:eastAsia="Calibri" w:cs="Calibri"/>
          <w:noProof/>
          <w:sz w:val="22"/>
          <w:szCs w:val="22"/>
        </w:rPr>
        <w:t>)</w:t>
      </w:r>
      <w:r w:rsidRPr="00D165D0">
        <w:rPr>
          <w:rFonts w:eastAsia="Calibri" w:cs="Calibri"/>
          <w:noProof/>
          <w:sz w:val="22"/>
          <w:szCs w:val="22"/>
        </w:rPr>
        <w:t xml:space="preserve"> taking into account the digital principles and rights of the European Declaration. </w:t>
      </w:r>
      <w:r w:rsidR="07DAF3D5" w:rsidRPr="00417E18">
        <w:rPr>
          <w:rFonts w:eastAsia="Calibri" w:cs="Calibri"/>
          <w:noProof/>
          <w:sz w:val="22"/>
          <w:szCs w:val="22"/>
        </w:rPr>
        <w:t>Each recommendation is intended to be operationalised by Member States through the updated National Roadmaps to be submitted by December 2026, in accordance with the coherence framework set out in Section 4 of the Communication</w:t>
      </w:r>
      <w:r w:rsidR="229E24A9" w:rsidRPr="674CFB9F">
        <w:rPr>
          <w:rFonts w:eastAsia="Calibri" w:cs="Calibri"/>
          <w:noProof/>
          <w:sz w:val="22"/>
          <w:szCs w:val="22"/>
        </w:rPr>
        <w:t>.</w:t>
      </w:r>
    </w:p>
    <w:p w14:paraId="5DF502AD" w14:textId="27C46713" w:rsidR="00D165D0" w:rsidRPr="00D165D0" w:rsidRDefault="00E82147" w:rsidP="003E6112">
      <w:pPr>
        <w:spacing w:line="257" w:lineRule="auto"/>
        <w:rPr>
          <w:rFonts w:eastAsia="Calibri" w:cs="Calibri"/>
          <w:noProof/>
          <w:sz w:val="22"/>
          <w:szCs w:val="22"/>
        </w:rPr>
      </w:pPr>
      <w:r w:rsidRPr="00D165D0">
        <w:rPr>
          <w:rFonts w:eastAsia="Calibri" w:cs="Calibri"/>
          <w:noProof/>
          <w:sz w:val="22"/>
          <w:szCs w:val="22"/>
        </w:rPr>
        <w:t xml:space="preserve">Member State-specific recommendations </w:t>
      </w:r>
      <w:r>
        <w:rPr>
          <w:rFonts w:eastAsia="Calibri" w:cs="Calibri"/>
          <w:noProof/>
          <w:sz w:val="22"/>
          <w:szCs w:val="22"/>
        </w:rPr>
        <w:t>complement these</w:t>
      </w:r>
      <w:r w:rsidR="003E6112">
        <w:rPr>
          <w:rFonts w:eastAsia="Calibri" w:cs="Calibri"/>
          <w:noProof/>
          <w:sz w:val="22"/>
          <w:szCs w:val="22"/>
        </w:rPr>
        <w:t xml:space="preserve"> </w:t>
      </w:r>
      <w:r>
        <w:rPr>
          <w:rFonts w:eastAsia="Calibri" w:cs="Calibri"/>
          <w:noProof/>
          <w:sz w:val="22"/>
          <w:szCs w:val="22"/>
        </w:rPr>
        <w:t>horizontal recommendation</w:t>
      </w:r>
      <w:r w:rsidR="003E6112">
        <w:rPr>
          <w:rFonts w:eastAsia="Calibri" w:cs="Calibri"/>
          <w:noProof/>
          <w:sz w:val="22"/>
          <w:szCs w:val="22"/>
        </w:rPr>
        <w:t>s</w:t>
      </w:r>
      <w:r>
        <w:rPr>
          <w:rFonts w:eastAsia="Calibri" w:cs="Calibri"/>
          <w:noProof/>
          <w:sz w:val="22"/>
          <w:szCs w:val="22"/>
        </w:rPr>
        <w:t xml:space="preserve"> and are included in Annex 2.</w:t>
      </w:r>
      <w:r w:rsidR="003E6112">
        <w:rPr>
          <w:rFonts w:eastAsia="Calibri" w:cs="Calibri"/>
          <w:noProof/>
          <w:sz w:val="22"/>
          <w:szCs w:val="22"/>
        </w:rPr>
        <w:t xml:space="preserve"> </w:t>
      </w:r>
      <w:r w:rsidR="00D165D0" w:rsidRPr="00D165D0">
        <w:rPr>
          <w:rFonts w:eastAsia="Calibri" w:cs="Calibri"/>
          <w:noProof/>
          <w:sz w:val="22"/>
          <w:szCs w:val="22"/>
        </w:rPr>
        <w:t xml:space="preserve">The identification of recommendations </w:t>
      </w:r>
      <w:r w:rsidR="00D165D0" w:rsidRPr="3A764B19">
        <w:rPr>
          <w:rFonts w:eastAsia="Calibri" w:cs="Calibri"/>
          <w:noProof/>
          <w:sz w:val="22"/>
          <w:szCs w:val="22"/>
        </w:rPr>
        <w:t>take</w:t>
      </w:r>
      <w:r w:rsidR="37FFF233" w:rsidRPr="3A764B19">
        <w:rPr>
          <w:rFonts w:eastAsia="Calibri" w:cs="Calibri"/>
          <w:noProof/>
          <w:sz w:val="22"/>
          <w:szCs w:val="22"/>
        </w:rPr>
        <w:t>s</w:t>
      </w:r>
      <w:r w:rsidR="00D165D0" w:rsidRPr="00D165D0">
        <w:rPr>
          <w:rFonts w:eastAsia="Calibri" w:cs="Calibri"/>
          <w:noProof/>
          <w:sz w:val="22"/>
          <w:szCs w:val="22"/>
        </w:rPr>
        <w:t xml:space="preserve"> into account the Member </w:t>
      </w:r>
      <w:r w:rsidR="00D165D0" w:rsidRPr="3A764B19">
        <w:rPr>
          <w:rFonts w:eastAsia="Calibri" w:cs="Calibri"/>
          <w:noProof/>
          <w:sz w:val="22"/>
          <w:szCs w:val="22"/>
        </w:rPr>
        <w:t>States</w:t>
      </w:r>
      <w:r w:rsidR="4214E732" w:rsidRPr="3A764B19">
        <w:rPr>
          <w:rFonts w:eastAsia="Calibri" w:cs="Calibri"/>
          <w:noProof/>
          <w:sz w:val="22"/>
          <w:szCs w:val="22"/>
        </w:rPr>
        <w:t>’</w:t>
      </w:r>
      <w:r w:rsidR="00D165D0" w:rsidRPr="00D165D0">
        <w:rPr>
          <w:rFonts w:eastAsia="Calibri" w:cs="Calibri"/>
          <w:noProof/>
          <w:sz w:val="22"/>
          <w:szCs w:val="22"/>
        </w:rPr>
        <w:t xml:space="preserve"> performance for </w:t>
      </w:r>
      <w:r w:rsidR="00D165D0" w:rsidRPr="3A764B19">
        <w:rPr>
          <w:rFonts w:eastAsia="Calibri" w:cs="Calibri"/>
          <w:noProof/>
          <w:sz w:val="22"/>
          <w:szCs w:val="22"/>
        </w:rPr>
        <w:t>th</w:t>
      </w:r>
      <w:r w:rsidR="00D61A8B" w:rsidRPr="3A764B19">
        <w:rPr>
          <w:rFonts w:eastAsia="Calibri" w:cs="Calibri"/>
          <w:noProof/>
          <w:sz w:val="22"/>
          <w:szCs w:val="22"/>
        </w:rPr>
        <w:t>ese</w:t>
      </w:r>
      <w:r w:rsidR="00D165D0" w:rsidRPr="00D165D0">
        <w:rPr>
          <w:rFonts w:eastAsia="Calibri" w:cs="Calibri"/>
          <w:noProof/>
          <w:sz w:val="22"/>
          <w:szCs w:val="22"/>
        </w:rPr>
        <w:t xml:space="preserve"> areas (as measured by KPIs or other evidence for areas without KPI) plus a comprehensive policy assessment of the measures taken and/or planned by the Member States for that specific areas informed notably by dedicated bilateral exchanges with administrations, civil society and national regulators taking into account structural factors specific to each Member State, the</w:t>
      </w:r>
      <w:r w:rsidR="00D165D0" w:rsidRPr="00D165D0" w:rsidDel="00C520A4">
        <w:rPr>
          <w:rFonts w:eastAsia="Calibri" w:cs="Calibri"/>
          <w:noProof/>
          <w:sz w:val="22"/>
          <w:szCs w:val="22"/>
        </w:rPr>
        <w:t xml:space="preserve"> </w:t>
      </w:r>
      <w:r w:rsidR="00D165D0" w:rsidRPr="00D165D0">
        <w:rPr>
          <w:rFonts w:eastAsia="Calibri" w:cs="Calibri"/>
          <w:noProof/>
          <w:sz w:val="22"/>
          <w:szCs w:val="22"/>
        </w:rPr>
        <w:t>follow-up to the recommendations issued in 2025 and the measures set out in National Roadmaps with the Programme.</w:t>
      </w:r>
    </w:p>
    <w:p w14:paraId="1B7488B5" w14:textId="1AAC6196" w:rsidR="00D165D0" w:rsidRPr="00D165D0" w:rsidRDefault="036FFF57" w:rsidP="003E6112">
      <w:pPr>
        <w:spacing w:line="257" w:lineRule="auto"/>
        <w:rPr>
          <w:rFonts w:eastAsia="Calibri" w:cs="Calibri"/>
          <w:noProof/>
          <w:sz w:val="22"/>
          <w:szCs w:val="22"/>
        </w:rPr>
      </w:pPr>
      <w:r w:rsidRPr="3A764B19">
        <w:rPr>
          <w:rFonts w:eastAsia="Calibri" w:cs="Calibri"/>
          <w:noProof/>
          <w:sz w:val="22"/>
          <w:szCs w:val="22"/>
        </w:rPr>
        <w:t xml:space="preserve">The key objective of the </w:t>
      </w:r>
      <w:r w:rsidR="75DC2939" w:rsidRPr="3A764B19">
        <w:rPr>
          <w:rFonts w:eastAsia="Calibri" w:cs="Calibri"/>
          <w:noProof/>
          <w:sz w:val="22"/>
          <w:szCs w:val="22"/>
        </w:rPr>
        <w:t>r</w:t>
      </w:r>
      <w:r w:rsidR="00D165D0" w:rsidRPr="3A764B19">
        <w:rPr>
          <w:rFonts w:eastAsia="Calibri" w:cs="Calibri"/>
          <w:noProof/>
          <w:sz w:val="22"/>
          <w:szCs w:val="22"/>
        </w:rPr>
        <w:t xml:space="preserve">ecommendations </w:t>
      </w:r>
      <w:r w:rsidR="508FA476" w:rsidRPr="3A764B19">
        <w:rPr>
          <w:rFonts w:eastAsia="Calibri" w:cs="Calibri"/>
          <w:noProof/>
          <w:sz w:val="22"/>
          <w:szCs w:val="22"/>
        </w:rPr>
        <w:t>is to</w:t>
      </w:r>
      <w:r w:rsidR="00D165D0" w:rsidRPr="3A764B19">
        <w:rPr>
          <w:rFonts w:eastAsia="Calibri" w:cs="Calibri"/>
          <w:noProof/>
          <w:sz w:val="22"/>
          <w:szCs w:val="22"/>
        </w:rPr>
        <w:t xml:space="preserve"> enabl</w:t>
      </w:r>
      <w:r w:rsidR="2CD7B57F" w:rsidRPr="3A764B19">
        <w:rPr>
          <w:rFonts w:eastAsia="Calibri" w:cs="Calibri"/>
          <w:noProof/>
          <w:sz w:val="22"/>
          <w:szCs w:val="22"/>
        </w:rPr>
        <w:t>e</w:t>
      </w:r>
      <w:r w:rsidR="00D165D0" w:rsidRPr="00D165D0">
        <w:rPr>
          <w:rFonts w:eastAsia="Calibri" w:cs="Calibri"/>
          <w:noProof/>
          <w:sz w:val="22"/>
          <w:szCs w:val="22"/>
        </w:rPr>
        <w:t xml:space="preserve"> collective progress and achievement of DD objectives, requiring two complementary and mutually reinforcing approaches: they address gaps where progress is insufficient, and they leverage strengths identified in a Member State - in line with the cooperative approach of the Programme</w:t>
      </w:r>
      <w:r w:rsidR="43FB41E8" w:rsidRPr="3A764B19">
        <w:rPr>
          <w:rFonts w:eastAsia="Calibri" w:cs="Calibri"/>
          <w:noProof/>
          <w:sz w:val="22"/>
          <w:szCs w:val="22"/>
        </w:rPr>
        <w:t>.</w:t>
      </w:r>
      <w:r w:rsidR="00D165D0" w:rsidRPr="3A764B19">
        <w:rPr>
          <w:rFonts w:eastAsia="Calibri" w:cs="Calibri"/>
          <w:noProof/>
          <w:sz w:val="22"/>
          <w:szCs w:val="22"/>
        </w:rPr>
        <w:t xml:space="preserve"> </w:t>
      </w:r>
      <w:r w:rsidR="59553AB8" w:rsidRPr="3A764B19">
        <w:rPr>
          <w:rFonts w:eastAsia="Calibri" w:cs="Calibri"/>
          <w:noProof/>
          <w:sz w:val="22"/>
          <w:szCs w:val="22"/>
        </w:rPr>
        <w:t>R</w:t>
      </w:r>
      <w:r w:rsidR="00D165D0" w:rsidRPr="3A764B19">
        <w:rPr>
          <w:rFonts w:eastAsia="Calibri" w:cs="Calibri"/>
          <w:noProof/>
          <w:sz w:val="22"/>
          <w:szCs w:val="22"/>
        </w:rPr>
        <w:t>einforcing</w:t>
      </w:r>
      <w:r w:rsidR="00D165D0" w:rsidRPr="00D165D0">
        <w:rPr>
          <w:rFonts w:eastAsia="Calibri" w:cs="Calibri"/>
          <w:noProof/>
          <w:sz w:val="22"/>
          <w:szCs w:val="22"/>
        </w:rPr>
        <w:t xml:space="preserve"> and scaling up national strengths can support the European</w:t>
      </w:r>
      <w:r w:rsidR="00D165D0" w:rsidRPr="00D165D0" w:rsidDel="00C520A4">
        <w:rPr>
          <w:rFonts w:eastAsia="Calibri" w:cs="Calibri"/>
          <w:noProof/>
          <w:sz w:val="22"/>
          <w:szCs w:val="22"/>
        </w:rPr>
        <w:t xml:space="preserve"> </w:t>
      </w:r>
      <w:r w:rsidR="00D165D0" w:rsidRPr="00D165D0">
        <w:rPr>
          <w:rFonts w:eastAsia="Calibri" w:cs="Calibri"/>
          <w:noProof/>
          <w:sz w:val="22"/>
          <w:szCs w:val="22"/>
        </w:rPr>
        <w:t>Union as a whole to reach the common Digital Decade targets and objectives</w:t>
      </w:r>
      <w:r w:rsidR="00D165D0" w:rsidRPr="00D165D0" w:rsidDel="00C520A4">
        <w:rPr>
          <w:rFonts w:eastAsia="Calibri" w:cs="Calibri"/>
          <w:noProof/>
          <w:sz w:val="22"/>
          <w:szCs w:val="22"/>
        </w:rPr>
        <w:t xml:space="preserve"> </w:t>
      </w:r>
      <w:r w:rsidR="00D165D0" w:rsidRPr="00D165D0">
        <w:rPr>
          <w:rFonts w:eastAsia="Calibri" w:cs="Calibri"/>
          <w:noProof/>
          <w:sz w:val="22"/>
          <w:szCs w:val="22"/>
        </w:rPr>
        <w:t>(for instance, leadership in technologies which are critical for EU’s sovereignty</w:t>
      </w:r>
      <w:r w:rsidR="00BA741D">
        <w:rPr>
          <w:rFonts w:eastAsia="Calibri" w:cs="Calibri"/>
          <w:noProof/>
          <w:sz w:val="22"/>
          <w:szCs w:val="22"/>
        </w:rPr>
        <w:t>,</w:t>
      </w:r>
      <w:r w:rsidR="00D165D0" w:rsidRPr="00D165D0">
        <w:rPr>
          <w:rFonts w:eastAsia="Calibri" w:cs="Calibri"/>
          <w:noProof/>
          <w:sz w:val="22"/>
          <w:szCs w:val="22"/>
        </w:rPr>
        <w:t xml:space="preserve"> e</w:t>
      </w:r>
      <w:r w:rsidR="00BA741D">
        <w:rPr>
          <w:rFonts w:eastAsia="Calibri" w:cs="Calibri"/>
          <w:noProof/>
          <w:sz w:val="22"/>
          <w:szCs w:val="22"/>
        </w:rPr>
        <w:t>.</w:t>
      </w:r>
      <w:r w:rsidR="00D165D0" w:rsidRPr="00D165D0">
        <w:rPr>
          <w:rFonts w:eastAsia="Calibri" w:cs="Calibri"/>
          <w:noProof/>
          <w:sz w:val="22"/>
          <w:szCs w:val="22"/>
        </w:rPr>
        <w:t>g</w:t>
      </w:r>
      <w:r w:rsidR="00BA741D">
        <w:rPr>
          <w:rFonts w:eastAsia="Calibri" w:cs="Calibri"/>
          <w:noProof/>
          <w:sz w:val="22"/>
          <w:szCs w:val="22"/>
        </w:rPr>
        <w:t>.</w:t>
      </w:r>
      <w:r w:rsidR="00D165D0" w:rsidRPr="00D165D0">
        <w:rPr>
          <w:rFonts w:eastAsia="Calibri" w:cs="Calibri"/>
          <w:noProof/>
          <w:sz w:val="22"/>
          <w:szCs w:val="22"/>
        </w:rPr>
        <w:t xml:space="preserve"> AI, semiconductors or quantum).</w:t>
      </w:r>
    </w:p>
    <w:p w14:paraId="15F2C4BD" w14:textId="77777777" w:rsidR="00D165D0" w:rsidRPr="00D165D0" w:rsidRDefault="00D165D0" w:rsidP="003E6112">
      <w:pPr>
        <w:spacing w:line="257" w:lineRule="auto"/>
        <w:rPr>
          <w:rFonts w:eastAsia="Calibri" w:cs="Calibri"/>
          <w:noProof/>
          <w:sz w:val="22"/>
          <w:szCs w:val="22"/>
        </w:rPr>
      </w:pPr>
      <w:r w:rsidRPr="00D165D0">
        <w:rPr>
          <w:rFonts w:eastAsia="Calibri" w:cs="Calibri"/>
          <w:noProof/>
          <w:sz w:val="22"/>
          <w:szCs w:val="22"/>
        </w:rPr>
        <w:t xml:space="preserve">The Member State-specific recommendations focus on a limited number of structural priorities - about five per Member States, are designed to be actionable and future-oriented, and are prioritised on a scale according to expected impact and relevance in the MS context. This targeted approach ensures that recommendations concentrate on the areas with the greatest potential impact on the basis of its expected contribution to the collective achievement of the Union's Digital Decade objectives and targets. </w:t>
      </w:r>
    </w:p>
    <w:p w14:paraId="1D9E5321" w14:textId="45EF82FF" w:rsidR="00D165D0" w:rsidRPr="00417E18" w:rsidRDefault="00D165D0" w:rsidP="003E6112">
      <w:pPr>
        <w:spacing w:line="257" w:lineRule="auto"/>
        <w:rPr>
          <w:rFonts w:eastAsia="Calibri" w:cs="Calibri"/>
          <w:noProof/>
          <w:sz w:val="22"/>
          <w:szCs w:val="22"/>
        </w:rPr>
      </w:pPr>
      <w:r w:rsidRPr="00D165D0">
        <w:rPr>
          <w:rFonts w:eastAsia="Calibri" w:cs="Calibri"/>
          <w:noProof/>
          <w:sz w:val="22"/>
          <w:szCs w:val="22"/>
        </w:rPr>
        <w:t>The recommendations of th</w:t>
      </w:r>
      <w:r w:rsidR="007337AB">
        <w:rPr>
          <w:rFonts w:eastAsia="Calibri" w:cs="Calibri"/>
          <w:noProof/>
          <w:sz w:val="22"/>
          <w:szCs w:val="22"/>
        </w:rPr>
        <w:t>e State of the Digital Decade report</w:t>
      </w:r>
      <w:r w:rsidRPr="00D165D0">
        <w:rPr>
          <w:rFonts w:eastAsia="Calibri" w:cs="Calibri"/>
          <w:noProof/>
          <w:sz w:val="22"/>
          <w:szCs w:val="22"/>
        </w:rPr>
        <w:t xml:space="preserve"> operate alongside </w:t>
      </w:r>
      <w:r w:rsidRPr="002E5ABC">
        <w:rPr>
          <w:rFonts w:eastAsia="Calibri" w:cs="Calibri"/>
          <w:noProof/>
          <w:sz w:val="22"/>
          <w:szCs w:val="22"/>
        </w:rPr>
        <w:t>the digital dimension of the Country-Specific Recommendations adopted under the European Semester</w:t>
      </w:r>
      <w:r w:rsidR="00743B22">
        <w:rPr>
          <w:rFonts w:eastAsia="Calibri" w:cs="Calibri"/>
          <w:noProof/>
          <w:sz w:val="22"/>
          <w:szCs w:val="22"/>
        </w:rPr>
        <w:t xml:space="preserve"> and other relevant documents, such as the CAP recommendations</w:t>
      </w:r>
      <w:r w:rsidRPr="002E5ABC">
        <w:rPr>
          <w:rFonts w:eastAsia="Calibri" w:cs="Calibri"/>
          <w:noProof/>
          <w:sz w:val="22"/>
          <w:szCs w:val="22"/>
        </w:rPr>
        <w:t>.</w:t>
      </w:r>
      <w:r w:rsidRPr="00D165D0">
        <w:rPr>
          <w:rFonts w:eastAsia="Calibri" w:cs="Calibri"/>
          <w:noProof/>
          <w:sz w:val="22"/>
          <w:szCs w:val="22"/>
        </w:rPr>
        <w:t xml:space="preserve"> The</w:t>
      </w:r>
      <w:r w:rsidR="00743B22">
        <w:rPr>
          <w:rFonts w:eastAsia="Calibri" w:cs="Calibri"/>
          <w:noProof/>
          <w:sz w:val="22"/>
          <w:szCs w:val="22"/>
        </w:rPr>
        <w:t>se</w:t>
      </w:r>
      <w:r w:rsidRPr="00D165D0">
        <w:rPr>
          <w:rFonts w:eastAsia="Calibri" w:cs="Calibri"/>
          <w:noProof/>
          <w:sz w:val="22"/>
          <w:szCs w:val="22"/>
        </w:rPr>
        <w:t xml:space="preserve"> instruments are complementary. On the one hand, the Digital Decade recommendations aim at achieving the EU-level targets and objectives for the digital transformation of the EU On the other hand, the European Semester can identify digital-specific shortcomings with macro-economic, employment or social impact and address recommendations about digital reforms and investment needs in these areas. These elements are also mirrored in the Digital Decade analysis and recommendations, where applicable with additional elements. The Digital decade is also focusing on advanced digital infrastructures deployment linked to EU’s industrial policy and capacities (e.g. semiconductors, quantum) and cybersecurity. The two tracks have been prepared in close coordination to ensure consistency and complementarity.</w:t>
      </w:r>
    </w:p>
    <w:p w14:paraId="0A6A4BC4" w14:textId="025D8FCE" w:rsidR="07DAF3D5" w:rsidRPr="00417E18" w:rsidRDefault="07DAF3D5" w:rsidP="2426972F">
      <w:pPr>
        <w:spacing w:line="257" w:lineRule="auto"/>
        <w:rPr>
          <w:rFonts w:eastAsia="Calibri" w:cs="Calibri"/>
          <w:noProof/>
          <w:sz w:val="22"/>
          <w:szCs w:val="22"/>
        </w:rPr>
      </w:pPr>
      <w:r w:rsidRPr="00417E18">
        <w:rPr>
          <w:rFonts w:eastAsia="Calibri" w:cs="Calibri"/>
          <w:noProof/>
          <w:sz w:val="22"/>
          <w:szCs w:val="22"/>
        </w:rPr>
        <w:t>The 2026 horizontal recommendations also build on the assessment of the implementation of the 2025 EU-level recommendations</w:t>
      </w:r>
      <w:r w:rsidR="00D15532">
        <w:rPr>
          <w:rFonts w:eastAsia="Calibri" w:cs="Calibri"/>
          <w:noProof/>
          <w:sz w:val="22"/>
          <w:szCs w:val="22"/>
        </w:rPr>
        <w:t>,</w:t>
      </w:r>
      <w:r w:rsidRPr="00417E18">
        <w:rPr>
          <w:rFonts w:eastAsia="Calibri" w:cs="Calibri"/>
          <w:noProof/>
          <w:sz w:val="22"/>
          <w:szCs w:val="22"/>
        </w:rPr>
        <w:t xml:space="preserve"> carried out under Article 6 of the Digital Decade Policy Programme Decision</w:t>
      </w:r>
      <w:r w:rsidR="009237A4">
        <w:rPr>
          <w:rStyle w:val="FootnoteReference"/>
          <w:rFonts w:eastAsia="Calibri" w:cs="Calibri"/>
          <w:noProof/>
          <w:sz w:val="22"/>
          <w:szCs w:val="22"/>
        </w:rPr>
        <w:footnoteReference w:id="1"/>
      </w:r>
      <w:r w:rsidRPr="00417E18">
        <w:rPr>
          <w:rFonts w:eastAsia="Calibri" w:cs="Calibri"/>
          <w:noProof/>
          <w:sz w:val="22"/>
          <w:szCs w:val="22"/>
        </w:rPr>
        <w:t xml:space="preserve"> and presented in the accompanying Staff Working Document. Recommendations</w:t>
      </w:r>
      <w:r w:rsidRPr="00417E18" w:rsidDel="00CD680E">
        <w:rPr>
          <w:rFonts w:eastAsia="Calibri" w:cs="Calibri"/>
          <w:noProof/>
          <w:sz w:val="22"/>
          <w:szCs w:val="22"/>
        </w:rPr>
        <w:t xml:space="preserve"> </w:t>
      </w:r>
      <w:r w:rsidR="00CD680E">
        <w:rPr>
          <w:rFonts w:eastAsia="Calibri" w:cs="Calibri"/>
          <w:noProof/>
          <w:sz w:val="22"/>
          <w:szCs w:val="22"/>
        </w:rPr>
        <w:t>assessed</w:t>
      </w:r>
      <w:r w:rsidR="00CD680E" w:rsidRPr="00417E18">
        <w:rPr>
          <w:rFonts w:eastAsia="Calibri" w:cs="Calibri"/>
          <w:noProof/>
          <w:sz w:val="22"/>
          <w:szCs w:val="22"/>
        </w:rPr>
        <w:t xml:space="preserve"> </w:t>
      </w:r>
      <w:r w:rsidRPr="00417E18">
        <w:rPr>
          <w:rFonts w:eastAsia="Calibri" w:cs="Calibri"/>
          <w:noProof/>
          <w:sz w:val="22"/>
          <w:szCs w:val="22"/>
        </w:rPr>
        <w:t>as showing limited progress in 2025 are carried over in updated form</w:t>
      </w:r>
      <w:r w:rsidR="00554B37">
        <w:rPr>
          <w:rFonts w:eastAsia="Calibri" w:cs="Calibri"/>
          <w:noProof/>
          <w:sz w:val="22"/>
          <w:szCs w:val="22"/>
        </w:rPr>
        <w:t>,</w:t>
      </w:r>
      <w:r w:rsidRPr="00417E18">
        <w:rPr>
          <w:rFonts w:eastAsia="Calibri" w:cs="Calibri"/>
          <w:noProof/>
          <w:sz w:val="22"/>
          <w:szCs w:val="22"/>
        </w:rPr>
        <w:t xml:space="preserve"> </w:t>
      </w:r>
      <w:r w:rsidR="00554B37">
        <w:rPr>
          <w:rFonts w:eastAsia="Calibri" w:cs="Calibri"/>
          <w:noProof/>
          <w:sz w:val="22"/>
          <w:szCs w:val="22"/>
        </w:rPr>
        <w:t xml:space="preserve">while </w:t>
      </w:r>
      <w:r w:rsidRPr="00417E18">
        <w:rPr>
          <w:rFonts w:eastAsia="Calibri" w:cs="Calibri"/>
          <w:noProof/>
          <w:sz w:val="22"/>
          <w:szCs w:val="22"/>
        </w:rPr>
        <w:t xml:space="preserve">areas </w:t>
      </w:r>
      <w:r w:rsidR="00554B37">
        <w:rPr>
          <w:rFonts w:eastAsia="Calibri" w:cs="Calibri"/>
          <w:noProof/>
          <w:sz w:val="22"/>
          <w:szCs w:val="22"/>
        </w:rPr>
        <w:t>showing</w:t>
      </w:r>
      <w:r w:rsidR="00554B37" w:rsidRPr="00417E18">
        <w:rPr>
          <w:rFonts w:eastAsia="Calibri" w:cs="Calibri"/>
          <w:noProof/>
          <w:sz w:val="22"/>
          <w:szCs w:val="22"/>
        </w:rPr>
        <w:t xml:space="preserve"> </w:t>
      </w:r>
      <w:r w:rsidRPr="00417E18">
        <w:rPr>
          <w:rFonts w:eastAsia="Calibri" w:cs="Calibri"/>
          <w:noProof/>
          <w:sz w:val="22"/>
          <w:szCs w:val="22"/>
        </w:rPr>
        <w:t xml:space="preserve">notable or significant progress give rise to recommendations </w:t>
      </w:r>
      <w:r w:rsidR="001604EE">
        <w:rPr>
          <w:rFonts w:eastAsia="Calibri" w:cs="Calibri"/>
          <w:noProof/>
          <w:sz w:val="22"/>
          <w:szCs w:val="22"/>
        </w:rPr>
        <w:t>focused</w:t>
      </w:r>
      <w:r w:rsidRPr="00417E18">
        <w:rPr>
          <w:rFonts w:eastAsia="Calibri" w:cs="Calibri"/>
          <w:noProof/>
          <w:sz w:val="22"/>
          <w:szCs w:val="22"/>
        </w:rPr>
        <w:t xml:space="preserve"> on consolidation, scaling and uptake.</w:t>
      </w:r>
    </w:p>
    <w:p w14:paraId="0DD6BA52" w14:textId="7621051C" w:rsidR="1B7C7CEF" w:rsidRPr="00417E18" w:rsidRDefault="1B7C7CEF" w:rsidP="01CF6A3E">
      <w:pPr>
        <w:spacing w:after="0" w:line="264" w:lineRule="auto"/>
        <w:rPr>
          <w:rFonts w:eastAsia="Calibri" w:cs="Calibri"/>
          <w:noProof/>
          <w:sz w:val="22"/>
          <w:szCs w:val="22"/>
        </w:rPr>
      </w:pPr>
      <w:r w:rsidRPr="00417E18">
        <w:rPr>
          <w:rFonts w:eastAsia="Calibri" w:cs="Calibri"/>
          <w:noProof/>
          <w:sz w:val="22"/>
          <w:szCs w:val="22"/>
        </w:rPr>
        <w:t>The analysis provides a comprehensive overview of the state of play, identifying key areas of progress and acceleration, as well as persistent gaps, structural weaknesses</w:t>
      </w:r>
      <w:r w:rsidR="7210B10D" w:rsidRPr="00417E18">
        <w:rPr>
          <w:rFonts w:eastAsia="Calibri" w:cs="Calibri"/>
          <w:noProof/>
          <w:sz w:val="22"/>
          <w:szCs w:val="22"/>
        </w:rPr>
        <w:t>,</w:t>
      </w:r>
      <w:r w:rsidRPr="00417E18">
        <w:rPr>
          <w:rFonts w:eastAsia="Calibri" w:cs="Calibri"/>
          <w:noProof/>
          <w:sz w:val="22"/>
          <w:szCs w:val="22"/>
        </w:rPr>
        <w:t xml:space="preserve"> and emerging risks. It highlights the Union’s strengths to build on and pinpoints the main bottlenecks requiring reinforced reforms and </w:t>
      </w:r>
      <w:r w:rsidR="1F6C3145" w:rsidRPr="00417E18">
        <w:rPr>
          <w:rFonts w:eastAsia="Calibri" w:cs="Calibri"/>
          <w:noProof/>
          <w:sz w:val="22"/>
          <w:szCs w:val="22"/>
        </w:rPr>
        <w:t xml:space="preserve">public and private </w:t>
      </w:r>
      <w:r w:rsidRPr="07868930">
        <w:rPr>
          <w:rFonts w:eastAsia="Calibri" w:cs="Calibri"/>
          <w:noProof/>
          <w:sz w:val="22"/>
          <w:szCs w:val="22"/>
        </w:rPr>
        <w:t>investment.</w:t>
      </w:r>
      <w:r w:rsidRPr="00417E18">
        <w:rPr>
          <w:rFonts w:eastAsia="Calibri" w:cs="Calibri"/>
          <w:noProof/>
          <w:sz w:val="22"/>
          <w:szCs w:val="22"/>
        </w:rPr>
        <w:t xml:space="preserve"> </w:t>
      </w:r>
      <w:r w:rsidR="17DFE1A4" w:rsidRPr="00417E18">
        <w:rPr>
          <w:rFonts w:eastAsia="Calibri" w:cs="Calibri"/>
          <w:noProof/>
          <w:sz w:val="22"/>
          <w:szCs w:val="22"/>
        </w:rPr>
        <w:t xml:space="preserve">It also includes updates on the comprehensive monitoring of the Declaration of digital rights and principles undertaken in 2025. </w:t>
      </w:r>
      <w:r w:rsidRPr="00417E18">
        <w:rPr>
          <w:rFonts w:eastAsia="Calibri" w:cs="Calibri"/>
          <w:noProof/>
          <w:sz w:val="22"/>
          <w:szCs w:val="22"/>
        </w:rPr>
        <w:t>The assessment primarily relies on monitoring through the Digital Economy and Society Index (DESI), complemented by relevant studies, expert analysis and the National Digital Decade Strategic Roadmaps submitted by Member States, with a view to informing targeted policy action, improved coordination and stronger collective delivery.</w:t>
      </w:r>
    </w:p>
    <w:p w14:paraId="059BC0BB" w14:textId="03CC6A14" w:rsidR="71EB2409" w:rsidRDefault="21C93A17" w:rsidP="65C02B55">
      <w:pPr>
        <w:spacing w:after="0" w:line="264" w:lineRule="auto"/>
        <w:rPr>
          <w:noProof/>
        </w:rPr>
      </w:pPr>
      <w:r w:rsidRPr="0865995D">
        <w:rPr>
          <w:rFonts w:eastAsia="Calibri" w:cs="Calibri"/>
          <w:noProof/>
          <w:sz w:val="22"/>
          <w:szCs w:val="22"/>
        </w:rPr>
        <w:t xml:space="preserve">In parallel to investment and capacity-building efforts, the Union has continued to strengthen the regulatory framework underpinning the digital economy, with a view to ensuring fair and contestable markets. In particular, the Digital Markets Act addresses structural imbalances in platform ecosystems by limiting the ability of large digital gatekeepers to act as bottlenecks and by ensuring that </w:t>
      </w:r>
      <w:r w:rsidR="00A14F51" w:rsidRPr="0865995D">
        <w:rPr>
          <w:rFonts w:eastAsia="Calibri" w:cs="Calibri"/>
          <w:noProof/>
          <w:sz w:val="22"/>
          <w:szCs w:val="22"/>
        </w:rPr>
        <w:t xml:space="preserve">digital </w:t>
      </w:r>
      <w:r w:rsidRPr="0865995D">
        <w:rPr>
          <w:rFonts w:eastAsia="Calibri" w:cs="Calibri"/>
          <w:noProof/>
          <w:sz w:val="22"/>
          <w:szCs w:val="22"/>
        </w:rPr>
        <w:t xml:space="preserve">businesses </w:t>
      </w:r>
      <w:r w:rsidR="000574AC" w:rsidRPr="0865995D">
        <w:rPr>
          <w:rFonts w:eastAsia="Calibri" w:cs="Calibri"/>
          <w:noProof/>
          <w:sz w:val="22"/>
          <w:szCs w:val="22"/>
        </w:rPr>
        <w:t>have opportunit</w:t>
      </w:r>
      <w:r w:rsidR="00A53FF2" w:rsidRPr="0865995D">
        <w:rPr>
          <w:rFonts w:eastAsia="Calibri" w:cs="Calibri"/>
          <w:noProof/>
          <w:sz w:val="22"/>
          <w:szCs w:val="22"/>
        </w:rPr>
        <w:t>ies</w:t>
      </w:r>
      <w:r w:rsidR="000574AC" w:rsidRPr="0865995D">
        <w:rPr>
          <w:rFonts w:eastAsia="Calibri" w:cs="Calibri"/>
          <w:noProof/>
          <w:sz w:val="22"/>
          <w:szCs w:val="22"/>
        </w:rPr>
        <w:t xml:space="preserve"> to </w:t>
      </w:r>
      <w:r w:rsidR="004E2115" w:rsidRPr="0865995D">
        <w:rPr>
          <w:rFonts w:eastAsia="Calibri" w:cs="Calibri"/>
          <w:noProof/>
          <w:sz w:val="22"/>
          <w:szCs w:val="22"/>
        </w:rPr>
        <w:t xml:space="preserve">grow and innovate </w:t>
      </w:r>
      <w:r w:rsidR="00050036" w:rsidRPr="0865995D">
        <w:rPr>
          <w:rFonts w:eastAsia="Calibri" w:cs="Calibri"/>
          <w:noProof/>
          <w:sz w:val="22"/>
          <w:szCs w:val="22"/>
        </w:rPr>
        <w:t xml:space="preserve">and together with </w:t>
      </w:r>
      <w:r w:rsidRPr="0865995D">
        <w:rPr>
          <w:rFonts w:eastAsia="Calibri" w:cs="Calibri"/>
          <w:noProof/>
          <w:sz w:val="22"/>
          <w:szCs w:val="22"/>
        </w:rPr>
        <w:t>users can benefit from greater choice, interoperability and access to digital services across the Single Market.</w:t>
      </w:r>
    </w:p>
    <w:p w14:paraId="5C42E8ED" w14:textId="6155AA6D" w:rsidR="0009704E" w:rsidRDefault="36390994" w:rsidP="01CF6A3E">
      <w:pPr>
        <w:spacing w:after="0" w:line="264" w:lineRule="auto"/>
        <w:rPr>
          <w:rFonts w:eastAsia="Calibri" w:cs="Calibri"/>
          <w:noProof/>
          <w:sz w:val="22"/>
          <w:szCs w:val="22"/>
        </w:rPr>
      </w:pPr>
      <w:r w:rsidRPr="0A9C2659">
        <w:rPr>
          <w:rFonts w:eastAsia="Calibri" w:cs="Calibri"/>
          <w:noProof/>
          <w:sz w:val="22"/>
          <w:szCs w:val="22"/>
        </w:rPr>
        <w:t xml:space="preserve">According to the Digital Decade Eurobarometer 2026, </w:t>
      </w:r>
      <w:r w:rsidR="00F523E4" w:rsidRPr="0A9C2659">
        <w:rPr>
          <w:rFonts w:eastAsia="Calibri" w:cs="Calibri"/>
          <w:noProof/>
          <w:sz w:val="22"/>
          <w:szCs w:val="22"/>
        </w:rPr>
        <w:t xml:space="preserve">three </w:t>
      </w:r>
      <w:r w:rsidRPr="0A9C2659">
        <w:rPr>
          <w:rFonts w:eastAsia="Calibri" w:cs="Calibri"/>
          <w:noProof/>
          <w:sz w:val="22"/>
          <w:szCs w:val="22"/>
        </w:rPr>
        <w:t xml:space="preserve">out of </w:t>
      </w:r>
      <w:r w:rsidR="00F523E4" w:rsidRPr="07868930">
        <w:rPr>
          <w:rFonts w:eastAsia="Calibri" w:cs="Calibri"/>
          <w:noProof/>
          <w:sz w:val="22"/>
          <w:szCs w:val="22"/>
        </w:rPr>
        <w:t>four</w:t>
      </w:r>
      <w:r w:rsidRPr="0A9C2659">
        <w:rPr>
          <w:rFonts w:eastAsia="Calibri" w:cs="Calibri"/>
          <w:noProof/>
          <w:sz w:val="22"/>
          <w:szCs w:val="22"/>
        </w:rPr>
        <w:t xml:space="preserve"> </w:t>
      </w:r>
      <w:r w:rsidR="73D27820" w:rsidRPr="0A9C2659">
        <w:rPr>
          <w:rFonts w:eastAsia="Calibri" w:cs="Calibri"/>
          <w:noProof/>
          <w:sz w:val="22"/>
          <w:szCs w:val="22"/>
        </w:rPr>
        <w:t>Europeans believe</w:t>
      </w:r>
      <w:r w:rsidRPr="0A9C2659">
        <w:rPr>
          <w:rFonts w:eastAsia="Calibri" w:cs="Calibri"/>
          <w:noProof/>
          <w:sz w:val="22"/>
          <w:szCs w:val="22"/>
        </w:rPr>
        <w:t xml:space="preserve"> that the digitalisation of public and private services is making their lives easier. Digital health technologies and green digital technologies (e.g. energy-saving tech) are selected by at least half of the respondents when ask</w:t>
      </w:r>
      <w:r w:rsidR="00F523E4" w:rsidRPr="0A9C2659">
        <w:rPr>
          <w:rFonts w:eastAsia="Calibri" w:cs="Calibri"/>
          <w:noProof/>
          <w:sz w:val="22"/>
          <w:szCs w:val="22"/>
        </w:rPr>
        <w:t>ed</w:t>
      </w:r>
      <w:r w:rsidR="00520A1B" w:rsidRPr="0A9C2659">
        <w:rPr>
          <w:rFonts w:eastAsia="Calibri" w:cs="Calibri"/>
          <w:noProof/>
          <w:sz w:val="22"/>
          <w:szCs w:val="22"/>
        </w:rPr>
        <w:t xml:space="preserve"> which </w:t>
      </w:r>
      <w:r w:rsidRPr="0A9C2659">
        <w:rPr>
          <w:rFonts w:eastAsia="Calibri" w:cs="Calibri"/>
          <w:noProof/>
          <w:sz w:val="22"/>
          <w:szCs w:val="22"/>
        </w:rPr>
        <w:t xml:space="preserve">technologies </w:t>
      </w:r>
      <w:r w:rsidR="00520A1B" w:rsidRPr="0A9C2659">
        <w:rPr>
          <w:rFonts w:eastAsia="Calibri" w:cs="Calibri"/>
          <w:noProof/>
          <w:sz w:val="22"/>
          <w:szCs w:val="22"/>
        </w:rPr>
        <w:t xml:space="preserve">are likely to have </w:t>
      </w:r>
      <w:r w:rsidRPr="0A9C2659">
        <w:rPr>
          <w:rFonts w:eastAsia="Calibri" w:cs="Calibri"/>
          <w:noProof/>
          <w:sz w:val="22"/>
          <w:szCs w:val="22"/>
        </w:rPr>
        <w:t xml:space="preserve">a </w:t>
      </w:r>
      <w:r w:rsidR="44D55EBE" w:rsidRPr="0A9C2659">
        <w:rPr>
          <w:rFonts w:eastAsia="Calibri" w:cs="Calibri"/>
          <w:noProof/>
          <w:sz w:val="22"/>
          <w:szCs w:val="22"/>
        </w:rPr>
        <w:t>positive</w:t>
      </w:r>
      <w:r w:rsidRPr="0A9C2659">
        <w:rPr>
          <w:rFonts w:eastAsia="Calibri" w:cs="Calibri"/>
          <w:noProof/>
          <w:sz w:val="22"/>
          <w:szCs w:val="22"/>
        </w:rPr>
        <w:t xml:space="preserve"> impact </w:t>
      </w:r>
      <w:r w:rsidR="00520A1B" w:rsidRPr="0A9C2659">
        <w:rPr>
          <w:rFonts w:eastAsia="Calibri" w:cs="Calibri"/>
          <w:noProof/>
          <w:sz w:val="22"/>
          <w:szCs w:val="22"/>
        </w:rPr>
        <w:t xml:space="preserve">over </w:t>
      </w:r>
      <w:r w:rsidRPr="0A9C2659">
        <w:rPr>
          <w:rFonts w:eastAsia="Calibri" w:cs="Calibri"/>
          <w:noProof/>
          <w:sz w:val="22"/>
          <w:szCs w:val="22"/>
        </w:rPr>
        <w:t xml:space="preserve">the next </w:t>
      </w:r>
      <w:r w:rsidR="0042477A" w:rsidRPr="0A9C2659">
        <w:rPr>
          <w:rFonts w:eastAsia="Calibri" w:cs="Calibri"/>
          <w:noProof/>
          <w:sz w:val="22"/>
          <w:szCs w:val="22"/>
        </w:rPr>
        <w:t xml:space="preserve">ten </w:t>
      </w:r>
      <w:r w:rsidRPr="0A9C2659">
        <w:rPr>
          <w:rFonts w:eastAsia="Calibri" w:cs="Calibri"/>
          <w:noProof/>
          <w:sz w:val="22"/>
          <w:szCs w:val="22"/>
        </w:rPr>
        <w:t>years.</w:t>
      </w:r>
    </w:p>
    <w:p w14:paraId="3242778F" w14:textId="77777777" w:rsidR="001E3949" w:rsidRDefault="001E3949" w:rsidP="01CF6A3E">
      <w:pPr>
        <w:spacing w:after="0" w:line="264" w:lineRule="auto"/>
        <w:rPr>
          <w:rFonts w:eastAsia="Calibri" w:cs="Calibri"/>
          <w:noProof/>
          <w:sz w:val="22"/>
          <w:szCs w:val="22"/>
        </w:rPr>
      </w:pPr>
    </w:p>
    <w:p w14:paraId="56F0CF97" w14:textId="30E1CF8F" w:rsidR="001E3949" w:rsidRDefault="00CC53B2">
      <w:pPr>
        <w:spacing w:before="0" w:after="160"/>
        <w:jc w:val="left"/>
        <w:rPr>
          <w:rFonts w:eastAsia="Calibri" w:cs="Calibri"/>
          <w:noProof/>
          <w:sz w:val="22"/>
          <w:szCs w:val="22"/>
        </w:rPr>
      </w:pPr>
      <w:r>
        <w:rPr>
          <w:rFonts w:eastAsia="Calibri" w:cs="Calibri"/>
          <w:noProof/>
          <w:sz w:val="22"/>
          <w:szCs w:val="22"/>
        </w:rPr>
        <w:br w:type="page"/>
      </w:r>
    </w:p>
    <w:tbl>
      <w:tblPr>
        <w:tblStyle w:val="TableGrid"/>
        <w:tblW w:w="0" w:type="auto"/>
        <w:tblLook w:val="04A0" w:firstRow="1" w:lastRow="0" w:firstColumn="1" w:lastColumn="0" w:noHBand="0" w:noVBand="1"/>
      </w:tblPr>
      <w:tblGrid>
        <w:gridCol w:w="9350"/>
      </w:tblGrid>
      <w:tr w:rsidR="00CC53B2" w14:paraId="040ABDE9" w14:textId="77777777" w:rsidTr="374A983A">
        <w:tc>
          <w:tcPr>
            <w:tcW w:w="9350" w:type="dxa"/>
          </w:tcPr>
          <w:p w14:paraId="4014056A" w14:textId="77777777" w:rsidR="00CC53B2" w:rsidRDefault="00CC53B2" w:rsidP="00967EE0">
            <w:pPr>
              <w:spacing w:after="0" w:line="264" w:lineRule="auto"/>
              <w:jc w:val="center"/>
              <w:rPr>
                <w:rFonts w:eastAsia="Calibri" w:cs="Calibri"/>
                <w:b/>
                <w:bCs/>
                <w:noProof/>
              </w:rPr>
            </w:pPr>
            <w:r>
              <w:rPr>
                <w:rFonts w:eastAsia="Calibri" w:cs="Calibri"/>
                <w:noProof/>
              </w:rPr>
              <w:tab/>
            </w:r>
            <w:r w:rsidRPr="573AF0AE">
              <w:rPr>
                <w:rFonts w:eastAsia="Calibri" w:cs="Calibri"/>
                <w:b/>
                <w:bCs/>
                <w:noProof/>
              </w:rPr>
              <w:t>Box: Approach to the 2026 Recommendations</w:t>
            </w:r>
          </w:p>
          <w:p w14:paraId="5B208EB2" w14:textId="77777777" w:rsidR="00CC53B2" w:rsidRDefault="00CC53B2" w:rsidP="00967EE0">
            <w:pPr>
              <w:spacing w:after="0" w:line="264" w:lineRule="auto"/>
              <w:rPr>
                <w:rFonts w:eastAsia="Calibri" w:cs="Calibri"/>
                <w:noProof/>
              </w:rPr>
            </w:pPr>
            <w:r w:rsidRPr="30D0A436">
              <w:rPr>
                <w:rFonts w:eastAsia="Calibri" w:cs="Calibri"/>
                <w:noProof/>
              </w:rPr>
              <w:t>The followin</w:t>
            </w:r>
            <w:r>
              <w:rPr>
                <w:rFonts w:eastAsia="Calibri" w:cs="Calibri"/>
                <w:noProof/>
              </w:rPr>
              <w:t>g</w:t>
            </w:r>
            <w:r w:rsidRPr="30D0A436">
              <w:rPr>
                <w:rFonts w:eastAsia="Calibri" w:cs="Calibri"/>
                <w:noProof/>
              </w:rPr>
              <w:t xml:space="preserve"> sets out the methodology used to identify Member State-specific and EU-level </w:t>
            </w:r>
            <w:r w:rsidRPr="30D0A436">
              <w:rPr>
                <w:rFonts w:eastAsia="Calibri" w:cs="Calibri"/>
                <w:noProof/>
                <w:color w:val="000000" w:themeColor="text1"/>
              </w:rPr>
              <w:t>recommended policies, measures and actions</w:t>
            </w:r>
            <w:r w:rsidRPr="30D0A436">
              <w:rPr>
                <w:rFonts w:eastAsia="Calibri" w:cs="Calibri"/>
                <w:noProof/>
              </w:rPr>
              <w:t xml:space="preserve"> under the Digital Decade Policy Programme.</w:t>
            </w:r>
          </w:p>
          <w:p w14:paraId="0B0F1EAE" w14:textId="77777777" w:rsidR="00CC53B2" w:rsidRDefault="00CC53B2" w:rsidP="00E11929">
            <w:pPr>
              <w:numPr>
                <w:ilvl w:val="0"/>
                <w:numId w:val="37"/>
              </w:numPr>
              <w:spacing w:after="0" w:line="264" w:lineRule="auto"/>
              <w:rPr>
                <w:rFonts w:eastAsia="Calibri" w:cs="Calibri"/>
                <w:b/>
                <w:bCs/>
                <w:noProof/>
              </w:rPr>
            </w:pPr>
            <w:r w:rsidRPr="30D0A436">
              <w:rPr>
                <w:rFonts w:eastAsia="Calibri" w:cs="Calibri"/>
                <w:b/>
                <w:bCs/>
                <w:noProof/>
              </w:rPr>
              <w:t>Legal basis</w:t>
            </w:r>
          </w:p>
          <w:p w14:paraId="5E18AEC8" w14:textId="77777777" w:rsidR="00CC53B2" w:rsidRDefault="00CC53B2" w:rsidP="00967EE0">
            <w:pPr>
              <w:spacing w:after="0" w:line="264" w:lineRule="auto"/>
              <w:rPr>
                <w:rFonts w:eastAsia="Calibri" w:cs="Calibri"/>
                <w:noProof/>
                <w:color w:val="000000" w:themeColor="text1"/>
              </w:rPr>
            </w:pPr>
            <w:r w:rsidRPr="30D0A436">
              <w:rPr>
                <w:rFonts w:eastAsia="Calibri" w:cs="Calibri"/>
                <w:noProof/>
                <w:color w:val="000000" w:themeColor="text1"/>
              </w:rPr>
              <w:t>The recommendations set out in the 2026 State of the Digital Decade Report are based on the provisions of Decision (EU) 2022/2481 of the European Parliament and of the Council establishing the Digital Decade Policy Programme 2030. The relevant provisions are the following:</w:t>
            </w:r>
          </w:p>
          <w:p w14:paraId="73F629FC" w14:textId="77777777" w:rsidR="00CC53B2" w:rsidRDefault="00CC53B2" w:rsidP="00967EE0">
            <w:pPr>
              <w:spacing w:after="0" w:line="264" w:lineRule="auto"/>
              <w:rPr>
                <w:rFonts w:eastAsia="Calibri" w:cs="Calibri"/>
                <w:noProof/>
                <w:color w:val="000000" w:themeColor="text1"/>
              </w:rPr>
            </w:pPr>
            <w:r w:rsidRPr="30D0A436">
              <w:rPr>
                <w:rFonts w:eastAsia="Calibri" w:cs="Calibri"/>
                <w:b/>
                <w:bCs/>
                <w:noProof/>
                <w:color w:val="000000" w:themeColor="text1"/>
              </w:rPr>
              <w:t xml:space="preserve">Article 3 </w:t>
            </w:r>
            <w:r w:rsidRPr="30D0A436">
              <w:rPr>
                <w:rFonts w:eastAsia="Calibri" w:cs="Calibri"/>
                <w:noProof/>
                <w:color w:val="000000" w:themeColor="text1"/>
              </w:rPr>
              <w:t>sets out the general objectives of the Programme, covering, in particular, collective resilience, bridging the digital divide, fostering digital sovereignty, the deployment and the use of digital capabilities, the digital empowerment of citizens, cybersecurity, and a sustainable digital transformation.</w:t>
            </w:r>
          </w:p>
          <w:p w14:paraId="45B5A800" w14:textId="77777777" w:rsidR="00CC53B2" w:rsidRDefault="00CC53B2" w:rsidP="00967EE0">
            <w:pPr>
              <w:spacing w:after="0" w:line="264" w:lineRule="auto"/>
              <w:rPr>
                <w:rFonts w:eastAsia="Calibri" w:cs="Calibri"/>
                <w:noProof/>
                <w:color w:val="000000" w:themeColor="text1"/>
              </w:rPr>
            </w:pPr>
            <w:r w:rsidRPr="30D0A436">
              <w:rPr>
                <w:rFonts w:eastAsia="Calibri" w:cs="Calibri"/>
                <w:b/>
                <w:bCs/>
                <w:noProof/>
                <w:color w:val="000000" w:themeColor="text1"/>
              </w:rPr>
              <w:t xml:space="preserve">Article 4 </w:t>
            </w:r>
            <w:r w:rsidRPr="30D0A436">
              <w:rPr>
                <w:rFonts w:eastAsia="Calibri" w:cs="Calibri"/>
                <w:noProof/>
                <w:color w:val="000000" w:themeColor="text1"/>
              </w:rPr>
              <w:t>sets out the digital targets to be achieved collectively by Member States by 2030, covering digital skills, digital infrastructure, the digitalisation of businesses, and the digitalisation of public services.</w:t>
            </w:r>
          </w:p>
          <w:p w14:paraId="64FAE0CA" w14:textId="77777777" w:rsidR="00CC53B2" w:rsidRDefault="00CC53B2" w:rsidP="00967EE0">
            <w:pPr>
              <w:spacing w:after="0" w:line="264" w:lineRule="auto"/>
              <w:rPr>
                <w:rFonts w:eastAsia="Calibri" w:cs="Calibri"/>
                <w:noProof/>
                <w:color w:val="000000" w:themeColor="text1"/>
              </w:rPr>
            </w:pPr>
            <w:r w:rsidRPr="30D0A436">
              <w:rPr>
                <w:rFonts w:eastAsia="Calibri" w:cs="Calibri"/>
                <w:b/>
                <w:bCs/>
                <w:noProof/>
                <w:color w:val="000000" w:themeColor="text1"/>
              </w:rPr>
              <w:t xml:space="preserve">Article 5 </w:t>
            </w:r>
            <w:r w:rsidRPr="30D0A436">
              <w:rPr>
                <w:rFonts w:eastAsia="Calibri" w:cs="Calibri"/>
                <w:noProof/>
                <w:color w:val="000000" w:themeColor="text1"/>
              </w:rPr>
              <w:t>requires the Commission to monitor progress towards the general objectives and the digital targets based on Member States’ Key Performance Indicators (KPIs), also compared to Union-level projected trajectories, for each of the digital targets established in close cooperation with Member States.</w:t>
            </w:r>
          </w:p>
          <w:p w14:paraId="078E8897" w14:textId="77777777" w:rsidR="00CC53B2" w:rsidRDefault="00CC53B2" w:rsidP="00967EE0">
            <w:pPr>
              <w:spacing w:after="0" w:line="264" w:lineRule="auto"/>
              <w:rPr>
                <w:rFonts w:eastAsia="Calibri" w:cs="Calibri"/>
                <w:noProof/>
                <w:color w:val="000000" w:themeColor="text1"/>
              </w:rPr>
            </w:pPr>
            <w:r w:rsidRPr="30D0A436">
              <w:rPr>
                <w:rFonts w:eastAsia="Calibri" w:cs="Calibri"/>
                <w:b/>
                <w:bCs/>
                <w:noProof/>
                <w:color w:val="000000" w:themeColor="text1"/>
              </w:rPr>
              <w:t xml:space="preserve">Article 6 </w:t>
            </w:r>
            <w:r w:rsidRPr="30D0A436">
              <w:rPr>
                <w:rFonts w:eastAsia="Calibri" w:cs="Calibri"/>
                <w:noProof/>
                <w:color w:val="000000" w:themeColor="text1"/>
              </w:rPr>
              <w:t xml:space="preserve">requires the Commission to assess, in its annual Report on the </w:t>
            </w:r>
            <w:r w:rsidRPr="3A764B19">
              <w:rPr>
                <w:rFonts w:eastAsia="Calibri" w:cs="Calibri"/>
                <w:noProof/>
                <w:color w:val="000000" w:themeColor="text1"/>
              </w:rPr>
              <w:t>State</w:t>
            </w:r>
            <w:r w:rsidRPr="30D0A436">
              <w:rPr>
                <w:rFonts w:eastAsia="Calibri" w:cs="Calibri"/>
                <w:noProof/>
                <w:color w:val="000000" w:themeColor="text1"/>
              </w:rPr>
              <w:t xml:space="preserve"> of the Digital Decade, the progress of the Union’s digital transformation against both the general objectives and the digital targets, and to identify significant gaps and shortages and recommend policies, measures or actions to be taken by Member States in areas where progress was insufficient to achieve the general objectives and digital targets.</w:t>
            </w:r>
          </w:p>
          <w:p w14:paraId="021ACF38" w14:textId="77777777" w:rsidR="00CC53B2" w:rsidRDefault="00CC53B2" w:rsidP="00967EE0">
            <w:pPr>
              <w:spacing w:after="0" w:line="264" w:lineRule="auto"/>
              <w:rPr>
                <w:rFonts w:eastAsia="Calibri" w:cs="Calibri"/>
                <w:noProof/>
                <w:color w:val="000000" w:themeColor="text1"/>
              </w:rPr>
            </w:pPr>
            <w:r w:rsidRPr="30D0A436">
              <w:rPr>
                <w:rFonts w:eastAsia="Calibri" w:cs="Calibri"/>
                <w:b/>
                <w:bCs/>
                <w:noProof/>
                <w:color w:val="000000" w:themeColor="text1"/>
              </w:rPr>
              <w:t xml:space="preserve">Article 7 </w:t>
            </w:r>
            <w:r w:rsidRPr="30D0A436">
              <w:rPr>
                <w:rFonts w:eastAsia="Calibri" w:cs="Calibri"/>
                <w:noProof/>
                <w:color w:val="000000" w:themeColor="text1"/>
              </w:rPr>
              <w:t>establishes the national Digital Decade strategic roadmaps as the main implementation mechanism through which Member States respond to the recommendations and set out the measures they intend to take to address identified gaps, also taking into consideration the latest country-specific recommendations issued in the context of the European Semester.</w:t>
            </w:r>
          </w:p>
          <w:p w14:paraId="598C39F6" w14:textId="77777777" w:rsidR="00CC53B2" w:rsidRDefault="00CC53B2" w:rsidP="00E11929">
            <w:pPr>
              <w:numPr>
                <w:ilvl w:val="0"/>
                <w:numId w:val="37"/>
              </w:numPr>
              <w:spacing w:after="0" w:line="264" w:lineRule="auto"/>
              <w:rPr>
                <w:rFonts w:eastAsia="Calibri" w:cs="Calibri"/>
                <w:b/>
                <w:bCs/>
                <w:noProof/>
              </w:rPr>
            </w:pPr>
            <w:r w:rsidRPr="30D0A436">
              <w:rPr>
                <w:rFonts w:eastAsia="Calibri" w:cs="Calibri"/>
                <w:b/>
                <w:bCs/>
                <w:noProof/>
              </w:rPr>
              <w:t>Scope and main factors informing recommendations</w:t>
            </w:r>
          </w:p>
          <w:p w14:paraId="7398690F" w14:textId="77777777" w:rsidR="00CC53B2" w:rsidRPr="001E3949" w:rsidRDefault="00CC53B2" w:rsidP="00967EE0">
            <w:pPr>
              <w:spacing w:after="0" w:line="264" w:lineRule="auto"/>
              <w:rPr>
                <w:rFonts w:eastAsia="Calibri" w:cs="Calibri"/>
                <w:noProof/>
                <w:color w:val="000000" w:themeColor="text1"/>
              </w:rPr>
            </w:pPr>
            <w:r w:rsidRPr="001E3949">
              <w:rPr>
                <w:rFonts w:eastAsia="Calibri" w:cs="Calibri"/>
                <w:noProof/>
                <w:color w:val="000000" w:themeColor="text1"/>
              </w:rPr>
              <w:t xml:space="preserve">Recommendations may address </w:t>
            </w:r>
            <w:r w:rsidRPr="001E3949">
              <w:rPr>
                <w:rFonts w:eastAsia="Calibri" w:cs="Calibri"/>
                <w:noProof/>
                <w:color w:val="000000" w:themeColor="text1"/>
                <w:u w:val="single"/>
              </w:rPr>
              <w:t>digital targets</w:t>
            </w:r>
            <w:r w:rsidRPr="001E3949">
              <w:rPr>
                <w:rFonts w:eastAsia="Calibri" w:cs="Calibri"/>
                <w:noProof/>
                <w:color w:val="000000" w:themeColor="text1"/>
              </w:rPr>
              <w:t xml:space="preserve"> set out in Article 4 and </w:t>
            </w:r>
            <w:r w:rsidRPr="001E3949">
              <w:rPr>
                <w:rFonts w:eastAsia="Calibri" w:cs="Calibri"/>
                <w:noProof/>
                <w:color w:val="000000" w:themeColor="text1"/>
                <w:u w:val="single"/>
              </w:rPr>
              <w:t>general objectives</w:t>
            </w:r>
            <w:r w:rsidRPr="001E3949">
              <w:rPr>
                <w:rFonts w:eastAsia="Calibri" w:cs="Calibri"/>
                <w:noProof/>
                <w:color w:val="000000" w:themeColor="text1"/>
              </w:rPr>
              <w:t xml:space="preserve"> set out in Article 3, taking into account the digital principles and rights enshrined in the European Declaration on Digital Rights and Principles.</w:t>
            </w:r>
          </w:p>
          <w:p w14:paraId="39035B5C" w14:textId="77777777" w:rsidR="00CC53B2" w:rsidRDefault="00CC53B2" w:rsidP="00CC53B2">
            <w:pPr>
              <w:rPr>
                <w:noProof/>
              </w:rPr>
            </w:pPr>
            <w:r w:rsidRPr="30D0A436">
              <w:rPr>
                <w:rFonts w:eastAsia="Calibri" w:cs="Calibri"/>
                <w:noProof/>
                <w:color w:val="000000" w:themeColor="text1"/>
              </w:rPr>
              <w:t>The identification of recommended policies, measures and actions draws on multiple factors: the performance of each Member State as measured by the relevant KPIs or, where no KPI data is available on Member State level, by other available evidence; a comprehensive policy assessment of the measures taken and planned by the Member State in the relevant area in their national Digital Decade strategic roadmap and beyond; structural factors specific to each Member State; the follow-up to</w:t>
            </w:r>
            <w:r>
              <w:rPr>
                <w:rFonts w:eastAsia="Calibri" w:cs="Calibri"/>
                <w:noProof/>
                <w:color w:val="000000" w:themeColor="text1"/>
              </w:rPr>
              <w:t xml:space="preserve"> recommendations issued in 2025.</w:t>
            </w:r>
          </w:p>
          <w:p w14:paraId="6D96AD85" w14:textId="77777777" w:rsidR="00CC53B2" w:rsidRDefault="00CC53B2" w:rsidP="00967EE0">
            <w:pPr>
              <w:spacing w:after="0" w:line="264" w:lineRule="auto"/>
              <w:rPr>
                <w:rFonts w:eastAsia="Calibri" w:cs="Calibri"/>
                <w:noProof/>
                <w:color w:val="000000" w:themeColor="text1"/>
              </w:rPr>
            </w:pPr>
            <w:r w:rsidRPr="30D0A436">
              <w:rPr>
                <w:rFonts w:eastAsia="Calibri" w:cs="Calibri"/>
                <w:noProof/>
                <w:color w:val="000000" w:themeColor="text1"/>
              </w:rPr>
              <w:t>Recommendations can address both gaps where progress is insufficient and suggest leveraging existing strengths at Member State level. In line with the cooperative approach of the Programme, reinforcing and scaling up national strengths can support the Union as a whole in reaching the common Digital Decade targets - for instance, leadership in technologies critical for EU digital sovereignty such as artificial intelligence, semiconductors or quantum communications.</w:t>
            </w:r>
          </w:p>
          <w:p w14:paraId="488BAC3F" w14:textId="77777777" w:rsidR="00CC53B2" w:rsidRDefault="00CC53B2" w:rsidP="00CC53B2">
            <w:pPr>
              <w:rPr>
                <w:rFonts w:eastAsia="Calibri" w:cs="Calibri"/>
                <w:noProof/>
                <w:color w:val="000000" w:themeColor="text1"/>
              </w:rPr>
            </w:pPr>
            <w:r w:rsidRPr="30D0A436">
              <w:rPr>
                <w:rFonts w:eastAsia="Calibri" w:cs="Calibri"/>
                <w:noProof/>
                <w:color w:val="000000" w:themeColor="text1"/>
              </w:rPr>
              <w:t>Member State-specific recommendations are complemented</w:t>
            </w:r>
            <w:r>
              <w:rPr>
                <w:rFonts w:eastAsia="Calibri" w:cs="Calibri"/>
                <w:noProof/>
                <w:color w:val="000000" w:themeColor="text1"/>
              </w:rPr>
              <w:t xml:space="preserve"> </w:t>
            </w:r>
            <w:r w:rsidRPr="30D0A436">
              <w:rPr>
                <w:rFonts w:eastAsia="Calibri" w:cs="Calibri"/>
                <w:noProof/>
                <w:color w:val="000000" w:themeColor="text1"/>
              </w:rPr>
              <w:t>by the EU-level recommendations set out in Annex 1, which adopt a Union-wide perspective and are addressed to all Member States, as applicable.</w:t>
            </w:r>
          </w:p>
          <w:p w14:paraId="315BBA24" w14:textId="77777777" w:rsidR="00CC53B2" w:rsidRPr="001E3949" w:rsidRDefault="00CC53B2" w:rsidP="00E11929">
            <w:pPr>
              <w:pStyle w:val="ListParagraph"/>
              <w:numPr>
                <w:ilvl w:val="0"/>
                <w:numId w:val="39"/>
              </w:numPr>
              <w:spacing w:after="0" w:line="264" w:lineRule="auto"/>
              <w:rPr>
                <w:rFonts w:eastAsia="Calibri" w:cs="Calibri"/>
                <w:b/>
                <w:bCs/>
                <w:noProof/>
              </w:rPr>
            </w:pPr>
            <w:r w:rsidRPr="001E3949">
              <w:rPr>
                <w:rFonts w:eastAsia="Calibri" w:cs="Calibri"/>
                <w:b/>
                <w:bCs/>
                <w:noProof/>
              </w:rPr>
              <w:t>Prioritisation logic for Member State-specific recommendations</w:t>
            </w:r>
          </w:p>
          <w:p w14:paraId="612B6948" w14:textId="45C1A95F" w:rsidR="00CC53B2" w:rsidRDefault="00CC53B2" w:rsidP="00CC53B2">
            <w:pPr>
              <w:rPr>
                <w:rFonts w:eastAsia="Calibri" w:cs="Calibri"/>
                <w:noProof/>
                <w:color w:val="000000" w:themeColor="text1"/>
              </w:rPr>
            </w:pPr>
            <w:r w:rsidRPr="00A400F4">
              <w:rPr>
                <w:rFonts w:eastAsia="Calibri" w:cs="Calibri"/>
                <w:noProof/>
                <w:color w:val="000000" w:themeColor="text1"/>
              </w:rPr>
              <w:t>In the 2026 State of the Digital Decade Report, Member State-specific recommendations concentrate on a lim</w:t>
            </w:r>
            <w:r w:rsidRPr="006F6507">
              <w:rPr>
                <w:rFonts w:eastAsia="Calibri" w:cs="Calibri"/>
                <w:noProof/>
                <w:color w:val="000000" w:themeColor="text1"/>
              </w:rPr>
              <w:t>ited set of structural priorities with the greatest potential to accelerate progress towards the Union’s Digital Decade objectives and targets. The recommendations are actionable, forward-looking and presented in an indicative order of priority based on their expected impact and relevance, taking into account the specific national context (see heat map below). This prioritisation is intended to</w:t>
            </w:r>
            <w:r w:rsidRPr="006F6507" w:rsidDel="007471A7">
              <w:rPr>
                <w:rFonts w:eastAsia="Calibri" w:cs="Calibri"/>
                <w:noProof/>
                <w:color w:val="000000" w:themeColor="text1"/>
              </w:rPr>
              <w:t xml:space="preserve"> </w:t>
            </w:r>
            <w:r w:rsidRPr="006F6507">
              <w:rPr>
                <w:rFonts w:eastAsia="Calibri" w:cs="Calibri"/>
                <w:noProof/>
                <w:color w:val="000000" w:themeColor="text1"/>
              </w:rPr>
              <w:t>help</w:t>
            </w:r>
            <w:r w:rsidRPr="00A400F4">
              <w:rPr>
                <w:rFonts w:eastAsia="Calibri" w:cs="Calibri"/>
                <w:noProof/>
                <w:color w:val="000000" w:themeColor="text1"/>
              </w:rPr>
              <w:t xml:space="preserve"> focus efforts on those areas where reforms, investments and policy measures </w:t>
            </w:r>
            <w:r>
              <w:rPr>
                <w:rFonts w:eastAsia="Calibri" w:cs="Calibri"/>
                <w:noProof/>
                <w:color w:val="000000" w:themeColor="text1"/>
              </w:rPr>
              <w:t xml:space="preserve">may have </w:t>
            </w:r>
            <w:r w:rsidRPr="00A400F4">
              <w:rPr>
                <w:rFonts w:eastAsia="Calibri" w:cs="Calibri"/>
                <w:noProof/>
                <w:color w:val="000000" w:themeColor="text1"/>
              </w:rPr>
              <w:t>the most significant contribution to Europe’s digital transformation.</w:t>
            </w:r>
          </w:p>
          <w:p w14:paraId="5972CB2B" w14:textId="77777777" w:rsidR="00CC53B2" w:rsidRDefault="00CC53B2" w:rsidP="00E11929">
            <w:pPr>
              <w:pStyle w:val="ListParagraph"/>
              <w:numPr>
                <w:ilvl w:val="0"/>
                <w:numId w:val="39"/>
              </w:numPr>
              <w:spacing w:after="0" w:line="264" w:lineRule="auto"/>
              <w:rPr>
                <w:rFonts w:eastAsia="Calibri" w:cs="Calibri"/>
                <w:b/>
                <w:bCs/>
                <w:noProof/>
              </w:rPr>
            </w:pPr>
            <w:r w:rsidRPr="30D0A436">
              <w:rPr>
                <w:rFonts w:eastAsia="Calibri" w:cs="Calibri"/>
                <w:b/>
                <w:bCs/>
                <w:noProof/>
              </w:rPr>
              <w:t>Reflection of these elements across the 2026 State of the Digital Decade report package</w:t>
            </w:r>
          </w:p>
          <w:p w14:paraId="23E90C8F" w14:textId="77777777" w:rsidR="00CC53B2" w:rsidRDefault="00CC53B2" w:rsidP="00CC53B2">
            <w:pPr>
              <w:spacing w:after="0" w:line="264" w:lineRule="auto"/>
              <w:rPr>
                <w:rFonts w:eastAsia="Calibri" w:cs="Calibri"/>
                <w:noProof/>
              </w:rPr>
            </w:pPr>
            <w:r w:rsidRPr="30D0A436">
              <w:rPr>
                <w:rFonts w:eastAsia="Calibri" w:cs="Calibri"/>
                <w:noProof/>
              </w:rPr>
              <w:t xml:space="preserve">Member State-specific and EU-level recommendations are reflected across 2026 State of the Digital Decade report package as follows: </w:t>
            </w:r>
          </w:p>
          <w:p w14:paraId="3E939EEB" w14:textId="77777777" w:rsidR="00CC53B2" w:rsidRDefault="00CC53B2" w:rsidP="00CC53B2">
            <w:pPr>
              <w:spacing w:after="0" w:line="264" w:lineRule="auto"/>
              <w:rPr>
                <w:rFonts w:eastAsia="Calibri" w:cs="Calibri"/>
                <w:noProof/>
              </w:rPr>
            </w:pPr>
            <w:r w:rsidRPr="30D0A436">
              <w:rPr>
                <w:rFonts w:eastAsia="Calibri" w:cs="Calibri"/>
                <w:noProof/>
              </w:rPr>
              <w:t xml:space="preserve">The </w:t>
            </w:r>
            <w:r w:rsidRPr="30D0A436">
              <w:rPr>
                <w:rFonts w:eastAsia="Calibri" w:cs="Calibri"/>
                <w:b/>
                <w:bCs/>
                <w:noProof/>
              </w:rPr>
              <w:t>Communication presents the Union-wide assessment of the digital transformation</w:t>
            </w:r>
            <w:r w:rsidRPr="30D0A436">
              <w:rPr>
                <w:rFonts w:eastAsia="Calibri" w:cs="Calibri"/>
                <w:noProof/>
              </w:rPr>
              <w:t>: it measures collective progress against the Article 4 digital targets and the Article 3 general objectives, analyses the key performance indicators against their 2030 trajectories, and sets out the additional measures and investment priorities to be pursued at Union level.</w:t>
            </w:r>
          </w:p>
          <w:p w14:paraId="40447676" w14:textId="77777777" w:rsidR="00CC53B2" w:rsidRDefault="00CC53B2" w:rsidP="00CC53B2">
            <w:pPr>
              <w:spacing w:after="0" w:line="264" w:lineRule="auto"/>
              <w:rPr>
                <w:rFonts w:eastAsia="Calibri" w:cs="Calibri"/>
                <w:noProof/>
              </w:rPr>
            </w:pPr>
            <w:r w:rsidRPr="30D0A436">
              <w:rPr>
                <w:rFonts w:eastAsia="Calibri" w:cs="Calibri"/>
                <w:b/>
                <w:bCs/>
                <w:noProof/>
              </w:rPr>
              <w:t>Communication Annex 1 develops this Union-level analysis in detail,</w:t>
            </w:r>
            <w:r w:rsidRPr="30D0A436">
              <w:rPr>
                <w:rFonts w:eastAsia="Calibri" w:cs="Calibri"/>
                <w:noProof/>
              </w:rPr>
              <w:t xml:space="preserve"> presenting the state of play for each target and general objective, together with the EU-level recommendations addressed to all Member States, as applicable.</w:t>
            </w:r>
          </w:p>
          <w:p w14:paraId="1D816596" w14:textId="77777777" w:rsidR="00CC53B2" w:rsidRDefault="00CC53B2" w:rsidP="00CC53B2">
            <w:pPr>
              <w:spacing w:after="0" w:line="264" w:lineRule="auto"/>
              <w:rPr>
                <w:rFonts w:eastAsia="Calibri" w:cs="Calibri"/>
                <w:noProof/>
              </w:rPr>
            </w:pPr>
            <w:r w:rsidRPr="30D0A436">
              <w:rPr>
                <w:rFonts w:eastAsia="Calibri" w:cs="Calibri"/>
                <w:b/>
                <w:bCs/>
                <w:noProof/>
              </w:rPr>
              <w:t>The country reports (short country reports, including recommendations, are grouped together as Communication Annex 2) translate the assessment to national level</w:t>
            </w:r>
            <w:r w:rsidRPr="30D0A436">
              <w:rPr>
                <w:rFonts w:eastAsia="Calibri" w:cs="Calibri"/>
                <w:noProof/>
              </w:rPr>
              <w:t xml:space="preserve">. Per Member State, for each thematic area, they are based on an assessment as described under II (see above), including the assessment of 2025 Member-State recommendation progress, which may result in 2026 Member State-specific recommendations. </w:t>
            </w:r>
          </w:p>
          <w:p w14:paraId="0822E15F" w14:textId="77777777" w:rsidR="00CC53B2" w:rsidRDefault="00CC53B2" w:rsidP="00967EE0">
            <w:pPr>
              <w:spacing w:after="0" w:line="264" w:lineRule="auto"/>
              <w:rPr>
                <w:rFonts w:eastAsia="Calibri" w:cs="Calibri"/>
                <w:noProof/>
              </w:rPr>
            </w:pPr>
            <w:r w:rsidRPr="30D0A436">
              <w:rPr>
                <w:rFonts w:eastAsia="Calibri" w:cs="Calibri"/>
                <w:b/>
                <w:bCs/>
                <w:noProof/>
              </w:rPr>
              <w:t>The Staff Working Document on the monitoring of the 2025 EU-level recommendations</w:t>
            </w:r>
            <w:r w:rsidRPr="30D0A436">
              <w:rPr>
                <w:rFonts w:eastAsia="Calibri" w:cs="Calibri"/>
                <w:noProof/>
              </w:rPr>
              <w:t xml:space="preserve"> reviews the progress made by the Commission and the Member States in implementing the 2025 recommendations grounded in actionable measures such as legislative initiatives, dedicated funding, the adoption of strategies and the implementation of joint projects.</w:t>
            </w:r>
          </w:p>
          <w:p w14:paraId="3D2C9DA1" w14:textId="77777777" w:rsidR="00CC53B2" w:rsidRDefault="00CC53B2" w:rsidP="00CC53B2">
            <w:pPr>
              <w:spacing w:after="0" w:line="264" w:lineRule="auto"/>
              <w:rPr>
                <w:noProof/>
              </w:rPr>
            </w:pPr>
            <w:r w:rsidRPr="30D0A436">
              <w:rPr>
                <w:rFonts w:eastAsia="Calibri" w:cs="Calibri"/>
                <w:b/>
                <w:bCs/>
                <w:noProof/>
              </w:rPr>
              <w:t>The Staff Working Document on the monitoring of the 2025 EU-level recommendations and the 27 Country reports specifically discharges the Article 6 requirement</w:t>
            </w:r>
            <w:r w:rsidRPr="30D0A436">
              <w:rPr>
                <w:rFonts w:eastAsia="Calibri" w:cs="Calibri"/>
                <w:noProof/>
              </w:rPr>
              <w:t xml:space="preserve"> to report on progress regarding previously recommended policies, measures and actions.</w:t>
            </w:r>
          </w:p>
          <w:p w14:paraId="40A663AA" w14:textId="77777777" w:rsidR="00CC53B2" w:rsidRPr="00967EE0" w:rsidRDefault="00CC53B2" w:rsidP="00CC53B2">
            <w:pPr>
              <w:spacing w:after="0" w:line="264" w:lineRule="auto"/>
              <w:rPr>
                <w:rFonts w:eastAsia="Calibri" w:cs="Calibri"/>
                <w:b/>
                <w:noProof/>
              </w:rPr>
            </w:pPr>
            <w:r w:rsidRPr="00967EE0">
              <w:rPr>
                <w:rFonts w:eastAsia="Calibri" w:cs="Calibri"/>
                <w:b/>
                <w:noProof/>
              </w:rPr>
              <w:t>Heatmap of the Member State-specific Digital Decade recommendations and complementarity to European Semester Country-specific recommendations</w:t>
            </w:r>
          </w:p>
          <w:p w14:paraId="22702D99" w14:textId="4B3E5B2C" w:rsidR="00CC53B2" w:rsidRPr="001017D5" w:rsidRDefault="00583BBB" w:rsidP="00CC53B2">
            <w:pPr>
              <w:spacing w:after="0" w:line="264" w:lineRule="auto"/>
              <w:rPr>
                <w:rFonts w:eastAsia="Calibri" w:cs="Calibri"/>
                <w:i/>
                <w:noProof/>
              </w:rPr>
            </w:pPr>
            <w:r w:rsidRPr="00583BBB">
              <w:rPr>
                <w:noProof/>
                <w:lang w:eastAsia="en-GB"/>
              </w:rPr>
              <w:drawing>
                <wp:inline distT="0" distB="0" distL="0" distR="0" wp14:anchorId="323C7E47" wp14:editId="084E9C52">
                  <wp:extent cx="5117894" cy="3971290"/>
                  <wp:effectExtent l="0" t="0" r="6985" b="0"/>
                  <wp:docPr id="791513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13179" name=""/>
                          <pic:cNvPicPr/>
                        </pic:nvPicPr>
                        <pic:blipFill>
                          <a:blip r:embed="rId18"/>
                          <a:stretch>
                            <a:fillRect/>
                          </a:stretch>
                        </pic:blipFill>
                        <pic:spPr>
                          <a:xfrm>
                            <a:off x="0" y="0"/>
                            <a:ext cx="5126794" cy="3978196"/>
                          </a:xfrm>
                          <a:prstGeom prst="rect">
                            <a:avLst/>
                          </a:prstGeom>
                        </pic:spPr>
                      </pic:pic>
                    </a:graphicData>
                  </a:graphic>
                </wp:inline>
              </w:drawing>
            </w:r>
          </w:p>
          <w:p w14:paraId="3F42E2FC" w14:textId="469AD1DB" w:rsidR="00CC53B2" w:rsidRDefault="00CC53B2" w:rsidP="000008D0">
            <w:pPr>
              <w:rPr>
                <w:rFonts w:eastAsia="Calibri" w:cs="Calibri"/>
                <w:noProof/>
              </w:rPr>
            </w:pPr>
            <w:r w:rsidRPr="002C183A">
              <w:rPr>
                <w:rFonts w:eastAsia="Calibri" w:cs="Calibri"/>
                <w:noProof/>
              </w:rPr>
              <w:t>This heatmap provides an overview of the 2026 Member State-specific Digital Decade recommendations and their relative prioritisation over</w:t>
            </w:r>
            <w:r w:rsidRPr="002C183A" w:rsidDel="00A956A6">
              <w:rPr>
                <w:rFonts w:eastAsia="Calibri" w:cs="Calibri"/>
                <w:noProof/>
              </w:rPr>
              <w:t xml:space="preserve"> </w:t>
            </w:r>
            <w:r w:rsidRPr="002C183A">
              <w:rPr>
                <w:rFonts w:eastAsia="Calibri" w:cs="Calibri"/>
                <w:noProof/>
              </w:rPr>
              <w:t xml:space="preserve">different policy areas, </w:t>
            </w:r>
            <w:r w:rsidRPr="005A0E0B">
              <w:rPr>
                <w:rFonts w:eastAsia="Yu Gothic" w:cs="Arial"/>
                <w:noProof/>
              </w:rPr>
              <w:t>with regard to their contribution to achieving DD objectives and targets</w:t>
            </w:r>
            <w:r w:rsidRPr="00097325">
              <w:rPr>
                <w:rFonts w:eastAsia="Calibri" w:cs="Calibri"/>
                <w:noProof/>
              </w:rPr>
              <w:t>.</w:t>
            </w:r>
            <w:r>
              <w:rPr>
                <w:noProof/>
              </w:rPr>
              <w:t xml:space="preserve"> </w:t>
            </w:r>
            <w:r w:rsidRPr="002C183A">
              <w:rPr>
                <w:rFonts w:eastAsia="Calibri" w:cs="Calibri"/>
                <w:noProof/>
              </w:rPr>
              <w:t xml:space="preserve">Cells outlined in black indicate a corresponding country-specific recommendation issued under the </w:t>
            </w:r>
            <w:hyperlink r:id="rId19" w:history="1">
              <w:r w:rsidRPr="002C183A">
                <w:rPr>
                  <w:rStyle w:val="Hyperlink"/>
                  <w:rFonts w:eastAsia="Calibri" w:cs="Calibri"/>
                  <w:noProof/>
                </w:rPr>
                <w:t>2026 European Semester Spring Package</w:t>
              </w:r>
            </w:hyperlink>
            <w:r w:rsidRPr="002C183A">
              <w:rPr>
                <w:rFonts w:eastAsia="Calibri" w:cs="Calibri"/>
                <w:noProof/>
              </w:rPr>
              <w:t>, illustrating the complementarity between the European Semester and the Digital Decade agenda.</w:t>
            </w:r>
            <w:r w:rsidRPr="002C183A" w:rsidDel="00DA78D3">
              <w:rPr>
                <w:rFonts w:eastAsia="Calibri" w:cs="Calibri"/>
                <w:noProof/>
              </w:rPr>
              <w:t xml:space="preserve"> </w:t>
            </w:r>
            <w:r w:rsidRPr="002C183A">
              <w:rPr>
                <w:rFonts w:eastAsia="Calibri" w:cs="Calibri"/>
                <w:noProof/>
              </w:rPr>
              <w:t>Please note that the heatmap is structured according to the Digital Decade targets and general objectives only. As a result, the display of European Semester country-specific recommendations should be regarded as illustrative and intended to provide a broad indication of areas of alignment.</w:t>
            </w:r>
            <w:r>
              <w:rPr>
                <w:rFonts w:eastAsia="Calibri" w:cs="Calibri"/>
                <w:noProof/>
              </w:rPr>
              <w:t xml:space="preserve"> </w:t>
            </w:r>
          </w:p>
        </w:tc>
      </w:tr>
    </w:tbl>
    <w:p w14:paraId="173FEDBD" w14:textId="6DB6D679" w:rsidR="003A53C2" w:rsidRPr="00417E18" w:rsidRDefault="4DB62358" w:rsidP="00E11929">
      <w:pPr>
        <w:pStyle w:val="Heading1"/>
        <w:numPr>
          <w:ilvl w:val="0"/>
          <w:numId w:val="40"/>
        </w:numPr>
        <w:rPr>
          <w:rFonts w:cs="Calibri"/>
          <w:noProof/>
        </w:rPr>
      </w:pPr>
      <w:bookmarkStart w:id="6" w:name="_Toc226710892"/>
      <w:bookmarkStart w:id="7" w:name="_Toc909462747"/>
      <w:bookmarkStart w:id="8" w:name="_Toc952537510"/>
      <w:bookmarkStart w:id="9" w:name="_Toc231830050"/>
      <w:r w:rsidRPr="00417E18">
        <w:rPr>
          <w:rFonts w:cs="Calibri"/>
          <w:noProof/>
        </w:rPr>
        <w:t>Reinforcing technological sovereignty,</w:t>
      </w:r>
      <w:r w:rsidR="7B8B1803" w:rsidRPr="00417E18">
        <w:rPr>
          <w:rFonts w:cs="Calibri"/>
          <w:noProof/>
        </w:rPr>
        <w:t xml:space="preserve"> digital leadership,</w:t>
      </w:r>
      <w:r w:rsidRPr="00417E18">
        <w:rPr>
          <w:rFonts w:cs="Calibri"/>
          <w:noProof/>
        </w:rPr>
        <w:t xml:space="preserve"> security and competitiveness</w:t>
      </w:r>
      <w:bookmarkEnd w:id="6"/>
      <w:bookmarkEnd w:id="7"/>
      <w:bookmarkEnd w:id="8"/>
      <w:bookmarkEnd w:id="9"/>
    </w:p>
    <w:p w14:paraId="64639E13" w14:textId="2DA3D6DD" w:rsidR="00FD2841" w:rsidRPr="00417E18" w:rsidRDefault="008C32E2" w:rsidP="282CBFA2">
      <w:pPr>
        <w:rPr>
          <w:noProof/>
          <w:sz w:val="22"/>
          <w:szCs w:val="22"/>
        </w:rPr>
      </w:pPr>
      <w:r w:rsidRPr="0A9C2659">
        <w:rPr>
          <w:noProof/>
          <w:sz w:val="22"/>
          <w:szCs w:val="22"/>
        </w:rPr>
        <w:t>The E</w:t>
      </w:r>
      <w:r w:rsidR="00A40836" w:rsidRPr="0A9C2659">
        <w:rPr>
          <w:noProof/>
          <w:sz w:val="22"/>
          <w:szCs w:val="22"/>
        </w:rPr>
        <w:t>U</w:t>
      </w:r>
      <w:r w:rsidRPr="0A9C2659">
        <w:rPr>
          <w:noProof/>
          <w:sz w:val="22"/>
          <w:szCs w:val="22"/>
        </w:rPr>
        <w:t xml:space="preserve">’s ability to develop, deploy, and maintain control over critical digital technologies is </w:t>
      </w:r>
      <w:r w:rsidR="506170B2" w:rsidRPr="0A9C2659">
        <w:rPr>
          <w:noProof/>
          <w:sz w:val="22"/>
          <w:szCs w:val="22"/>
        </w:rPr>
        <w:t xml:space="preserve">increasingly proving </w:t>
      </w:r>
      <w:r w:rsidRPr="0A9C2659">
        <w:rPr>
          <w:noProof/>
          <w:sz w:val="22"/>
          <w:szCs w:val="22"/>
        </w:rPr>
        <w:t>fundamental to its long-term competitiveness, technological sovereignty, and strategic resilience. These</w:t>
      </w:r>
      <w:r w:rsidRPr="0A9C2659" w:rsidDel="008C32E2">
        <w:rPr>
          <w:noProof/>
          <w:sz w:val="22"/>
          <w:szCs w:val="22"/>
        </w:rPr>
        <w:t xml:space="preserve"> </w:t>
      </w:r>
      <w:r w:rsidRPr="0A9C2659">
        <w:rPr>
          <w:noProof/>
          <w:sz w:val="22"/>
          <w:szCs w:val="22"/>
        </w:rPr>
        <w:t xml:space="preserve">dimensions are </w:t>
      </w:r>
      <w:r w:rsidR="00E9168D" w:rsidRPr="0A9C2659">
        <w:rPr>
          <w:noProof/>
          <w:sz w:val="22"/>
          <w:szCs w:val="22"/>
        </w:rPr>
        <w:t xml:space="preserve">closely </w:t>
      </w:r>
      <w:r w:rsidRPr="0A9C2659">
        <w:rPr>
          <w:noProof/>
          <w:sz w:val="22"/>
          <w:szCs w:val="22"/>
        </w:rPr>
        <w:t xml:space="preserve">interlinked: sustained productivity gains from digital technologies, particularly AI, can only be </w:t>
      </w:r>
      <w:r w:rsidR="006A396D" w:rsidRPr="07868930">
        <w:rPr>
          <w:noProof/>
          <w:sz w:val="22"/>
          <w:szCs w:val="22"/>
        </w:rPr>
        <w:t>secured</w:t>
      </w:r>
      <w:r w:rsidRPr="0A9C2659">
        <w:rPr>
          <w:noProof/>
          <w:sz w:val="22"/>
          <w:szCs w:val="22"/>
        </w:rPr>
        <w:t xml:space="preserve"> if Europe</w:t>
      </w:r>
      <w:r w:rsidRPr="0A9C2659" w:rsidDel="008C32E2">
        <w:rPr>
          <w:noProof/>
          <w:sz w:val="22"/>
          <w:szCs w:val="22"/>
        </w:rPr>
        <w:t xml:space="preserve"> </w:t>
      </w:r>
      <w:r w:rsidRPr="0A9C2659">
        <w:rPr>
          <w:noProof/>
          <w:sz w:val="22"/>
          <w:szCs w:val="22"/>
        </w:rPr>
        <w:t>reduces its strategic dependencies and strengthens the security of its digital ecosystem.</w:t>
      </w:r>
      <w:r w:rsidR="00A40836" w:rsidRPr="0A9C2659">
        <w:rPr>
          <w:noProof/>
          <w:sz w:val="22"/>
          <w:szCs w:val="22"/>
        </w:rPr>
        <w:t xml:space="preserve"> </w:t>
      </w:r>
      <w:r w:rsidRPr="0A9C2659">
        <w:rPr>
          <w:noProof/>
          <w:sz w:val="22"/>
          <w:szCs w:val="22"/>
        </w:rPr>
        <w:t xml:space="preserve">In several critical areas, including cloud computing, advanced computing, semiconductors, and high-performance connectivity, the limited availability of competitive European alternatives continues to constrain substitutability. </w:t>
      </w:r>
    </w:p>
    <w:p w14:paraId="4AB5A986" w14:textId="743F990B" w:rsidR="008C32E2" w:rsidRPr="00417E18" w:rsidRDefault="4D30A8AE" w:rsidP="52E311E3">
      <w:pPr>
        <w:rPr>
          <w:noProof/>
          <w:sz w:val="22"/>
          <w:szCs w:val="22"/>
        </w:rPr>
      </w:pPr>
      <w:r w:rsidRPr="52E311E3">
        <w:rPr>
          <w:noProof/>
          <w:sz w:val="22"/>
          <w:szCs w:val="22"/>
        </w:rPr>
        <w:t xml:space="preserve">This </w:t>
      </w:r>
      <w:r w:rsidR="26060CC8" w:rsidRPr="52E311E3">
        <w:rPr>
          <w:noProof/>
          <w:sz w:val="22"/>
          <w:szCs w:val="22"/>
        </w:rPr>
        <w:t>increases</w:t>
      </w:r>
      <w:r w:rsidRPr="52E311E3">
        <w:rPr>
          <w:noProof/>
          <w:sz w:val="22"/>
          <w:szCs w:val="22"/>
        </w:rPr>
        <w:t xml:space="preserve"> risks related </w:t>
      </w:r>
      <w:r w:rsidR="1544A78B" w:rsidRPr="52E311E3">
        <w:rPr>
          <w:noProof/>
          <w:sz w:val="22"/>
          <w:szCs w:val="22"/>
        </w:rPr>
        <w:t xml:space="preserve">both </w:t>
      </w:r>
      <w:r w:rsidRPr="52E311E3">
        <w:rPr>
          <w:noProof/>
          <w:sz w:val="22"/>
          <w:szCs w:val="22"/>
        </w:rPr>
        <w:t>to security of supply</w:t>
      </w:r>
      <w:r w:rsidR="1544A78B" w:rsidRPr="52E311E3">
        <w:rPr>
          <w:noProof/>
          <w:sz w:val="22"/>
          <w:szCs w:val="22"/>
        </w:rPr>
        <w:t xml:space="preserve"> and</w:t>
      </w:r>
      <w:r w:rsidRPr="52E311E3">
        <w:rPr>
          <w:noProof/>
          <w:sz w:val="22"/>
          <w:szCs w:val="22"/>
        </w:rPr>
        <w:t xml:space="preserve"> to the jurisdiction applicable to data and services when providers or controllers are not established in the EU. Such dependencies </w:t>
      </w:r>
      <w:r w:rsidR="6D89D45E" w:rsidRPr="52E311E3">
        <w:rPr>
          <w:noProof/>
          <w:sz w:val="22"/>
          <w:szCs w:val="22"/>
        </w:rPr>
        <w:t xml:space="preserve">weaken </w:t>
      </w:r>
      <w:r w:rsidRPr="52E311E3">
        <w:rPr>
          <w:noProof/>
          <w:sz w:val="22"/>
          <w:szCs w:val="22"/>
        </w:rPr>
        <w:t>the Union’s capacity to regulate and enforce its rules</w:t>
      </w:r>
      <w:r w:rsidR="6D89D45E" w:rsidRPr="52E311E3">
        <w:rPr>
          <w:noProof/>
          <w:sz w:val="22"/>
          <w:szCs w:val="22"/>
        </w:rPr>
        <w:t xml:space="preserve"> effectively</w:t>
      </w:r>
      <w:r w:rsidRPr="52E311E3">
        <w:rPr>
          <w:noProof/>
          <w:sz w:val="22"/>
          <w:szCs w:val="22"/>
        </w:rPr>
        <w:t>, while exposing key infrastructures and services to external vulnerabilities.</w:t>
      </w:r>
      <w:r w:rsidR="2F05134A" w:rsidRPr="52E311E3">
        <w:rPr>
          <w:noProof/>
          <w:sz w:val="22"/>
          <w:szCs w:val="22"/>
        </w:rPr>
        <w:t xml:space="preserve"> </w:t>
      </w:r>
    </w:p>
    <w:p w14:paraId="40217E85" w14:textId="58FA9EB7" w:rsidR="003A53C2" w:rsidRPr="00417E18" w:rsidRDefault="24D47B26" w:rsidP="0A9C2659">
      <w:pPr>
        <w:rPr>
          <w:noProof/>
          <w:sz w:val="22"/>
          <w:szCs w:val="22"/>
        </w:rPr>
      </w:pPr>
      <w:r w:rsidRPr="6E0CA051">
        <w:rPr>
          <w:noProof/>
          <w:sz w:val="22"/>
          <w:szCs w:val="22"/>
        </w:rPr>
        <w:t>A</w:t>
      </w:r>
      <w:r w:rsidR="38A288D3" w:rsidRPr="6E0CA051">
        <w:rPr>
          <w:noProof/>
          <w:sz w:val="22"/>
          <w:szCs w:val="22"/>
        </w:rPr>
        <w:t>ddress</w:t>
      </w:r>
      <w:r w:rsidRPr="6E0CA051">
        <w:rPr>
          <w:noProof/>
          <w:sz w:val="22"/>
          <w:szCs w:val="22"/>
        </w:rPr>
        <w:t>ing</w:t>
      </w:r>
      <w:r w:rsidR="38A288D3" w:rsidRPr="6E0CA051">
        <w:rPr>
          <w:noProof/>
          <w:sz w:val="22"/>
          <w:szCs w:val="22"/>
        </w:rPr>
        <w:t xml:space="preserve"> these </w:t>
      </w:r>
      <w:r w:rsidRPr="6E0CA051">
        <w:rPr>
          <w:noProof/>
          <w:sz w:val="22"/>
          <w:szCs w:val="22"/>
        </w:rPr>
        <w:t>risks</w:t>
      </w:r>
      <w:r w:rsidR="38A288D3" w:rsidRPr="6E0CA051">
        <w:rPr>
          <w:noProof/>
          <w:sz w:val="22"/>
          <w:szCs w:val="22"/>
        </w:rPr>
        <w:t xml:space="preserve"> requires sustained investment in critical technologies, a systematic reduction of strategic dependencies, clear solutions to jurisdiction and enforcement issues for data and services controlled from outside the Union, and robust cybersecurity </w:t>
      </w:r>
      <w:r w:rsidR="3C9F6B5F" w:rsidRPr="6E0CA051">
        <w:rPr>
          <w:noProof/>
          <w:sz w:val="22"/>
          <w:szCs w:val="22"/>
        </w:rPr>
        <w:t>across the</w:t>
      </w:r>
      <w:r w:rsidR="38A288D3" w:rsidRPr="6E0CA051">
        <w:rPr>
          <w:noProof/>
          <w:sz w:val="22"/>
          <w:szCs w:val="22"/>
        </w:rPr>
        <w:t xml:space="preserve"> digital value chain </w:t>
      </w:r>
      <w:r w:rsidR="2760627A" w:rsidRPr="6E0CA051">
        <w:rPr>
          <w:noProof/>
          <w:sz w:val="22"/>
          <w:szCs w:val="22"/>
        </w:rPr>
        <w:t>-</w:t>
      </w:r>
      <w:r w:rsidR="38A288D3" w:rsidRPr="6E0CA051">
        <w:rPr>
          <w:noProof/>
          <w:sz w:val="22"/>
          <w:szCs w:val="22"/>
        </w:rPr>
        <w:t xml:space="preserve"> from hardware and infrastructure to applications and services</w:t>
      </w:r>
      <w:r w:rsidR="7CE4B355" w:rsidRPr="6E0CA051">
        <w:rPr>
          <w:noProof/>
          <w:sz w:val="22"/>
          <w:szCs w:val="22"/>
        </w:rPr>
        <w:t xml:space="preserve"> as well as </w:t>
      </w:r>
      <w:r w:rsidR="2403ABC1" w:rsidRPr="6E0CA051">
        <w:rPr>
          <w:noProof/>
          <w:sz w:val="22"/>
          <w:szCs w:val="22"/>
        </w:rPr>
        <w:t xml:space="preserve">reinforcing </w:t>
      </w:r>
      <w:r w:rsidR="3AD81F8D" w:rsidRPr="6E0CA051">
        <w:rPr>
          <w:noProof/>
          <w:sz w:val="22"/>
          <w:szCs w:val="22"/>
        </w:rPr>
        <w:t xml:space="preserve">international </w:t>
      </w:r>
      <w:r w:rsidR="2403ABC1" w:rsidRPr="6E0CA051">
        <w:rPr>
          <w:noProof/>
          <w:sz w:val="22"/>
          <w:szCs w:val="22"/>
        </w:rPr>
        <w:t xml:space="preserve">cooperation </w:t>
      </w:r>
      <w:r w:rsidR="65A4EAC7" w:rsidRPr="6E0CA051">
        <w:rPr>
          <w:noProof/>
          <w:sz w:val="22"/>
          <w:szCs w:val="22"/>
        </w:rPr>
        <w:t xml:space="preserve">as appropriate </w:t>
      </w:r>
      <w:r w:rsidR="0BC82FEC" w:rsidRPr="6E0CA051">
        <w:rPr>
          <w:noProof/>
          <w:sz w:val="22"/>
          <w:szCs w:val="22"/>
        </w:rPr>
        <w:t xml:space="preserve">(e.g. </w:t>
      </w:r>
      <w:r w:rsidR="5E05F98F" w:rsidRPr="6E0CA051">
        <w:rPr>
          <w:noProof/>
          <w:sz w:val="22"/>
          <w:szCs w:val="22"/>
        </w:rPr>
        <w:t>to ensure access to markets</w:t>
      </w:r>
      <w:r w:rsidR="7092B11A" w:rsidRPr="6E0CA051">
        <w:rPr>
          <w:noProof/>
          <w:sz w:val="22"/>
          <w:szCs w:val="22"/>
        </w:rPr>
        <w:t>, secure alternative supply lines, etc</w:t>
      </w:r>
      <w:r w:rsidR="0BC82FEC" w:rsidRPr="6E0CA051">
        <w:rPr>
          <w:noProof/>
          <w:sz w:val="22"/>
          <w:szCs w:val="22"/>
        </w:rPr>
        <w:t>)</w:t>
      </w:r>
      <w:r w:rsidR="38A288D3" w:rsidRPr="6E0CA051">
        <w:rPr>
          <w:noProof/>
          <w:sz w:val="22"/>
          <w:szCs w:val="22"/>
        </w:rPr>
        <w:t>.</w:t>
      </w:r>
      <w:r w:rsidR="5C8D82E8" w:rsidRPr="6E0CA051">
        <w:rPr>
          <w:noProof/>
          <w:sz w:val="22"/>
          <w:szCs w:val="22"/>
        </w:rPr>
        <w:t xml:space="preserve"> </w:t>
      </w:r>
      <w:r w:rsidR="60FFFA30" w:rsidRPr="6E0CA051">
        <w:rPr>
          <w:noProof/>
          <w:sz w:val="22"/>
          <w:szCs w:val="22"/>
        </w:rPr>
        <w:t>T</w:t>
      </w:r>
      <w:r w:rsidR="4F23AFEA" w:rsidRPr="6E0CA051">
        <w:rPr>
          <w:noProof/>
          <w:sz w:val="22"/>
          <w:szCs w:val="22"/>
        </w:rPr>
        <w:t>he</w:t>
      </w:r>
      <w:r w:rsidR="00D4769B" w:rsidRPr="00417E18">
        <w:rPr>
          <w:noProof/>
          <w:sz w:val="22"/>
          <w:szCs w:val="22"/>
        </w:rPr>
        <w:t xml:space="preserve"> deployment of critical technologies must be </w:t>
      </w:r>
      <w:r w:rsidR="00E55E84" w:rsidRPr="0A9C2659">
        <w:rPr>
          <w:noProof/>
          <w:sz w:val="22"/>
          <w:szCs w:val="22"/>
        </w:rPr>
        <w:t xml:space="preserve">matched </w:t>
      </w:r>
      <w:r w:rsidR="00D4769B" w:rsidRPr="00417E18">
        <w:rPr>
          <w:noProof/>
          <w:sz w:val="22"/>
          <w:szCs w:val="22"/>
        </w:rPr>
        <w:t xml:space="preserve">by their effective uptake and diffusion across the economy and society, in particular among SMEs, which remain </w:t>
      </w:r>
      <w:r w:rsidR="00E55E84" w:rsidRPr="0A9C2659">
        <w:rPr>
          <w:noProof/>
          <w:sz w:val="22"/>
          <w:szCs w:val="22"/>
        </w:rPr>
        <w:t xml:space="preserve">central </w:t>
      </w:r>
      <w:r w:rsidR="00D4769B" w:rsidRPr="00417E18">
        <w:rPr>
          <w:noProof/>
          <w:sz w:val="22"/>
          <w:szCs w:val="22"/>
        </w:rPr>
        <w:t xml:space="preserve">to unlocking productivity gains and ensuring broad-based benefits from digitalisation. </w:t>
      </w:r>
      <w:r w:rsidR="23EA051D" w:rsidRPr="6E0CA051">
        <w:rPr>
          <w:noProof/>
          <w:sz w:val="22"/>
          <w:szCs w:val="22"/>
        </w:rPr>
        <w:t xml:space="preserve">For SMEs and startups to take up opportunities and innovate, </w:t>
      </w:r>
      <w:r w:rsidR="6BCFCCBE" w:rsidRPr="6E0CA051">
        <w:rPr>
          <w:noProof/>
          <w:sz w:val="22"/>
          <w:szCs w:val="22"/>
        </w:rPr>
        <w:t xml:space="preserve">rigorous </w:t>
      </w:r>
      <w:r w:rsidR="4622F139" w:rsidRPr="6E0CA051">
        <w:rPr>
          <w:noProof/>
          <w:sz w:val="22"/>
          <w:szCs w:val="22"/>
        </w:rPr>
        <w:t xml:space="preserve">enforcement of </w:t>
      </w:r>
      <w:r w:rsidR="23EA051D" w:rsidRPr="6E0CA051">
        <w:rPr>
          <w:noProof/>
          <w:sz w:val="22"/>
          <w:szCs w:val="22"/>
        </w:rPr>
        <w:t xml:space="preserve">the Digital Markets Act </w:t>
      </w:r>
      <w:r w:rsidR="314E5791" w:rsidRPr="6E0CA051">
        <w:rPr>
          <w:noProof/>
          <w:sz w:val="22"/>
          <w:szCs w:val="22"/>
        </w:rPr>
        <w:t xml:space="preserve">is </w:t>
      </w:r>
      <w:r w:rsidR="55C28B4D" w:rsidRPr="6E0CA051">
        <w:rPr>
          <w:noProof/>
          <w:sz w:val="22"/>
          <w:szCs w:val="22"/>
        </w:rPr>
        <w:t xml:space="preserve">needed to </w:t>
      </w:r>
      <w:r w:rsidR="23EA051D" w:rsidRPr="6E0CA051">
        <w:rPr>
          <w:noProof/>
          <w:sz w:val="22"/>
          <w:szCs w:val="22"/>
        </w:rPr>
        <w:t>tackle</w:t>
      </w:r>
      <w:r w:rsidR="23EA051D" w:rsidRPr="6E0CA051">
        <w:rPr>
          <w:rFonts w:eastAsia="Calibri" w:cs="Calibri"/>
          <w:noProof/>
          <w:sz w:val="22"/>
          <w:szCs w:val="22"/>
        </w:rPr>
        <w:t xml:space="preserve"> structural imbalances in digital markets, where a limited number of large platforms controls </w:t>
      </w:r>
      <w:r w:rsidR="68D5DA85" w:rsidRPr="6E0CA051">
        <w:rPr>
          <w:rFonts w:eastAsia="Calibri" w:cs="Calibri"/>
          <w:noProof/>
          <w:sz w:val="22"/>
          <w:szCs w:val="22"/>
        </w:rPr>
        <w:t>SMEs’</w:t>
      </w:r>
      <w:r w:rsidR="23EA051D" w:rsidRPr="6E0CA051">
        <w:rPr>
          <w:rFonts w:eastAsia="Calibri" w:cs="Calibri"/>
          <w:noProof/>
          <w:sz w:val="22"/>
          <w:szCs w:val="22"/>
        </w:rPr>
        <w:t xml:space="preserve"> access to </w:t>
      </w:r>
      <w:r w:rsidR="1E4800D0" w:rsidRPr="6E0CA051">
        <w:rPr>
          <w:rFonts w:eastAsia="Calibri" w:cs="Calibri"/>
          <w:noProof/>
          <w:sz w:val="22"/>
          <w:szCs w:val="22"/>
        </w:rPr>
        <w:t>end user</w:t>
      </w:r>
      <w:r w:rsidR="23EA051D" w:rsidRPr="6E0CA051">
        <w:rPr>
          <w:rFonts w:eastAsia="Calibri" w:cs="Calibri"/>
          <w:noProof/>
          <w:sz w:val="22"/>
          <w:szCs w:val="22"/>
        </w:rPr>
        <w:t>s</w:t>
      </w:r>
      <w:r w:rsidR="4776E160" w:rsidRPr="6E0CA051">
        <w:rPr>
          <w:rFonts w:eastAsia="Calibri" w:cs="Calibri"/>
          <w:noProof/>
          <w:sz w:val="22"/>
          <w:szCs w:val="22"/>
        </w:rPr>
        <w:t>.</w:t>
      </w:r>
      <w:r w:rsidR="23EA051D" w:rsidRPr="6E0CA051">
        <w:rPr>
          <w:rFonts w:eastAsia="Calibri" w:cs="Calibri"/>
          <w:noProof/>
          <w:sz w:val="22"/>
          <w:szCs w:val="22"/>
        </w:rPr>
        <w:t xml:space="preserve"> </w:t>
      </w:r>
    </w:p>
    <w:p w14:paraId="042A9592" w14:textId="6F384595" w:rsidR="003A53C2" w:rsidRPr="00417E18" w:rsidRDefault="00D4769B" w:rsidP="3AE6DD09">
      <w:pPr>
        <w:rPr>
          <w:noProof/>
          <w:sz w:val="22"/>
          <w:szCs w:val="22"/>
        </w:rPr>
      </w:pPr>
      <w:r w:rsidRPr="00417E18">
        <w:rPr>
          <w:noProof/>
          <w:sz w:val="22"/>
          <w:szCs w:val="22"/>
        </w:rPr>
        <w:t xml:space="preserve">While progress has been made in certain areas, the </w:t>
      </w:r>
      <w:r w:rsidR="00650CD6" w:rsidRPr="00417E18">
        <w:rPr>
          <w:noProof/>
          <w:sz w:val="22"/>
          <w:szCs w:val="22"/>
        </w:rPr>
        <w:t>EU</w:t>
      </w:r>
      <w:r w:rsidRPr="00417E18">
        <w:rPr>
          <w:noProof/>
          <w:sz w:val="22"/>
          <w:szCs w:val="22"/>
        </w:rPr>
        <w:t xml:space="preserve"> continues to underperform globally in several strategic domains</w:t>
      </w:r>
      <w:r w:rsidR="6AADA031" w:rsidRPr="00417E18">
        <w:rPr>
          <w:noProof/>
          <w:sz w:val="22"/>
          <w:szCs w:val="22"/>
        </w:rPr>
        <w:t>. I</w:t>
      </w:r>
      <w:r w:rsidRPr="00417E18">
        <w:rPr>
          <w:noProof/>
          <w:sz w:val="22"/>
          <w:szCs w:val="22"/>
        </w:rPr>
        <w:t xml:space="preserve">nternational competitors </w:t>
      </w:r>
      <w:r w:rsidR="003C760D" w:rsidRPr="0A9C2659">
        <w:rPr>
          <w:noProof/>
          <w:sz w:val="22"/>
          <w:szCs w:val="22"/>
        </w:rPr>
        <w:t xml:space="preserve">are </w:t>
      </w:r>
      <w:r w:rsidR="4F23AFEA" w:rsidRPr="00417E18">
        <w:rPr>
          <w:noProof/>
          <w:sz w:val="22"/>
          <w:szCs w:val="22"/>
        </w:rPr>
        <w:t>consolidat</w:t>
      </w:r>
      <w:r w:rsidR="09D28978" w:rsidRPr="0A9C2659">
        <w:rPr>
          <w:noProof/>
          <w:sz w:val="22"/>
          <w:szCs w:val="22"/>
        </w:rPr>
        <w:t>ing</w:t>
      </w:r>
      <w:r w:rsidRPr="00417E18">
        <w:rPr>
          <w:noProof/>
          <w:sz w:val="22"/>
          <w:szCs w:val="22"/>
        </w:rPr>
        <w:t xml:space="preserve"> their </w:t>
      </w:r>
      <w:r w:rsidR="00832E14" w:rsidRPr="00417E18">
        <w:rPr>
          <w:noProof/>
          <w:sz w:val="22"/>
          <w:szCs w:val="22"/>
        </w:rPr>
        <w:t xml:space="preserve">own sovereignty and </w:t>
      </w:r>
      <w:r w:rsidRPr="00417E18">
        <w:rPr>
          <w:noProof/>
          <w:sz w:val="22"/>
          <w:szCs w:val="22"/>
        </w:rPr>
        <w:t>leadership through scale, investment and integrated market dynamics</w:t>
      </w:r>
      <w:r w:rsidR="72A02DB2" w:rsidRPr="00417E18">
        <w:rPr>
          <w:rFonts w:eastAsia="Calibri" w:cs="Calibri"/>
          <w:noProof/>
          <w:sz w:val="22"/>
          <w:szCs w:val="22"/>
        </w:rPr>
        <w:t>, with global leadership in critical technologies increasingly concentrated in the US and China</w:t>
      </w:r>
      <w:r w:rsidRPr="00417E18">
        <w:rPr>
          <w:rStyle w:val="FootnoteReference"/>
          <w:rFonts w:eastAsia="Calibri" w:cs="Calibri"/>
          <w:noProof/>
          <w:sz w:val="22"/>
          <w:szCs w:val="22"/>
        </w:rPr>
        <w:footnoteReference w:id="2"/>
      </w:r>
      <w:r w:rsidR="00DC4B06">
        <w:rPr>
          <w:rFonts w:eastAsia="Calibri" w:cs="Calibri"/>
          <w:noProof/>
          <w:sz w:val="22"/>
          <w:szCs w:val="22"/>
        </w:rPr>
        <w:t>.</w:t>
      </w:r>
      <w:r w:rsidRPr="00417E18">
        <w:rPr>
          <w:noProof/>
          <w:sz w:val="22"/>
          <w:szCs w:val="22"/>
        </w:rPr>
        <w:t xml:space="preserve"> Bridging these gaps will require reinforced coordination between the Union and the Member States, </w:t>
      </w:r>
      <w:r w:rsidR="0BC3E4EE" w:rsidRPr="0A9C2659">
        <w:rPr>
          <w:noProof/>
          <w:sz w:val="22"/>
          <w:szCs w:val="22"/>
        </w:rPr>
        <w:t>together</w:t>
      </w:r>
      <w:r w:rsidR="000575D1" w:rsidRPr="0A9C2659">
        <w:rPr>
          <w:noProof/>
          <w:sz w:val="22"/>
          <w:szCs w:val="22"/>
        </w:rPr>
        <w:t xml:space="preserve"> with better</w:t>
      </w:r>
      <w:r w:rsidRPr="0A9C2659" w:rsidDel="00D4769B">
        <w:rPr>
          <w:noProof/>
          <w:sz w:val="22"/>
          <w:szCs w:val="22"/>
        </w:rPr>
        <w:t xml:space="preserve"> </w:t>
      </w:r>
      <w:r w:rsidRPr="00417E18">
        <w:rPr>
          <w:noProof/>
          <w:sz w:val="22"/>
          <w:szCs w:val="22"/>
        </w:rPr>
        <w:t>alignment of reforms, investments and governance frameworks</w:t>
      </w:r>
      <w:r w:rsidR="000575D1" w:rsidRPr="0A9C2659">
        <w:rPr>
          <w:noProof/>
          <w:sz w:val="22"/>
          <w:szCs w:val="22"/>
        </w:rPr>
        <w:t>.</w:t>
      </w:r>
    </w:p>
    <w:p w14:paraId="099ED8F8" w14:textId="616EF421" w:rsidR="00166705" w:rsidRPr="00417E18" w:rsidRDefault="2E480402" w:rsidP="00E11929">
      <w:pPr>
        <w:pStyle w:val="Heading2"/>
        <w:numPr>
          <w:ilvl w:val="1"/>
          <w:numId w:val="40"/>
        </w:numPr>
        <w:rPr>
          <w:noProof/>
        </w:rPr>
      </w:pPr>
      <w:bookmarkStart w:id="10" w:name="_Toc226710893"/>
      <w:bookmarkStart w:id="11" w:name="_Toc1849816548"/>
      <w:bookmarkStart w:id="12" w:name="_Toc1044696905"/>
      <w:bookmarkStart w:id="13" w:name="_Toc231830051"/>
      <w:r>
        <w:rPr>
          <w:noProof/>
        </w:rPr>
        <w:t>C</w:t>
      </w:r>
      <w:r w:rsidR="4DB62358">
        <w:rPr>
          <w:noProof/>
        </w:rPr>
        <w:t>utting-edge technological capacities</w:t>
      </w:r>
      <w:bookmarkEnd w:id="10"/>
      <w:bookmarkEnd w:id="11"/>
      <w:bookmarkEnd w:id="12"/>
      <w:bookmarkEnd w:id="13"/>
    </w:p>
    <w:p w14:paraId="61045E5D" w14:textId="6CD8C60C" w:rsidR="00BC0B6F" w:rsidRPr="00417E18" w:rsidRDefault="00EB6B40" w:rsidP="00424FB7">
      <w:pPr>
        <w:rPr>
          <w:noProof/>
          <w:sz w:val="22"/>
          <w:szCs w:val="22"/>
          <w:lang w:eastAsia="en-US"/>
        </w:rPr>
      </w:pPr>
      <w:r w:rsidRPr="0A9C2659">
        <w:rPr>
          <w:noProof/>
          <w:sz w:val="22"/>
          <w:szCs w:val="22"/>
        </w:rPr>
        <w:t>Europe’s ability to compete globally rests on its command of the foundational technologies that underpin mode</w:t>
      </w:r>
      <w:r w:rsidR="004C67E5" w:rsidRPr="0A9C2659">
        <w:rPr>
          <w:noProof/>
          <w:sz w:val="22"/>
          <w:szCs w:val="22"/>
        </w:rPr>
        <w:t>rn computing: semiconductors, quantum systems, and edge and computing infrastructures</w:t>
      </w:r>
      <w:r w:rsidR="00002994" w:rsidRPr="0A9C2659">
        <w:rPr>
          <w:noProof/>
          <w:sz w:val="22"/>
          <w:szCs w:val="22"/>
        </w:rPr>
        <w:t xml:space="preserve">. These domains </w:t>
      </w:r>
      <w:r w:rsidR="009735F8" w:rsidRPr="0A9C2659">
        <w:rPr>
          <w:noProof/>
          <w:sz w:val="22"/>
          <w:szCs w:val="22"/>
        </w:rPr>
        <w:t xml:space="preserve">are deeply interlinked: </w:t>
      </w:r>
      <w:r w:rsidR="473D6A2E" w:rsidRPr="0A9C2659">
        <w:rPr>
          <w:noProof/>
          <w:sz w:val="22"/>
          <w:szCs w:val="22"/>
        </w:rPr>
        <w:t xml:space="preserve">advanced semiconductors drive </w:t>
      </w:r>
      <w:r w:rsidR="00BC3C00">
        <w:rPr>
          <w:noProof/>
          <w:sz w:val="22"/>
          <w:szCs w:val="22"/>
        </w:rPr>
        <w:t>HPC,</w:t>
      </w:r>
      <w:r w:rsidR="009735F8" w:rsidRPr="0A9C2659">
        <w:rPr>
          <w:noProof/>
          <w:sz w:val="22"/>
          <w:szCs w:val="22"/>
        </w:rPr>
        <w:t xml:space="preserve"> quantum and edge systems, edge no</w:t>
      </w:r>
      <w:r w:rsidR="00196315" w:rsidRPr="0A9C2659">
        <w:rPr>
          <w:noProof/>
          <w:sz w:val="22"/>
          <w:szCs w:val="22"/>
        </w:rPr>
        <w:t>d</w:t>
      </w:r>
      <w:r w:rsidR="009735F8" w:rsidRPr="0A9C2659">
        <w:rPr>
          <w:noProof/>
          <w:sz w:val="22"/>
          <w:szCs w:val="22"/>
        </w:rPr>
        <w:t xml:space="preserve">es </w:t>
      </w:r>
      <w:r w:rsidR="00D60FA4" w:rsidRPr="0A9C2659">
        <w:rPr>
          <w:noProof/>
          <w:sz w:val="22"/>
          <w:szCs w:val="22"/>
        </w:rPr>
        <w:t xml:space="preserve">bring computing capacity closer to where data is generated, and quantum technologies promise to redefine computational limits. </w:t>
      </w:r>
    </w:p>
    <w:p w14:paraId="16B13CC6" w14:textId="1DED2E81" w:rsidR="0088757E" w:rsidRPr="00417E18" w:rsidRDefault="0088757E" w:rsidP="00424FB7">
      <w:pPr>
        <w:rPr>
          <w:noProof/>
          <w:sz w:val="22"/>
          <w:szCs w:val="22"/>
          <w:lang w:eastAsia="en-US"/>
        </w:rPr>
      </w:pPr>
      <w:r w:rsidRPr="00417E18">
        <w:rPr>
          <w:noProof/>
          <w:sz w:val="22"/>
          <w:szCs w:val="22"/>
          <w:lang w:eastAsia="en-US"/>
        </w:rPr>
        <w:t>Progress across these three areas remains uneven</w:t>
      </w:r>
      <w:r w:rsidR="00CC15CC">
        <w:rPr>
          <w:noProof/>
          <w:sz w:val="22"/>
          <w:szCs w:val="22"/>
          <w:lang w:eastAsia="en-US"/>
        </w:rPr>
        <w:t>. The</w:t>
      </w:r>
      <w:r w:rsidR="0002054E" w:rsidRPr="00417E18">
        <w:rPr>
          <w:noProof/>
          <w:sz w:val="22"/>
          <w:szCs w:val="22"/>
          <w:lang w:eastAsia="en-US"/>
        </w:rPr>
        <w:t xml:space="preserve"> EU</w:t>
      </w:r>
      <w:r w:rsidR="00244E17">
        <w:rPr>
          <w:noProof/>
          <w:sz w:val="22"/>
          <w:szCs w:val="22"/>
          <w:lang w:eastAsia="en-US"/>
        </w:rPr>
        <w:t>’s</w:t>
      </w:r>
      <w:r w:rsidR="0002054E" w:rsidRPr="00417E18">
        <w:rPr>
          <w:noProof/>
          <w:sz w:val="22"/>
          <w:szCs w:val="22"/>
          <w:lang w:eastAsia="en-US"/>
        </w:rPr>
        <w:t xml:space="preserve"> share of global semiconductor revenues stands at 8.8%,</w:t>
      </w:r>
      <w:r w:rsidR="0002054E" w:rsidRPr="00417E18" w:rsidDel="006A43FD">
        <w:rPr>
          <w:noProof/>
          <w:sz w:val="22"/>
          <w:szCs w:val="22"/>
          <w:lang w:eastAsia="en-US"/>
        </w:rPr>
        <w:t xml:space="preserve"> </w:t>
      </w:r>
      <w:r w:rsidR="006A43FD">
        <w:rPr>
          <w:noProof/>
          <w:sz w:val="22"/>
          <w:szCs w:val="22"/>
          <w:lang w:eastAsia="en-US"/>
        </w:rPr>
        <w:t xml:space="preserve">well below </w:t>
      </w:r>
      <w:r w:rsidR="0002054E" w:rsidRPr="00417E18">
        <w:rPr>
          <w:noProof/>
          <w:sz w:val="22"/>
          <w:szCs w:val="22"/>
          <w:lang w:eastAsia="en-US"/>
        </w:rPr>
        <w:t>the 20% target</w:t>
      </w:r>
      <w:r w:rsidR="006A43FD">
        <w:rPr>
          <w:noProof/>
          <w:sz w:val="22"/>
          <w:szCs w:val="22"/>
          <w:lang w:eastAsia="en-US"/>
        </w:rPr>
        <w:t xml:space="preserve"> </w:t>
      </w:r>
      <w:r w:rsidR="0002054E" w:rsidRPr="00417E18">
        <w:rPr>
          <w:noProof/>
          <w:sz w:val="22"/>
          <w:szCs w:val="22"/>
          <w:lang w:eastAsia="en-US"/>
        </w:rPr>
        <w:t>set for 2030 in the Digital Decade Decision</w:t>
      </w:r>
      <w:r w:rsidR="008A705D">
        <w:rPr>
          <w:noProof/>
          <w:sz w:val="22"/>
          <w:szCs w:val="22"/>
          <w:lang w:eastAsia="en-US"/>
        </w:rPr>
        <w:t>. Q</w:t>
      </w:r>
      <w:r w:rsidR="00510ADD" w:rsidRPr="00417E18">
        <w:rPr>
          <w:noProof/>
          <w:sz w:val="22"/>
          <w:szCs w:val="22"/>
          <w:lang w:eastAsia="en-US"/>
        </w:rPr>
        <w:t>uantum has met its</w:t>
      </w:r>
      <w:r w:rsidR="00240E59" w:rsidRPr="00417E18">
        <w:rPr>
          <w:noProof/>
          <w:sz w:val="22"/>
          <w:szCs w:val="22"/>
          <w:lang w:eastAsia="en-US"/>
        </w:rPr>
        <w:t xml:space="preserve"> Digital Decade</w:t>
      </w:r>
      <w:r w:rsidR="00510ADD" w:rsidRPr="00417E18">
        <w:rPr>
          <w:noProof/>
          <w:sz w:val="22"/>
          <w:szCs w:val="22"/>
          <w:lang w:eastAsia="en-US"/>
        </w:rPr>
        <w:t xml:space="preserve"> milestone</w:t>
      </w:r>
      <w:r w:rsidR="00240E59" w:rsidRPr="00417E18">
        <w:rPr>
          <w:noProof/>
          <w:sz w:val="22"/>
          <w:szCs w:val="22"/>
          <w:lang w:eastAsia="en-US"/>
        </w:rPr>
        <w:t>,</w:t>
      </w:r>
      <w:r w:rsidR="00510ADD" w:rsidRPr="00417E18">
        <w:rPr>
          <w:noProof/>
          <w:sz w:val="22"/>
          <w:szCs w:val="22"/>
          <w:lang w:eastAsia="en-US"/>
        </w:rPr>
        <w:t xml:space="preserve"> </w:t>
      </w:r>
      <w:r w:rsidR="00240E59" w:rsidRPr="00417E18">
        <w:rPr>
          <w:noProof/>
          <w:sz w:val="22"/>
          <w:szCs w:val="22"/>
          <w:lang w:eastAsia="en-US"/>
        </w:rPr>
        <w:t xml:space="preserve">but </w:t>
      </w:r>
      <w:r w:rsidR="009E591F" w:rsidRPr="00417E18">
        <w:rPr>
          <w:noProof/>
          <w:sz w:val="22"/>
          <w:szCs w:val="22"/>
          <w:lang w:eastAsia="en-US"/>
        </w:rPr>
        <w:t xml:space="preserve">deployment </w:t>
      </w:r>
      <w:r w:rsidR="004728EC" w:rsidRPr="00417E18">
        <w:rPr>
          <w:noProof/>
          <w:sz w:val="22"/>
          <w:szCs w:val="22"/>
          <w:lang w:eastAsia="en-US"/>
        </w:rPr>
        <w:t xml:space="preserve">is held back by fragmentation and </w:t>
      </w:r>
      <w:r w:rsidR="00DD3AFC">
        <w:rPr>
          <w:noProof/>
          <w:sz w:val="22"/>
          <w:szCs w:val="22"/>
          <w:lang w:eastAsia="en-US"/>
        </w:rPr>
        <w:t xml:space="preserve">by the </w:t>
      </w:r>
      <w:r w:rsidR="004728EC" w:rsidRPr="00417E18">
        <w:rPr>
          <w:noProof/>
          <w:sz w:val="22"/>
          <w:szCs w:val="22"/>
          <w:lang w:eastAsia="en-US"/>
        </w:rPr>
        <w:t xml:space="preserve">scale of investment </w:t>
      </w:r>
      <w:r w:rsidR="00C50B93" w:rsidRPr="00417E18">
        <w:rPr>
          <w:noProof/>
          <w:sz w:val="22"/>
          <w:szCs w:val="22"/>
          <w:lang w:eastAsia="en-US"/>
        </w:rPr>
        <w:t>needed to move beyond NISQ systems</w:t>
      </w:r>
      <w:r w:rsidR="00281CCB" w:rsidRPr="00417E18">
        <w:rPr>
          <w:rStyle w:val="FootnoteReference"/>
          <w:noProof/>
          <w:sz w:val="22"/>
          <w:szCs w:val="22"/>
          <w:lang w:eastAsia="en-US"/>
        </w:rPr>
        <w:footnoteReference w:id="3"/>
      </w:r>
      <w:r w:rsidR="00342E98">
        <w:rPr>
          <w:noProof/>
          <w:sz w:val="22"/>
          <w:szCs w:val="22"/>
          <w:lang w:eastAsia="en-US"/>
        </w:rPr>
        <w:t>. Meanwhile</w:t>
      </w:r>
      <w:r w:rsidR="00851D6F" w:rsidRPr="00417E18">
        <w:rPr>
          <w:noProof/>
          <w:sz w:val="22"/>
          <w:szCs w:val="22"/>
          <w:lang w:eastAsia="en-US"/>
        </w:rPr>
        <w:t>, while edge node deployment is on track to meet the 2030 Digital Decade target</w:t>
      </w:r>
      <w:r w:rsidR="00B37F12" w:rsidRPr="00417E18">
        <w:rPr>
          <w:noProof/>
          <w:sz w:val="22"/>
          <w:szCs w:val="22"/>
          <w:lang w:eastAsia="en-US"/>
        </w:rPr>
        <w:t xml:space="preserve"> ahead of schedule, overall computing capacity </w:t>
      </w:r>
      <w:r w:rsidR="00CC4C8D">
        <w:rPr>
          <w:noProof/>
          <w:sz w:val="22"/>
          <w:szCs w:val="22"/>
          <w:lang w:eastAsia="en-US"/>
        </w:rPr>
        <w:t xml:space="preserve">still </w:t>
      </w:r>
      <w:r w:rsidR="00B37F12" w:rsidRPr="00417E18">
        <w:rPr>
          <w:noProof/>
          <w:sz w:val="22"/>
          <w:szCs w:val="22"/>
          <w:lang w:eastAsia="en-US"/>
        </w:rPr>
        <w:t xml:space="preserve">lags significantly </w:t>
      </w:r>
      <w:r w:rsidR="003644A1" w:rsidRPr="00417E18">
        <w:rPr>
          <w:noProof/>
          <w:sz w:val="22"/>
          <w:szCs w:val="22"/>
          <w:lang w:eastAsia="en-US"/>
        </w:rPr>
        <w:t>behind</w:t>
      </w:r>
      <w:r w:rsidR="00B37F12" w:rsidRPr="00417E18">
        <w:rPr>
          <w:noProof/>
          <w:sz w:val="22"/>
          <w:szCs w:val="22"/>
          <w:lang w:eastAsia="en-US"/>
        </w:rPr>
        <w:t xml:space="preserve"> demand and </w:t>
      </w:r>
      <w:r w:rsidR="00181ED8">
        <w:rPr>
          <w:noProof/>
          <w:sz w:val="22"/>
          <w:szCs w:val="22"/>
          <w:lang w:eastAsia="en-US"/>
        </w:rPr>
        <w:t xml:space="preserve">remains </w:t>
      </w:r>
      <w:r w:rsidR="00CC4C8D">
        <w:rPr>
          <w:noProof/>
          <w:sz w:val="22"/>
          <w:szCs w:val="22"/>
          <w:lang w:eastAsia="en-US"/>
        </w:rPr>
        <w:t xml:space="preserve">well </w:t>
      </w:r>
      <w:r w:rsidR="00181ED8">
        <w:rPr>
          <w:noProof/>
          <w:sz w:val="22"/>
          <w:szCs w:val="22"/>
          <w:lang w:eastAsia="en-US"/>
        </w:rPr>
        <w:t xml:space="preserve">below </w:t>
      </w:r>
      <w:r w:rsidR="00B37F12" w:rsidRPr="00417E18">
        <w:rPr>
          <w:noProof/>
          <w:sz w:val="22"/>
          <w:szCs w:val="22"/>
          <w:lang w:eastAsia="en-US"/>
        </w:rPr>
        <w:t xml:space="preserve">US levels. </w:t>
      </w:r>
    </w:p>
    <w:p w14:paraId="12D694C4" w14:textId="4F78E07E" w:rsidR="00B37F12" w:rsidRPr="00417E18" w:rsidRDefault="00B37F12" w:rsidP="00424FB7">
      <w:pPr>
        <w:rPr>
          <w:noProof/>
          <w:sz w:val="22"/>
          <w:szCs w:val="22"/>
          <w:lang w:eastAsia="en-US"/>
        </w:rPr>
      </w:pPr>
      <w:r w:rsidRPr="00417E18">
        <w:rPr>
          <w:noProof/>
          <w:sz w:val="22"/>
          <w:szCs w:val="22"/>
        </w:rPr>
        <w:t>The stakes</w:t>
      </w:r>
      <w:r w:rsidR="00D44807" w:rsidRPr="00417E18" w:rsidDel="00181ED8">
        <w:rPr>
          <w:noProof/>
          <w:sz w:val="22"/>
          <w:szCs w:val="22"/>
        </w:rPr>
        <w:t xml:space="preserve"> </w:t>
      </w:r>
      <w:r w:rsidR="00181ED8">
        <w:rPr>
          <w:noProof/>
          <w:sz w:val="22"/>
          <w:szCs w:val="22"/>
        </w:rPr>
        <w:t>attached to</w:t>
      </w:r>
      <w:r w:rsidR="00181ED8" w:rsidRPr="00417E18">
        <w:rPr>
          <w:noProof/>
          <w:sz w:val="22"/>
          <w:szCs w:val="22"/>
        </w:rPr>
        <w:t xml:space="preserve"> </w:t>
      </w:r>
      <w:r w:rsidR="00D44807" w:rsidRPr="00417E18">
        <w:rPr>
          <w:noProof/>
          <w:sz w:val="22"/>
          <w:szCs w:val="22"/>
        </w:rPr>
        <w:t xml:space="preserve">these KPIs </w:t>
      </w:r>
      <w:r w:rsidRPr="00417E18">
        <w:rPr>
          <w:noProof/>
          <w:sz w:val="22"/>
          <w:szCs w:val="22"/>
        </w:rPr>
        <w:t>are both economic and strategic</w:t>
      </w:r>
      <w:r w:rsidR="00D44807" w:rsidRPr="00417E18">
        <w:rPr>
          <w:noProof/>
          <w:sz w:val="22"/>
          <w:szCs w:val="22"/>
        </w:rPr>
        <w:t xml:space="preserve">: </w:t>
      </w:r>
      <w:r w:rsidR="00870D91" w:rsidRPr="00417E18">
        <w:rPr>
          <w:noProof/>
          <w:sz w:val="22"/>
          <w:szCs w:val="22"/>
        </w:rPr>
        <w:t xml:space="preserve">gaps in these areas translate into critical dependencies on non-EU providers, higher costs for businesses and public services, </w:t>
      </w:r>
      <w:r w:rsidR="00870D91" w:rsidRPr="00417E18" w:rsidDel="004D23A7">
        <w:rPr>
          <w:noProof/>
          <w:sz w:val="22"/>
          <w:szCs w:val="22"/>
        </w:rPr>
        <w:t xml:space="preserve">and </w:t>
      </w:r>
      <w:r w:rsidR="004D23A7">
        <w:rPr>
          <w:noProof/>
          <w:sz w:val="22"/>
          <w:szCs w:val="22"/>
        </w:rPr>
        <w:t xml:space="preserve">a </w:t>
      </w:r>
      <w:r w:rsidR="00870D91" w:rsidRPr="00417E18">
        <w:rPr>
          <w:noProof/>
          <w:sz w:val="22"/>
          <w:szCs w:val="22"/>
        </w:rPr>
        <w:t>diminished capacity to develop and deploy the next generation of digital technologies on European terms.</w:t>
      </w:r>
    </w:p>
    <w:p w14:paraId="6B3608A2" w14:textId="3202AE76" w:rsidR="00A0287A" w:rsidRPr="00417E18" w:rsidRDefault="0A753F49" w:rsidP="00424FB7">
      <w:pPr>
        <w:rPr>
          <w:noProof/>
          <w:sz w:val="22"/>
          <w:szCs w:val="22"/>
          <w:lang w:eastAsia="en-US"/>
        </w:rPr>
      </w:pPr>
      <w:r w:rsidRPr="6E0CA051">
        <w:rPr>
          <w:noProof/>
          <w:sz w:val="22"/>
          <w:szCs w:val="22"/>
        </w:rPr>
        <w:t>A</w:t>
      </w:r>
      <w:r w:rsidR="00A0287A" w:rsidRPr="00417E18">
        <w:rPr>
          <w:noProof/>
          <w:sz w:val="22"/>
          <w:szCs w:val="22"/>
        </w:rPr>
        <w:t xml:space="preserve"> defining trend of 2025-2026 has</w:t>
      </w:r>
      <w:r w:rsidR="005F5CFF">
        <w:rPr>
          <w:noProof/>
          <w:sz w:val="22"/>
          <w:szCs w:val="22"/>
        </w:rPr>
        <w:t xml:space="preserve"> also</w:t>
      </w:r>
      <w:r w:rsidR="004C3C36">
        <w:rPr>
          <w:noProof/>
          <w:sz w:val="22"/>
          <w:szCs w:val="22"/>
        </w:rPr>
        <w:t xml:space="preserve"> </w:t>
      </w:r>
      <w:r w:rsidR="00A0287A" w:rsidRPr="00417E18">
        <w:rPr>
          <w:noProof/>
          <w:sz w:val="22"/>
          <w:szCs w:val="22"/>
        </w:rPr>
        <w:t>been the accelerated integration of digital technologies into European defence capabilities. Digital technologies are no longer peripheral to defence: they increasingly act as core force multipliers, reshaping how capabilities are developed, deployed and integrated across domains. Artificial intelligence, advanced connectivity</w:t>
      </w:r>
      <w:r w:rsidR="5E377650" w:rsidRPr="6E0CA051">
        <w:rPr>
          <w:noProof/>
          <w:sz w:val="22"/>
          <w:szCs w:val="22"/>
        </w:rPr>
        <w:t xml:space="preserve"> including in space</w:t>
      </w:r>
      <w:r w:rsidR="00A0287A" w:rsidRPr="00417E18">
        <w:rPr>
          <w:noProof/>
          <w:sz w:val="22"/>
          <w:szCs w:val="22"/>
        </w:rPr>
        <w:t xml:space="preserve">, cloud computing, cybersecurity tools and autonomous systems, originally developed for civilian applications, are now being systematically adapted for defence purposes, </w:t>
      </w:r>
      <w:r w:rsidR="00930802">
        <w:rPr>
          <w:noProof/>
          <w:sz w:val="22"/>
          <w:szCs w:val="22"/>
        </w:rPr>
        <w:t>strengthen</w:t>
      </w:r>
      <w:r w:rsidR="00930802" w:rsidRPr="00417E18">
        <w:rPr>
          <w:noProof/>
          <w:sz w:val="22"/>
          <w:szCs w:val="22"/>
        </w:rPr>
        <w:t xml:space="preserve">ing </w:t>
      </w:r>
      <w:r w:rsidR="00A0287A" w:rsidRPr="00417E18">
        <w:rPr>
          <w:noProof/>
          <w:sz w:val="22"/>
          <w:szCs w:val="22"/>
        </w:rPr>
        <w:t xml:space="preserve">command and control, situational awareness and electronic warfare. This structural shift from civilian to military innovation, often described as "spin-in", has emerged as a key driver of capability development, and is </w:t>
      </w:r>
      <w:r w:rsidR="006A7510">
        <w:rPr>
          <w:noProof/>
          <w:sz w:val="22"/>
          <w:szCs w:val="22"/>
        </w:rPr>
        <w:t>likely</w:t>
      </w:r>
      <w:r w:rsidR="006A7510" w:rsidRPr="00417E18">
        <w:rPr>
          <w:noProof/>
          <w:sz w:val="22"/>
          <w:szCs w:val="22"/>
        </w:rPr>
        <w:t xml:space="preserve"> </w:t>
      </w:r>
      <w:r w:rsidR="00A0287A" w:rsidRPr="00417E18">
        <w:rPr>
          <w:noProof/>
          <w:sz w:val="22"/>
          <w:szCs w:val="22"/>
        </w:rPr>
        <w:t>to deepen further as operational lessons from recent conflicts continue to inform technology adaptation and procurement priorities across Member States.</w:t>
      </w:r>
    </w:p>
    <w:p w14:paraId="70F3FC6E" w14:textId="4F5A323B" w:rsidR="00393A64" w:rsidRPr="00417E18" w:rsidRDefault="4136419A" w:rsidP="00C57A6C">
      <w:pPr>
        <w:pStyle w:val="Heading3"/>
        <w:rPr>
          <w:noProof/>
        </w:rPr>
      </w:pPr>
      <w:bookmarkStart w:id="14" w:name="_Toc226710894"/>
      <w:bookmarkStart w:id="15" w:name="_Toc879761080"/>
      <w:bookmarkStart w:id="16" w:name="_Toc1697754244"/>
      <w:bookmarkStart w:id="17" w:name="_Toc231830052"/>
      <w:r w:rsidRPr="00417E18">
        <w:rPr>
          <w:noProof/>
        </w:rPr>
        <w:t>2.</w:t>
      </w:r>
      <w:r w:rsidR="7E902657" w:rsidRPr="00417E18">
        <w:rPr>
          <w:noProof/>
        </w:rPr>
        <w:t>1</w:t>
      </w:r>
      <w:r w:rsidRPr="00417E18">
        <w:rPr>
          <w:noProof/>
        </w:rPr>
        <w:t xml:space="preserve">.1 </w:t>
      </w:r>
      <w:r w:rsidR="4DB62358" w:rsidRPr="00417E18">
        <w:rPr>
          <w:noProof/>
        </w:rPr>
        <w:t>Semiconductors</w:t>
      </w:r>
      <w:bookmarkEnd w:id="14"/>
      <w:bookmarkEnd w:id="15"/>
      <w:bookmarkEnd w:id="16"/>
      <w:bookmarkEnd w:id="17"/>
    </w:p>
    <w:p w14:paraId="2A9E12AB" w14:textId="2D0E3AFE" w:rsidR="6531434B" w:rsidRPr="00417E18" w:rsidRDefault="4C03EFF0" w:rsidP="528C44BB">
      <w:pPr>
        <w:spacing w:before="0" w:after="160" w:line="257" w:lineRule="auto"/>
        <w:rPr>
          <w:rFonts w:eastAsia="Calibri" w:cs="Calibri"/>
          <w:noProof/>
          <w:sz w:val="22"/>
          <w:szCs w:val="22"/>
        </w:rPr>
      </w:pPr>
      <w:r w:rsidRPr="00417E18">
        <w:rPr>
          <w:rFonts w:eastAsia="Times New Roman" w:cs="Calibri"/>
          <w:noProof/>
          <w:sz w:val="22"/>
          <w:szCs w:val="22"/>
        </w:rPr>
        <w:t xml:space="preserve">The global semiconductor race has intensified further over </w:t>
      </w:r>
      <w:r w:rsidRPr="00417E18" w:rsidDel="000C2FC3">
        <w:rPr>
          <w:rFonts w:eastAsia="Times New Roman" w:cs="Calibri"/>
          <w:noProof/>
          <w:sz w:val="22"/>
          <w:szCs w:val="22"/>
        </w:rPr>
        <w:t xml:space="preserve">the </w:t>
      </w:r>
      <w:r w:rsidRPr="00417E18">
        <w:rPr>
          <w:rFonts w:eastAsia="Times New Roman" w:cs="Calibri"/>
          <w:noProof/>
          <w:sz w:val="22"/>
          <w:szCs w:val="22"/>
        </w:rPr>
        <w:t>past year. Chips</w:t>
      </w:r>
      <w:r w:rsidRPr="00417E18" w:rsidDel="00114A15">
        <w:rPr>
          <w:rFonts w:eastAsia="Times New Roman" w:cs="Calibri"/>
          <w:noProof/>
          <w:sz w:val="22"/>
          <w:szCs w:val="22"/>
        </w:rPr>
        <w:t xml:space="preserve"> </w:t>
      </w:r>
      <w:r w:rsidR="00114A15">
        <w:rPr>
          <w:rFonts w:eastAsia="Times New Roman" w:cs="Calibri"/>
          <w:noProof/>
          <w:sz w:val="22"/>
          <w:szCs w:val="22"/>
        </w:rPr>
        <w:t>are</w:t>
      </w:r>
      <w:r w:rsidR="00114A15" w:rsidRPr="00417E18">
        <w:rPr>
          <w:rFonts w:eastAsia="Times New Roman" w:cs="Calibri"/>
          <w:noProof/>
          <w:sz w:val="22"/>
          <w:szCs w:val="22"/>
        </w:rPr>
        <w:t xml:space="preserve"> </w:t>
      </w:r>
      <w:r w:rsidRPr="00417E18">
        <w:rPr>
          <w:rFonts w:eastAsia="Times New Roman" w:cs="Calibri"/>
          <w:noProof/>
          <w:sz w:val="22"/>
          <w:szCs w:val="22"/>
        </w:rPr>
        <w:t>at the centre of competitiveness, security and resilience strategies worldwide</w:t>
      </w:r>
      <w:r w:rsidR="00014899">
        <w:rPr>
          <w:rFonts w:eastAsia="Times New Roman" w:cs="Calibri"/>
          <w:noProof/>
          <w:sz w:val="22"/>
          <w:szCs w:val="22"/>
        </w:rPr>
        <w:t>,</w:t>
      </w:r>
      <w:r w:rsidRPr="00417E18">
        <w:rPr>
          <w:rFonts w:eastAsia="Times New Roman" w:cs="Calibri"/>
          <w:noProof/>
          <w:sz w:val="22"/>
          <w:szCs w:val="22"/>
        </w:rPr>
        <w:t xml:space="preserve"> </w:t>
      </w:r>
      <w:r w:rsidR="00014899">
        <w:rPr>
          <w:rFonts w:eastAsia="Times New Roman" w:cs="Calibri"/>
          <w:noProof/>
          <w:sz w:val="22"/>
          <w:szCs w:val="22"/>
        </w:rPr>
        <w:t>as</w:t>
      </w:r>
      <w:r w:rsidR="00014899" w:rsidRPr="00417E18">
        <w:rPr>
          <w:rFonts w:eastAsia="Times New Roman" w:cs="Calibri"/>
          <w:noProof/>
          <w:sz w:val="22"/>
          <w:szCs w:val="22"/>
        </w:rPr>
        <w:t xml:space="preserve"> </w:t>
      </w:r>
      <w:r w:rsidRPr="00417E18">
        <w:rPr>
          <w:rFonts w:eastAsia="Times New Roman" w:cs="Calibri"/>
          <w:noProof/>
          <w:sz w:val="22"/>
          <w:szCs w:val="22"/>
        </w:rPr>
        <w:t xml:space="preserve">they underpin artificial intelligence, cloud and edge computing, future communications networks, software-defined vehicles, industrial automation, medical devices, defence systems and the wider digital and green transitions. The economic and strategic relevance of semiconductors therefore continues to grow, and with it the pressure on governments to secure access to critical technologies and strengthen trusted supply chains. </w:t>
      </w:r>
      <w:r w:rsidR="3902151D" w:rsidRPr="00417E18">
        <w:rPr>
          <w:rFonts w:eastAsia="Calibri" w:cs="Calibri"/>
          <w:noProof/>
          <w:sz w:val="22"/>
          <w:szCs w:val="22"/>
        </w:rPr>
        <w:t xml:space="preserve">These dynamics </w:t>
      </w:r>
      <w:r w:rsidR="007A7A29">
        <w:rPr>
          <w:rFonts w:eastAsia="Calibri" w:cs="Calibri"/>
          <w:noProof/>
          <w:sz w:val="22"/>
          <w:szCs w:val="22"/>
        </w:rPr>
        <w:t xml:space="preserve">are </w:t>
      </w:r>
      <w:r w:rsidR="007536D1">
        <w:rPr>
          <w:rFonts w:eastAsia="Calibri" w:cs="Calibri"/>
          <w:noProof/>
          <w:sz w:val="22"/>
          <w:szCs w:val="22"/>
        </w:rPr>
        <w:t>re</w:t>
      </w:r>
      <w:r w:rsidR="007A7A29">
        <w:rPr>
          <w:rFonts w:eastAsia="Calibri" w:cs="Calibri"/>
          <w:noProof/>
          <w:sz w:val="22"/>
          <w:szCs w:val="22"/>
        </w:rPr>
        <w:t>shaping</w:t>
      </w:r>
      <w:r w:rsidR="1756821F" w:rsidRPr="00417E18" w:rsidDel="007A7A29">
        <w:rPr>
          <w:rFonts w:eastAsia="Calibri" w:cs="Calibri"/>
          <w:noProof/>
          <w:sz w:val="22"/>
          <w:szCs w:val="22"/>
        </w:rPr>
        <w:t xml:space="preserve"> </w:t>
      </w:r>
      <w:r w:rsidR="1756821F" w:rsidRPr="00417E18">
        <w:rPr>
          <w:rFonts w:eastAsia="Calibri" w:cs="Calibri"/>
          <w:noProof/>
          <w:sz w:val="22"/>
          <w:szCs w:val="22"/>
        </w:rPr>
        <w:t xml:space="preserve">the semiconductor market with AI </w:t>
      </w:r>
      <w:r w:rsidR="00975145">
        <w:rPr>
          <w:rFonts w:eastAsia="Calibri" w:cs="Calibri"/>
          <w:noProof/>
          <w:sz w:val="22"/>
          <w:szCs w:val="22"/>
        </w:rPr>
        <w:t>emerging as</w:t>
      </w:r>
      <w:r w:rsidR="00975145" w:rsidRPr="00417E18">
        <w:rPr>
          <w:rFonts w:eastAsia="Calibri" w:cs="Calibri"/>
          <w:noProof/>
          <w:sz w:val="22"/>
          <w:szCs w:val="22"/>
        </w:rPr>
        <w:t xml:space="preserve"> </w:t>
      </w:r>
      <w:r w:rsidR="1756821F" w:rsidRPr="00417E18">
        <w:rPr>
          <w:rFonts w:eastAsia="Calibri" w:cs="Calibri"/>
          <w:noProof/>
          <w:sz w:val="22"/>
          <w:szCs w:val="22"/>
        </w:rPr>
        <w:t>a pervasive end application</w:t>
      </w:r>
      <w:r w:rsidR="00975145">
        <w:rPr>
          <w:rFonts w:eastAsia="Calibri" w:cs="Calibri"/>
          <w:noProof/>
          <w:sz w:val="22"/>
          <w:szCs w:val="22"/>
        </w:rPr>
        <w:t xml:space="preserve">. </w:t>
      </w:r>
      <w:r w:rsidR="1756821F" w:rsidRPr="00417E18">
        <w:rPr>
          <w:rFonts w:eastAsia="Calibri" w:cs="Calibri"/>
          <w:noProof/>
          <w:sz w:val="22"/>
          <w:szCs w:val="22"/>
        </w:rPr>
        <w:t xml:space="preserve">AI-related components are expected to drive growth and </w:t>
      </w:r>
      <w:r w:rsidR="00DC1164">
        <w:rPr>
          <w:rFonts w:eastAsia="Calibri" w:cs="Calibri"/>
          <w:noProof/>
          <w:sz w:val="22"/>
          <w:szCs w:val="22"/>
        </w:rPr>
        <w:t>account for</w:t>
      </w:r>
      <w:r w:rsidR="000E420C" w:rsidRPr="00417E18">
        <w:rPr>
          <w:rFonts w:eastAsia="Calibri" w:cs="Calibri"/>
          <w:noProof/>
          <w:sz w:val="22"/>
          <w:szCs w:val="22"/>
        </w:rPr>
        <w:t xml:space="preserve"> </w:t>
      </w:r>
      <w:r w:rsidR="00DC1164">
        <w:rPr>
          <w:rFonts w:eastAsia="Calibri" w:cs="Calibri"/>
          <w:noProof/>
          <w:sz w:val="22"/>
          <w:szCs w:val="22"/>
        </w:rPr>
        <w:t>more than</w:t>
      </w:r>
      <w:r w:rsidR="00DC1164" w:rsidRPr="00417E18">
        <w:rPr>
          <w:rFonts w:eastAsia="Calibri" w:cs="Calibri"/>
          <w:noProof/>
          <w:sz w:val="22"/>
          <w:szCs w:val="22"/>
        </w:rPr>
        <w:t xml:space="preserve"> </w:t>
      </w:r>
      <w:r w:rsidR="1756821F" w:rsidRPr="00417E18">
        <w:rPr>
          <w:rFonts w:eastAsia="Calibri" w:cs="Calibri"/>
          <w:noProof/>
          <w:sz w:val="22"/>
          <w:szCs w:val="22"/>
        </w:rPr>
        <w:t>70% of the total semiconductor market by 2030. Over the past two years</w:t>
      </w:r>
      <w:r w:rsidR="00D5163E">
        <w:rPr>
          <w:rFonts w:eastAsia="Calibri" w:cs="Calibri"/>
          <w:noProof/>
          <w:sz w:val="22"/>
          <w:szCs w:val="22"/>
        </w:rPr>
        <w:t>,</w:t>
      </w:r>
      <w:r w:rsidR="1756821F" w:rsidRPr="00417E18">
        <w:rPr>
          <w:rFonts w:eastAsia="Calibri" w:cs="Calibri"/>
          <w:noProof/>
          <w:sz w:val="22"/>
          <w:szCs w:val="22"/>
        </w:rPr>
        <w:t xml:space="preserve"> market growth has been driven by chips for AI data</w:t>
      </w:r>
      <w:r w:rsidR="007A7A29">
        <w:rPr>
          <w:rFonts w:eastAsia="Calibri" w:cs="Calibri"/>
          <w:noProof/>
          <w:sz w:val="22"/>
          <w:szCs w:val="22"/>
        </w:rPr>
        <w:t xml:space="preserve"> </w:t>
      </w:r>
      <w:r w:rsidR="1756821F" w:rsidRPr="00417E18">
        <w:rPr>
          <w:rFonts w:eastAsia="Calibri" w:cs="Calibri"/>
          <w:noProof/>
          <w:sz w:val="22"/>
          <w:szCs w:val="22"/>
        </w:rPr>
        <w:t>centres</w:t>
      </w:r>
      <w:r w:rsidR="00D5163E">
        <w:rPr>
          <w:rFonts w:eastAsia="Calibri" w:cs="Calibri"/>
          <w:noProof/>
          <w:sz w:val="22"/>
          <w:szCs w:val="22"/>
        </w:rPr>
        <w:t>, notably</w:t>
      </w:r>
      <w:r w:rsidR="1756821F" w:rsidRPr="00417E18">
        <w:rPr>
          <w:rFonts w:eastAsia="Calibri" w:cs="Calibri"/>
          <w:noProof/>
          <w:sz w:val="22"/>
          <w:szCs w:val="22"/>
        </w:rPr>
        <w:t xml:space="preserve"> processors and memory, whil</w:t>
      </w:r>
      <w:r w:rsidR="00D5163E">
        <w:rPr>
          <w:rFonts w:eastAsia="Calibri" w:cs="Calibri"/>
          <w:noProof/>
          <w:sz w:val="22"/>
          <w:szCs w:val="22"/>
        </w:rPr>
        <w:t>e</w:t>
      </w:r>
      <w:r w:rsidR="1756821F" w:rsidRPr="00417E18">
        <w:rPr>
          <w:rFonts w:eastAsia="Calibri" w:cs="Calibri"/>
          <w:noProof/>
          <w:sz w:val="22"/>
          <w:szCs w:val="22"/>
        </w:rPr>
        <w:t xml:space="preserve"> most other segments have remained stagnan</w:t>
      </w:r>
      <w:r w:rsidR="00B51E4A">
        <w:rPr>
          <w:rFonts w:eastAsia="Calibri" w:cs="Calibri"/>
          <w:noProof/>
          <w:sz w:val="22"/>
          <w:szCs w:val="22"/>
        </w:rPr>
        <w:t>t.</w:t>
      </w:r>
    </w:p>
    <w:p w14:paraId="2901C059" w14:textId="13260566" w:rsidR="6531434B" w:rsidRPr="00417E18" w:rsidRDefault="00FB5D76" w:rsidP="528C44BB">
      <w:pPr>
        <w:spacing w:before="0" w:after="160" w:line="257" w:lineRule="auto"/>
        <w:rPr>
          <w:rFonts w:eastAsia="Calibri" w:cs="Calibri"/>
          <w:noProof/>
          <w:sz w:val="22"/>
          <w:szCs w:val="22"/>
        </w:rPr>
      </w:pPr>
      <w:r w:rsidRPr="00417E18">
        <w:rPr>
          <w:rFonts w:eastAsia="Calibri" w:cs="Calibri"/>
          <w:noProof/>
          <w:sz w:val="22"/>
          <w:szCs w:val="22"/>
        </w:rPr>
        <w:t xml:space="preserve">The </w:t>
      </w:r>
      <w:r w:rsidR="005F31AE" w:rsidRPr="00417E18">
        <w:rPr>
          <w:rFonts w:eastAsia="Calibri" w:cs="Calibri"/>
          <w:noProof/>
          <w:sz w:val="22"/>
          <w:szCs w:val="22"/>
        </w:rPr>
        <w:t>European Union</w:t>
      </w:r>
      <w:r w:rsidR="4BA23BF4" w:rsidRPr="00417E18">
        <w:rPr>
          <w:rFonts w:eastAsia="Calibri" w:cs="Calibri"/>
          <w:noProof/>
          <w:sz w:val="22"/>
          <w:szCs w:val="22"/>
        </w:rPr>
        <w:t xml:space="preserve"> occupies a distinctive position in the global semiconductor ecosystem. Its role is not primarily defined by scale in the most volume-driven segments of leading-edge logic and memory manufacturing, but rather by strong capabilities in strategic parts of the value chain, including equipment, materials, research and technology infrastructures, specialty manufacturing, and semiconductor devices for automotive, industrial, power, sensing and secure applications. This profile reflects the structure of </w:t>
      </w:r>
      <w:r w:rsidR="4BA23BF4" w:rsidRPr="07868930">
        <w:rPr>
          <w:rFonts w:eastAsia="Calibri" w:cs="Calibri"/>
          <w:noProof/>
          <w:sz w:val="22"/>
          <w:szCs w:val="22"/>
        </w:rPr>
        <w:t>E</w:t>
      </w:r>
      <w:r w:rsidR="005F31AE" w:rsidRPr="07868930">
        <w:rPr>
          <w:rFonts w:eastAsia="Calibri" w:cs="Calibri"/>
          <w:noProof/>
          <w:sz w:val="22"/>
          <w:szCs w:val="22"/>
        </w:rPr>
        <w:t>U</w:t>
      </w:r>
      <w:r w:rsidR="4BA23BF4" w:rsidRPr="00417E18" w:rsidDel="00C379FC">
        <w:rPr>
          <w:rFonts w:eastAsia="Calibri" w:cs="Calibri"/>
          <w:noProof/>
          <w:sz w:val="22"/>
          <w:szCs w:val="22"/>
        </w:rPr>
        <w:t xml:space="preserve"> </w:t>
      </w:r>
      <w:r w:rsidR="4BA23BF4" w:rsidRPr="00417E18">
        <w:rPr>
          <w:rFonts w:eastAsia="Calibri" w:cs="Calibri"/>
          <w:noProof/>
          <w:sz w:val="22"/>
          <w:szCs w:val="22"/>
        </w:rPr>
        <w:t xml:space="preserve">industry. </w:t>
      </w:r>
      <w:r w:rsidR="005F31AE" w:rsidRPr="00417E18">
        <w:rPr>
          <w:rFonts w:eastAsia="Calibri" w:cs="Calibri"/>
          <w:noProof/>
          <w:sz w:val="22"/>
          <w:szCs w:val="22"/>
        </w:rPr>
        <w:t>The EU</w:t>
      </w:r>
      <w:r w:rsidR="4BA23BF4" w:rsidRPr="00417E18">
        <w:rPr>
          <w:rFonts w:eastAsia="Calibri" w:cs="Calibri"/>
          <w:noProof/>
          <w:sz w:val="22"/>
          <w:szCs w:val="22"/>
        </w:rPr>
        <w:t xml:space="preserve"> hosts leading integrated device manufacturers and specialty foundries, globally relevant equipment and materials suppliers, and major research organisations. As a result, </w:t>
      </w:r>
      <w:r w:rsidR="005A4AF2" w:rsidRPr="07868930">
        <w:rPr>
          <w:rFonts w:eastAsia="Calibri" w:cs="Calibri"/>
          <w:noProof/>
          <w:sz w:val="22"/>
          <w:szCs w:val="22"/>
        </w:rPr>
        <w:t>it</w:t>
      </w:r>
      <w:r w:rsidR="4BA23BF4" w:rsidRPr="00417E18">
        <w:rPr>
          <w:rFonts w:eastAsia="Calibri" w:cs="Calibri"/>
          <w:noProof/>
          <w:sz w:val="22"/>
          <w:szCs w:val="22"/>
        </w:rPr>
        <w:t xml:space="preserve"> plays an enabling role well beyond its own regional demand, especially in applications where reliability, energy efficiency, safety, long product lifecycles and system integration are more important than pure scaling at the smallest geometry.</w:t>
      </w:r>
    </w:p>
    <w:p w14:paraId="6168568F" w14:textId="3EFCA1B0" w:rsidR="6531434B" w:rsidRPr="00417E18" w:rsidRDefault="13A41184" w:rsidP="00F3438F">
      <w:pPr>
        <w:spacing w:before="0" w:after="160" w:line="257" w:lineRule="auto"/>
        <w:rPr>
          <w:rFonts w:eastAsia="Times New Roman" w:cs="Calibri"/>
          <w:noProof/>
          <w:sz w:val="22"/>
          <w:szCs w:val="22"/>
        </w:rPr>
      </w:pPr>
      <w:r w:rsidRPr="00417E18">
        <w:rPr>
          <w:rFonts w:eastAsia="Times New Roman" w:cs="Calibri"/>
          <w:noProof/>
          <w:sz w:val="22"/>
          <w:szCs w:val="22"/>
        </w:rPr>
        <w:t xml:space="preserve">Against this background, </w:t>
      </w:r>
      <w:r w:rsidR="00FB3F9D">
        <w:rPr>
          <w:rFonts w:eastAsia="Times New Roman" w:cs="Calibri"/>
          <w:noProof/>
          <w:sz w:val="22"/>
          <w:szCs w:val="22"/>
        </w:rPr>
        <w:t xml:space="preserve">EU semiconductor </w:t>
      </w:r>
      <w:r w:rsidR="005B2F32">
        <w:rPr>
          <w:rFonts w:eastAsia="Times New Roman" w:cs="Calibri"/>
          <w:noProof/>
          <w:sz w:val="22"/>
          <w:szCs w:val="22"/>
        </w:rPr>
        <w:t xml:space="preserve">value-chain </w:t>
      </w:r>
      <w:r w:rsidR="26CB2E07" w:rsidRPr="00417E18">
        <w:rPr>
          <w:rFonts w:eastAsia="Times New Roman" w:cs="Calibri"/>
          <w:noProof/>
          <w:sz w:val="22"/>
          <w:szCs w:val="22"/>
        </w:rPr>
        <w:t>revenues ha</w:t>
      </w:r>
      <w:r w:rsidR="00185D2E">
        <w:rPr>
          <w:rFonts w:eastAsia="Times New Roman" w:cs="Calibri"/>
          <w:noProof/>
          <w:sz w:val="22"/>
          <w:szCs w:val="22"/>
        </w:rPr>
        <w:t xml:space="preserve">ve </w:t>
      </w:r>
      <w:r w:rsidR="009C7AAC" w:rsidRPr="07868930">
        <w:rPr>
          <w:rFonts w:eastAsia="Times New Roman" w:cs="Calibri"/>
          <w:noProof/>
          <w:sz w:val="22"/>
          <w:szCs w:val="22"/>
        </w:rPr>
        <w:t>increased</w:t>
      </w:r>
      <w:r w:rsidR="26CB2E07" w:rsidRPr="00417E18">
        <w:rPr>
          <w:rFonts w:eastAsia="Times New Roman" w:cs="Calibri"/>
          <w:noProof/>
          <w:sz w:val="22"/>
          <w:szCs w:val="22"/>
        </w:rPr>
        <w:t xml:space="preserve"> </w:t>
      </w:r>
      <w:r w:rsidR="1346756A" w:rsidRPr="00417E18">
        <w:rPr>
          <w:rFonts w:eastAsia="Times New Roman" w:cs="Calibri"/>
          <w:noProof/>
          <w:sz w:val="22"/>
          <w:szCs w:val="22"/>
        </w:rPr>
        <w:t xml:space="preserve">almost </w:t>
      </w:r>
      <w:r w:rsidR="26CB2E07" w:rsidRPr="07868930">
        <w:rPr>
          <w:rFonts w:eastAsia="Times New Roman" w:cs="Calibri"/>
          <w:noProof/>
          <w:sz w:val="22"/>
          <w:szCs w:val="22"/>
        </w:rPr>
        <w:t>stead</w:t>
      </w:r>
      <w:r w:rsidR="00185D2E" w:rsidRPr="07868930">
        <w:rPr>
          <w:rFonts w:eastAsia="Times New Roman" w:cs="Calibri"/>
          <w:noProof/>
          <w:sz w:val="22"/>
          <w:szCs w:val="22"/>
        </w:rPr>
        <w:t>il</w:t>
      </w:r>
      <w:r w:rsidR="26CB2E07" w:rsidRPr="07868930">
        <w:rPr>
          <w:rFonts w:eastAsia="Times New Roman" w:cs="Calibri"/>
          <w:noProof/>
          <w:sz w:val="22"/>
          <w:szCs w:val="22"/>
        </w:rPr>
        <w:t>y</w:t>
      </w:r>
      <w:r w:rsidR="005B2F32" w:rsidRPr="07868930">
        <w:rPr>
          <w:rFonts w:eastAsia="Times New Roman" w:cs="Calibri"/>
          <w:noProof/>
          <w:sz w:val="22"/>
          <w:szCs w:val="22"/>
        </w:rPr>
        <w:t>,</w:t>
      </w:r>
      <w:r w:rsidR="26CB2E07" w:rsidRPr="00417E18" w:rsidDel="005B2F32">
        <w:rPr>
          <w:rFonts w:eastAsia="Times New Roman" w:cs="Calibri"/>
          <w:noProof/>
          <w:sz w:val="22"/>
          <w:szCs w:val="22"/>
        </w:rPr>
        <w:t xml:space="preserve"> </w:t>
      </w:r>
      <w:r w:rsidR="26CB2E07" w:rsidRPr="00417E18">
        <w:rPr>
          <w:rFonts w:eastAsia="Times New Roman" w:cs="Calibri"/>
          <w:noProof/>
          <w:sz w:val="22"/>
          <w:szCs w:val="22"/>
        </w:rPr>
        <w:t>from EUR 5</w:t>
      </w:r>
      <w:r w:rsidR="57B671AF" w:rsidRPr="00417E18">
        <w:rPr>
          <w:rFonts w:eastAsia="Times New Roman" w:cs="Calibri"/>
          <w:noProof/>
          <w:sz w:val="22"/>
          <w:szCs w:val="22"/>
        </w:rPr>
        <w:t>3</w:t>
      </w:r>
      <w:r w:rsidR="26CB2E07" w:rsidRPr="00417E18">
        <w:rPr>
          <w:rFonts w:eastAsia="Times New Roman" w:cs="Calibri"/>
          <w:noProof/>
          <w:sz w:val="22"/>
          <w:szCs w:val="22"/>
        </w:rPr>
        <w:t xml:space="preserve"> billion in 2019 to an estimated EUR </w:t>
      </w:r>
      <w:r w:rsidR="6F5494F5" w:rsidRPr="00417E18">
        <w:rPr>
          <w:rFonts w:eastAsia="Times New Roman" w:cs="Calibri"/>
          <w:noProof/>
          <w:sz w:val="22"/>
          <w:szCs w:val="22"/>
        </w:rPr>
        <w:t>93</w:t>
      </w:r>
      <w:r w:rsidR="26CB2E07" w:rsidRPr="00417E18">
        <w:rPr>
          <w:rFonts w:eastAsia="Times New Roman" w:cs="Calibri"/>
          <w:noProof/>
          <w:sz w:val="22"/>
          <w:szCs w:val="22"/>
        </w:rPr>
        <w:t xml:space="preserve"> billion in 202</w:t>
      </w:r>
      <w:r w:rsidR="6EF47657" w:rsidRPr="00417E18">
        <w:rPr>
          <w:rFonts w:eastAsia="Times New Roman" w:cs="Calibri"/>
          <w:noProof/>
          <w:sz w:val="22"/>
          <w:szCs w:val="22"/>
        </w:rPr>
        <w:t>5</w:t>
      </w:r>
      <w:r w:rsidR="26CB2E07" w:rsidRPr="00417E18">
        <w:rPr>
          <w:rFonts w:eastAsia="Times New Roman" w:cs="Calibri"/>
          <w:noProof/>
          <w:sz w:val="22"/>
          <w:szCs w:val="22"/>
        </w:rPr>
        <w:t>, as shown in the figure below which displays the EU's semiconductor value chain market in absolute values and the EU's share from 2019 to 2030. This growth is expected to continue, almost linearly, to EUR 1</w:t>
      </w:r>
      <w:r w:rsidR="18608B2B" w:rsidRPr="00417E18">
        <w:rPr>
          <w:rFonts w:eastAsia="Times New Roman" w:cs="Calibri"/>
          <w:noProof/>
          <w:sz w:val="22"/>
          <w:szCs w:val="22"/>
        </w:rPr>
        <w:t>4</w:t>
      </w:r>
      <w:r w:rsidR="2C2EDFEF" w:rsidRPr="00417E18">
        <w:rPr>
          <w:rFonts w:eastAsia="Times New Roman" w:cs="Calibri"/>
          <w:noProof/>
          <w:sz w:val="22"/>
          <w:szCs w:val="22"/>
        </w:rPr>
        <w:t>3</w:t>
      </w:r>
      <w:r w:rsidR="26CB2E07" w:rsidRPr="00417E18">
        <w:rPr>
          <w:rFonts w:eastAsia="Times New Roman" w:cs="Calibri"/>
          <w:noProof/>
          <w:sz w:val="22"/>
          <w:szCs w:val="22"/>
        </w:rPr>
        <w:t xml:space="preserve"> billion in 2030.</w:t>
      </w:r>
    </w:p>
    <w:p w14:paraId="08CEC318" w14:textId="05D06980" w:rsidR="0C9282A3" w:rsidRPr="00417E18" w:rsidRDefault="6531434B" w:rsidP="0C9282A3">
      <w:pPr>
        <w:rPr>
          <w:rFonts w:eastAsia="Calibri" w:cs="Calibri"/>
          <w:noProof/>
          <w:sz w:val="22"/>
          <w:szCs w:val="22"/>
        </w:rPr>
      </w:pPr>
      <w:r w:rsidRPr="0A9C2659">
        <w:rPr>
          <w:rFonts w:eastAsia="Calibri" w:cs="Calibri"/>
          <w:noProof/>
          <w:sz w:val="22"/>
          <w:szCs w:val="22"/>
        </w:rPr>
        <w:t xml:space="preserve">In 2025 the EU's share of global value chain revenues </w:t>
      </w:r>
      <w:r w:rsidR="0FAB9B3F" w:rsidRPr="0A9C2659">
        <w:rPr>
          <w:rFonts w:eastAsia="Calibri" w:cs="Calibri"/>
          <w:noProof/>
          <w:sz w:val="22"/>
          <w:szCs w:val="22"/>
        </w:rPr>
        <w:t xml:space="preserve">is </w:t>
      </w:r>
      <w:r w:rsidR="2B446C99" w:rsidRPr="0A9C2659">
        <w:rPr>
          <w:rFonts w:eastAsia="Calibri" w:cs="Calibri"/>
          <w:noProof/>
          <w:sz w:val="22"/>
          <w:szCs w:val="22"/>
        </w:rPr>
        <w:t xml:space="preserve">estimated at </w:t>
      </w:r>
      <w:r w:rsidR="0FAB9B3F" w:rsidRPr="0A9C2659">
        <w:rPr>
          <w:rFonts w:eastAsia="Calibri" w:cs="Calibri"/>
          <w:noProof/>
          <w:sz w:val="22"/>
          <w:szCs w:val="22"/>
        </w:rPr>
        <w:t>8</w:t>
      </w:r>
      <w:r w:rsidRPr="0A9C2659">
        <w:rPr>
          <w:rFonts w:eastAsia="Calibri" w:cs="Calibri"/>
          <w:noProof/>
          <w:sz w:val="22"/>
          <w:szCs w:val="22"/>
        </w:rPr>
        <w:t>.</w:t>
      </w:r>
      <w:r w:rsidR="066ECC8B" w:rsidRPr="0A9C2659">
        <w:rPr>
          <w:rFonts w:eastAsia="Calibri" w:cs="Calibri"/>
          <w:noProof/>
          <w:sz w:val="22"/>
          <w:szCs w:val="22"/>
        </w:rPr>
        <w:t>8</w:t>
      </w:r>
      <w:r w:rsidRPr="0A9C2659">
        <w:rPr>
          <w:rFonts w:eastAsia="Calibri" w:cs="Calibri"/>
          <w:noProof/>
          <w:sz w:val="22"/>
          <w:szCs w:val="22"/>
        </w:rPr>
        <w:t xml:space="preserve">%, </w:t>
      </w:r>
      <w:r w:rsidR="00482AFE" w:rsidRPr="0A9C2659">
        <w:rPr>
          <w:rFonts w:eastAsia="Calibri" w:cs="Calibri"/>
          <w:noProof/>
          <w:sz w:val="22"/>
          <w:szCs w:val="22"/>
        </w:rPr>
        <w:t xml:space="preserve">still </w:t>
      </w:r>
      <w:r w:rsidRPr="0A9C2659">
        <w:rPr>
          <w:rFonts w:eastAsia="Calibri" w:cs="Calibri"/>
          <w:noProof/>
          <w:sz w:val="22"/>
          <w:szCs w:val="22"/>
        </w:rPr>
        <w:t>far from the</w:t>
      </w:r>
      <w:r w:rsidR="00672472">
        <w:rPr>
          <w:rFonts w:eastAsia="Calibri" w:cs="Calibri"/>
          <w:noProof/>
          <w:sz w:val="22"/>
          <w:szCs w:val="22"/>
        </w:rPr>
        <w:t xml:space="preserve"> </w:t>
      </w:r>
      <w:r w:rsidRPr="07868930">
        <w:rPr>
          <w:rFonts w:eastAsia="Calibri" w:cs="Calibri"/>
          <w:noProof/>
          <w:sz w:val="22"/>
          <w:szCs w:val="22"/>
        </w:rPr>
        <w:t>20%</w:t>
      </w:r>
      <w:r w:rsidRPr="0A9C2659" w:rsidDel="000E40E0">
        <w:rPr>
          <w:rFonts w:eastAsia="Calibri" w:cs="Calibri"/>
          <w:noProof/>
          <w:sz w:val="22"/>
          <w:szCs w:val="22"/>
        </w:rPr>
        <w:t xml:space="preserve"> target </w:t>
      </w:r>
      <w:r w:rsidR="000C3EF2">
        <w:rPr>
          <w:rFonts w:eastAsia="Calibri" w:cs="Calibri"/>
          <w:noProof/>
          <w:sz w:val="22"/>
          <w:szCs w:val="22"/>
        </w:rPr>
        <w:t>to</w:t>
      </w:r>
      <w:r w:rsidR="00C8785D" w:rsidRPr="0A9C2659">
        <w:rPr>
          <w:rFonts w:eastAsia="Calibri" w:cs="Calibri"/>
          <w:noProof/>
          <w:sz w:val="22"/>
          <w:szCs w:val="22"/>
        </w:rPr>
        <w:t xml:space="preserve"> be reached by 2030</w:t>
      </w:r>
      <w:r w:rsidRPr="0A9C2659">
        <w:rPr>
          <w:rFonts w:eastAsia="Calibri" w:cs="Calibri"/>
          <w:noProof/>
          <w:sz w:val="22"/>
          <w:szCs w:val="22"/>
        </w:rPr>
        <w:t>.</w:t>
      </w:r>
      <w:r w:rsidR="21827919" w:rsidRPr="0A9C2659">
        <w:rPr>
          <w:rFonts w:eastAsia="Calibri" w:cs="Calibri"/>
          <w:noProof/>
          <w:sz w:val="22"/>
          <w:szCs w:val="22"/>
        </w:rPr>
        <w:t xml:space="preserve"> </w:t>
      </w:r>
      <w:r w:rsidRPr="0A9C2659">
        <w:rPr>
          <w:rFonts w:eastAsia="Calibri" w:cs="Calibri"/>
          <w:noProof/>
          <w:sz w:val="22"/>
          <w:szCs w:val="22"/>
        </w:rPr>
        <w:t>Th</w:t>
      </w:r>
      <w:r w:rsidR="00482AFE" w:rsidRPr="0A9C2659">
        <w:rPr>
          <w:rFonts w:eastAsia="Calibri" w:cs="Calibri"/>
          <w:noProof/>
          <w:sz w:val="22"/>
          <w:szCs w:val="22"/>
        </w:rPr>
        <w:t xml:space="preserve">is </w:t>
      </w:r>
      <w:r w:rsidRPr="0A9C2659">
        <w:rPr>
          <w:rFonts w:eastAsia="Calibri" w:cs="Calibri"/>
          <w:noProof/>
          <w:sz w:val="22"/>
          <w:szCs w:val="22"/>
        </w:rPr>
        <w:t xml:space="preserve">share is projected to </w:t>
      </w:r>
      <w:r w:rsidR="75A586BD" w:rsidRPr="0A9C2659">
        <w:rPr>
          <w:rFonts w:eastAsia="Calibri" w:cs="Calibri"/>
          <w:noProof/>
          <w:sz w:val="22"/>
          <w:szCs w:val="22"/>
        </w:rPr>
        <w:t>remain</w:t>
      </w:r>
      <w:r w:rsidR="17869B4C" w:rsidRPr="0A9C2659">
        <w:rPr>
          <w:rFonts w:eastAsia="Calibri" w:cs="Calibri"/>
          <w:noProof/>
          <w:sz w:val="22"/>
          <w:szCs w:val="22"/>
        </w:rPr>
        <w:t xml:space="preserve"> relatively </w:t>
      </w:r>
      <w:r w:rsidR="003653E8" w:rsidRPr="0A9C2659">
        <w:rPr>
          <w:rFonts w:eastAsia="Calibri" w:cs="Calibri"/>
          <w:noProof/>
          <w:sz w:val="22"/>
          <w:szCs w:val="22"/>
        </w:rPr>
        <w:t xml:space="preserve">stable </w:t>
      </w:r>
      <w:r w:rsidRPr="0A9C2659">
        <w:rPr>
          <w:rFonts w:eastAsia="Calibri" w:cs="Calibri"/>
          <w:noProof/>
          <w:sz w:val="22"/>
          <w:szCs w:val="22"/>
        </w:rPr>
        <w:t xml:space="preserve">in the coming years, in a context of sustained </w:t>
      </w:r>
      <w:r w:rsidR="001C77A6">
        <w:rPr>
          <w:rFonts w:eastAsia="Calibri" w:cs="Calibri"/>
          <w:noProof/>
          <w:sz w:val="22"/>
          <w:szCs w:val="22"/>
        </w:rPr>
        <w:t>large</w:t>
      </w:r>
      <w:r w:rsidR="00653FE2" w:rsidRPr="4A419601">
        <w:rPr>
          <w:rFonts w:eastAsia="Calibri" w:cs="Calibri"/>
          <w:noProof/>
          <w:sz w:val="22"/>
          <w:szCs w:val="22"/>
        </w:rPr>
        <w:t>-</w:t>
      </w:r>
      <w:r w:rsidR="001C77A6">
        <w:rPr>
          <w:rFonts w:eastAsia="Calibri" w:cs="Calibri"/>
          <w:noProof/>
          <w:sz w:val="22"/>
          <w:szCs w:val="22"/>
        </w:rPr>
        <w:t>scale</w:t>
      </w:r>
      <w:r w:rsidR="001C77A6" w:rsidRPr="0A9C2659">
        <w:rPr>
          <w:rFonts w:eastAsia="Calibri" w:cs="Calibri"/>
          <w:noProof/>
          <w:sz w:val="22"/>
          <w:szCs w:val="22"/>
        </w:rPr>
        <w:t xml:space="preserve"> </w:t>
      </w:r>
      <w:r w:rsidRPr="0A9C2659">
        <w:rPr>
          <w:rFonts w:eastAsia="Calibri" w:cs="Calibri"/>
          <w:noProof/>
          <w:sz w:val="22"/>
          <w:szCs w:val="22"/>
        </w:rPr>
        <w:t xml:space="preserve">investments in other regions of </w:t>
      </w:r>
      <w:r w:rsidR="0070700B" w:rsidRPr="07868930">
        <w:rPr>
          <w:rFonts w:eastAsia="Calibri" w:cs="Calibri"/>
          <w:noProof/>
          <w:sz w:val="22"/>
          <w:szCs w:val="22"/>
        </w:rPr>
        <w:t>continued</w:t>
      </w:r>
      <w:r w:rsidR="0070700B">
        <w:rPr>
          <w:rFonts w:eastAsia="Calibri" w:cs="Calibri"/>
          <w:noProof/>
          <w:sz w:val="22"/>
          <w:szCs w:val="22"/>
        </w:rPr>
        <w:t xml:space="preserve"> expansion in</w:t>
      </w:r>
      <w:r w:rsidRPr="0A9C2659">
        <w:rPr>
          <w:rFonts w:eastAsia="Calibri" w:cs="Calibri"/>
          <w:noProof/>
          <w:sz w:val="22"/>
          <w:szCs w:val="22"/>
        </w:rPr>
        <w:t xml:space="preserve"> the global market </w:t>
      </w:r>
      <w:r w:rsidR="000848C5">
        <w:rPr>
          <w:rFonts w:eastAsia="Calibri" w:cs="Calibri"/>
          <w:noProof/>
          <w:sz w:val="22"/>
          <w:szCs w:val="22"/>
        </w:rPr>
        <w:t xml:space="preserve">which is </w:t>
      </w:r>
      <w:r w:rsidRPr="0A9C2659">
        <w:rPr>
          <w:rFonts w:eastAsia="Calibri" w:cs="Calibri"/>
          <w:noProof/>
          <w:sz w:val="22"/>
          <w:szCs w:val="22"/>
        </w:rPr>
        <w:t xml:space="preserve">now projected to </w:t>
      </w:r>
      <w:r w:rsidR="00482AFE" w:rsidRPr="0A9C2659">
        <w:rPr>
          <w:rFonts w:eastAsia="Calibri" w:cs="Calibri"/>
          <w:noProof/>
          <w:sz w:val="22"/>
          <w:szCs w:val="22"/>
        </w:rPr>
        <w:t xml:space="preserve">exceed </w:t>
      </w:r>
      <w:r w:rsidRPr="0A9C2659">
        <w:rPr>
          <w:rFonts w:eastAsia="Calibri" w:cs="Calibri"/>
          <w:noProof/>
          <w:sz w:val="22"/>
          <w:szCs w:val="22"/>
        </w:rPr>
        <w:t>EUR 1.</w:t>
      </w:r>
      <w:r w:rsidR="723B9CCF" w:rsidRPr="0A9C2659">
        <w:rPr>
          <w:rFonts w:eastAsia="Calibri" w:cs="Calibri"/>
          <w:noProof/>
          <w:sz w:val="22"/>
          <w:szCs w:val="22"/>
        </w:rPr>
        <w:t>6</w:t>
      </w:r>
      <w:r w:rsidRPr="0A9C2659">
        <w:rPr>
          <w:rFonts w:eastAsia="Calibri" w:cs="Calibri"/>
          <w:noProof/>
          <w:sz w:val="22"/>
          <w:szCs w:val="22"/>
        </w:rPr>
        <w:t xml:space="preserve"> trillion in 2030. </w:t>
      </w:r>
      <w:r w:rsidR="00D620A2">
        <w:rPr>
          <w:rFonts w:eastAsia="Calibri" w:cs="Calibri"/>
          <w:noProof/>
          <w:sz w:val="22"/>
          <w:szCs w:val="22"/>
        </w:rPr>
        <w:t>T</w:t>
      </w:r>
      <w:r w:rsidR="11325D7A" w:rsidRPr="4A419601">
        <w:rPr>
          <w:rFonts w:eastAsia="Calibri" w:cs="Calibri"/>
          <w:noProof/>
          <w:sz w:val="22"/>
          <w:szCs w:val="22"/>
        </w:rPr>
        <w:t>he</w:t>
      </w:r>
      <w:r w:rsidR="0088423B">
        <w:rPr>
          <w:rFonts w:eastAsia="Calibri" w:cs="Calibri"/>
          <w:noProof/>
          <w:sz w:val="22"/>
          <w:szCs w:val="22"/>
        </w:rPr>
        <w:t xml:space="preserve"> EU market </w:t>
      </w:r>
      <w:r w:rsidR="002B0E21">
        <w:rPr>
          <w:rFonts w:eastAsia="Calibri" w:cs="Calibri"/>
          <w:noProof/>
          <w:sz w:val="22"/>
          <w:szCs w:val="22"/>
        </w:rPr>
        <w:t>continues to grow in absolute terms.</w:t>
      </w:r>
      <w:r w:rsidR="000E7FBF">
        <w:rPr>
          <w:rFonts w:eastAsia="Calibri" w:cs="Calibri"/>
          <w:noProof/>
          <w:sz w:val="22"/>
          <w:szCs w:val="22"/>
        </w:rPr>
        <w:t xml:space="preserve"> </w:t>
      </w:r>
      <w:r w:rsidR="00522041">
        <w:rPr>
          <w:rFonts w:eastAsia="Calibri" w:cs="Calibri"/>
          <w:noProof/>
          <w:sz w:val="22"/>
          <w:szCs w:val="22"/>
        </w:rPr>
        <w:t>A</w:t>
      </w:r>
      <w:r w:rsidR="00A96F59">
        <w:rPr>
          <w:rFonts w:eastAsia="Calibri" w:cs="Calibri"/>
          <w:noProof/>
          <w:sz w:val="22"/>
          <w:szCs w:val="22"/>
        </w:rPr>
        <w:t xml:space="preserve">lthough </w:t>
      </w:r>
      <w:r w:rsidRPr="00A96F59">
        <w:rPr>
          <w:rFonts w:eastAsia="Calibri" w:cs="Calibri"/>
          <w:noProof/>
          <w:sz w:val="22"/>
          <w:szCs w:val="22"/>
        </w:rPr>
        <w:t xml:space="preserve">the </w:t>
      </w:r>
      <w:r w:rsidR="7F14BD62" w:rsidRPr="4A419601">
        <w:rPr>
          <w:rFonts w:eastAsia="Calibri" w:cs="Calibri"/>
          <w:noProof/>
          <w:sz w:val="22"/>
          <w:szCs w:val="22"/>
        </w:rPr>
        <w:t>EU</w:t>
      </w:r>
      <w:r w:rsidR="11325D7A" w:rsidRPr="00417E18">
        <w:rPr>
          <w:rFonts w:eastAsia="Calibri" w:cs="Calibri"/>
          <w:noProof/>
          <w:sz w:val="22"/>
          <w:szCs w:val="22"/>
        </w:rPr>
        <w:t xml:space="preserve"> </w:t>
      </w:r>
      <w:r w:rsidRPr="00A96F59">
        <w:rPr>
          <w:rFonts w:eastAsia="Calibri" w:cs="Calibri"/>
          <w:noProof/>
          <w:sz w:val="22"/>
          <w:szCs w:val="22"/>
        </w:rPr>
        <w:t>share values are not increasing,</w:t>
      </w:r>
      <w:r w:rsidR="1E15A514" w:rsidRPr="0A9C2659">
        <w:rPr>
          <w:rFonts w:eastAsia="Calibri" w:cs="Calibri"/>
          <w:noProof/>
          <w:sz w:val="22"/>
          <w:szCs w:val="22"/>
        </w:rPr>
        <w:t xml:space="preserve"> the </w:t>
      </w:r>
      <w:r w:rsidR="00A96F59">
        <w:rPr>
          <w:rFonts w:eastAsia="Calibri" w:cs="Calibri"/>
          <w:noProof/>
          <w:sz w:val="22"/>
          <w:szCs w:val="22"/>
        </w:rPr>
        <w:t xml:space="preserve">value of the </w:t>
      </w:r>
      <w:r w:rsidR="5A1DAE1E" w:rsidRPr="0A9C2659">
        <w:rPr>
          <w:rFonts w:eastAsia="Calibri" w:cs="Calibri"/>
          <w:noProof/>
          <w:sz w:val="22"/>
          <w:szCs w:val="22"/>
        </w:rPr>
        <w:t xml:space="preserve">EU27 </w:t>
      </w:r>
      <w:r w:rsidR="00A96F59">
        <w:rPr>
          <w:rFonts w:eastAsia="Calibri" w:cs="Calibri"/>
          <w:noProof/>
          <w:sz w:val="22"/>
          <w:szCs w:val="22"/>
        </w:rPr>
        <w:t xml:space="preserve">semiconductor </w:t>
      </w:r>
      <w:r w:rsidR="5A1DAE1E" w:rsidRPr="0A9C2659">
        <w:rPr>
          <w:rFonts w:eastAsia="Calibri" w:cs="Calibri"/>
          <w:noProof/>
          <w:sz w:val="22"/>
          <w:szCs w:val="22"/>
        </w:rPr>
        <w:t xml:space="preserve">market </w:t>
      </w:r>
      <w:r w:rsidR="52A3CF56" w:rsidRPr="0A9C2659">
        <w:rPr>
          <w:rFonts w:eastAsia="Calibri" w:cs="Calibri"/>
          <w:noProof/>
          <w:sz w:val="22"/>
          <w:szCs w:val="22"/>
        </w:rPr>
        <w:t>has</w:t>
      </w:r>
      <w:r w:rsidR="77947B38" w:rsidRPr="0A9C2659">
        <w:rPr>
          <w:rFonts w:eastAsia="Calibri" w:cs="Calibri"/>
          <w:noProof/>
          <w:sz w:val="22"/>
          <w:szCs w:val="22"/>
        </w:rPr>
        <w:t xml:space="preserve"> increase</w:t>
      </w:r>
      <w:r w:rsidR="66DB3AF7" w:rsidRPr="0A9C2659">
        <w:rPr>
          <w:rFonts w:eastAsia="Calibri" w:cs="Calibri"/>
          <w:noProof/>
          <w:sz w:val="22"/>
          <w:szCs w:val="22"/>
        </w:rPr>
        <w:t>d</w:t>
      </w:r>
      <w:r w:rsidR="77947B38" w:rsidRPr="0A9C2659">
        <w:rPr>
          <w:rFonts w:eastAsia="Calibri" w:cs="Calibri"/>
          <w:noProof/>
          <w:sz w:val="22"/>
          <w:szCs w:val="22"/>
        </w:rPr>
        <w:t xml:space="preserve"> by</w:t>
      </w:r>
      <w:r w:rsidR="41BEAF17" w:rsidRPr="0A9C2659">
        <w:rPr>
          <w:rFonts w:eastAsia="Calibri" w:cs="Calibri"/>
          <w:noProof/>
          <w:sz w:val="22"/>
          <w:szCs w:val="22"/>
        </w:rPr>
        <w:t xml:space="preserve"> 9.4% </w:t>
      </w:r>
      <w:r w:rsidR="5E6E0F1B" w:rsidRPr="0A9C2659">
        <w:rPr>
          <w:rFonts w:eastAsia="Calibri" w:cs="Calibri"/>
          <w:noProof/>
          <w:sz w:val="22"/>
          <w:szCs w:val="22"/>
        </w:rPr>
        <w:t>since 2024</w:t>
      </w:r>
      <w:r w:rsidR="0047192C">
        <w:rPr>
          <w:rFonts w:eastAsia="Calibri" w:cs="Calibri"/>
          <w:noProof/>
          <w:sz w:val="22"/>
          <w:szCs w:val="22"/>
        </w:rPr>
        <w:t xml:space="preserve">, compared with </w:t>
      </w:r>
      <w:r w:rsidR="3CA02285" w:rsidRPr="28BA574C">
        <w:rPr>
          <w:rFonts w:eastAsia="Calibri" w:cs="Calibri"/>
          <w:noProof/>
          <w:sz w:val="22"/>
          <w:szCs w:val="22"/>
        </w:rPr>
        <w:t>8</w:t>
      </w:r>
      <w:r w:rsidR="703795AF" w:rsidRPr="28BA574C">
        <w:rPr>
          <w:rFonts w:eastAsia="Calibri" w:cs="Calibri"/>
          <w:noProof/>
          <w:sz w:val="22"/>
          <w:szCs w:val="22"/>
        </w:rPr>
        <w:t>.</w:t>
      </w:r>
      <w:r w:rsidR="70D11E48" w:rsidRPr="28BA574C">
        <w:rPr>
          <w:rFonts w:eastAsia="Calibri" w:cs="Calibri"/>
          <w:noProof/>
          <w:sz w:val="22"/>
          <w:szCs w:val="22"/>
        </w:rPr>
        <w:t>0</w:t>
      </w:r>
      <w:r w:rsidR="6611CA69" w:rsidRPr="0A9C2659">
        <w:rPr>
          <w:rFonts w:eastAsia="Calibri" w:cs="Calibri"/>
          <w:noProof/>
          <w:sz w:val="22"/>
          <w:szCs w:val="22"/>
        </w:rPr>
        <w:t>%</w:t>
      </w:r>
      <w:r w:rsidR="0047192C">
        <w:rPr>
          <w:rFonts w:eastAsia="Calibri" w:cs="Calibri"/>
          <w:noProof/>
          <w:sz w:val="22"/>
          <w:szCs w:val="22"/>
        </w:rPr>
        <w:t xml:space="preserve"> growth in </w:t>
      </w:r>
      <w:r w:rsidR="41BEAF17" w:rsidRPr="0A9C2659">
        <w:rPr>
          <w:rFonts w:eastAsia="Calibri" w:cs="Calibri"/>
          <w:noProof/>
          <w:sz w:val="22"/>
          <w:szCs w:val="22"/>
        </w:rPr>
        <w:t xml:space="preserve">global </w:t>
      </w:r>
      <w:r w:rsidR="00D8418A" w:rsidRPr="0A9C2659">
        <w:rPr>
          <w:rFonts w:eastAsia="Calibri" w:cs="Calibri"/>
          <w:noProof/>
          <w:sz w:val="22"/>
          <w:szCs w:val="22"/>
        </w:rPr>
        <w:t>market revenues</w:t>
      </w:r>
      <w:r w:rsidR="00EE5093">
        <w:rPr>
          <w:rFonts w:eastAsia="Calibri" w:cs="Calibri"/>
          <w:noProof/>
          <w:sz w:val="22"/>
          <w:szCs w:val="22"/>
        </w:rPr>
        <w:t xml:space="preserve"> </w:t>
      </w:r>
      <w:r w:rsidR="757554F2" w:rsidRPr="0A9C2659">
        <w:rPr>
          <w:rFonts w:eastAsia="Calibri" w:cs="Calibri"/>
          <w:noProof/>
          <w:sz w:val="22"/>
          <w:szCs w:val="22"/>
        </w:rPr>
        <w:t>(Figure</w:t>
      </w:r>
      <w:r w:rsidR="4F3B481D" w:rsidRPr="0A9C2659">
        <w:rPr>
          <w:noProof/>
          <w:sz w:val="22"/>
          <w:szCs w:val="22"/>
        </w:rPr>
        <w:t>1</w:t>
      </w:r>
      <w:r w:rsidR="69118DCF" w:rsidRPr="0A9C2659">
        <w:rPr>
          <w:rFonts w:eastAsia="Calibri" w:cs="Calibri"/>
          <w:noProof/>
          <w:sz w:val="22"/>
          <w:szCs w:val="22"/>
        </w:rPr>
        <w:t>)</w:t>
      </w:r>
      <w:r w:rsidR="7AB30599" w:rsidRPr="0A9C2659">
        <w:rPr>
          <w:rFonts w:eastAsia="Calibri" w:cs="Calibri"/>
          <w:noProof/>
          <w:sz w:val="22"/>
          <w:szCs w:val="22"/>
        </w:rPr>
        <w:t>.</w:t>
      </w:r>
      <w:r w:rsidR="00926D90" w:rsidRPr="0A9C2659">
        <w:rPr>
          <w:rFonts w:eastAsia="Calibri" w:cs="Calibri"/>
          <w:noProof/>
          <w:sz w:val="22"/>
          <w:szCs w:val="22"/>
        </w:rPr>
        <w:t xml:space="preserve"> </w:t>
      </w:r>
      <w:r w:rsidR="00466248" w:rsidRPr="0A9C2659">
        <w:rPr>
          <w:rFonts w:eastAsia="Calibri" w:cs="Calibri"/>
          <w:noProof/>
          <w:sz w:val="22"/>
          <w:szCs w:val="22"/>
        </w:rPr>
        <w:t xml:space="preserve">EU </w:t>
      </w:r>
      <w:r w:rsidR="00F614EB" w:rsidRPr="0A9C2659">
        <w:rPr>
          <w:rFonts w:eastAsia="Calibri" w:cs="Calibri"/>
          <w:noProof/>
          <w:sz w:val="22"/>
          <w:szCs w:val="22"/>
        </w:rPr>
        <w:t>semiconductor value</w:t>
      </w:r>
      <w:r w:rsidR="00977354">
        <w:rPr>
          <w:rFonts w:eastAsia="Calibri" w:cs="Calibri"/>
          <w:noProof/>
          <w:sz w:val="22"/>
          <w:szCs w:val="22"/>
        </w:rPr>
        <w:t>-</w:t>
      </w:r>
      <w:r w:rsidR="00F614EB" w:rsidRPr="0A9C2659">
        <w:rPr>
          <w:rFonts w:eastAsia="Calibri" w:cs="Calibri"/>
          <w:noProof/>
          <w:sz w:val="22"/>
          <w:szCs w:val="22"/>
        </w:rPr>
        <w:t xml:space="preserve">chain revenues </w:t>
      </w:r>
      <w:r w:rsidR="00977354">
        <w:rPr>
          <w:rFonts w:eastAsia="Calibri" w:cs="Calibri"/>
          <w:noProof/>
          <w:sz w:val="22"/>
          <w:szCs w:val="22"/>
        </w:rPr>
        <w:t xml:space="preserve">have </w:t>
      </w:r>
      <w:r w:rsidR="00EE5093">
        <w:rPr>
          <w:rFonts w:eastAsia="Calibri" w:cs="Calibri"/>
          <w:noProof/>
          <w:sz w:val="22"/>
          <w:szCs w:val="22"/>
        </w:rPr>
        <w:t xml:space="preserve">also </w:t>
      </w:r>
      <w:r w:rsidR="00F614EB" w:rsidRPr="0A9C2659">
        <w:rPr>
          <w:rFonts w:eastAsia="Calibri" w:cs="Calibri"/>
          <w:noProof/>
          <w:sz w:val="22"/>
          <w:szCs w:val="22"/>
        </w:rPr>
        <w:t xml:space="preserve">increased by </w:t>
      </w:r>
      <w:r w:rsidR="006C450B" w:rsidRPr="0A9C2659">
        <w:rPr>
          <w:rFonts w:eastAsia="Calibri" w:cs="Calibri"/>
          <w:noProof/>
          <w:sz w:val="22"/>
          <w:szCs w:val="22"/>
        </w:rPr>
        <w:t>4.5</w:t>
      </w:r>
      <w:r w:rsidR="006C450B" w:rsidRPr="07868930">
        <w:rPr>
          <w:rFonts w:eastAsia="Calibri" w:cs="Calibri"/>
          <w:noProof/>
          <w:sz w:val="22"/>
          <w:szCs w:val="22"/>
        </w:rPr>
        <w:t>%</w:t>
      </w:r>
      <w:r w:rsidR="00931D75" w:rsidRPr="07868930">
        <w:rPr>
          <w:rFonts w:eastAsia="Calibri" w:cs="Calibri"/>
          <w:noProof/>
          <w:sz w:val="22"/>
          <w:szCs w:val="22"/>
        </w:rPr>
        <w:t>,</w:t>
      </w:r>
      <w:r w:rsidR="00931D75" w:rsidRPr="0A9C2659">
        <w:rPr>
          <w:rFonts w:eastAsia="Calibri" w:cs="Calibri"/>
          <w:noProof/>
          <w:sz w:val="22"/>
          <w:szCs w:val="22"/>
        </w:rPr>
        <w:t xml:space="preserve"> from 89</w:t>
      </w:r>
      <w:r w:rsidR="00B36210" w:rsidRPr="0A9C2659">
        <w:rPr>
          <w:rFonts w:eastAsia="Calibri" w:cs="Calibri"/>
          <w:noProof/>
          <w:sz w:val="22"/>
          <w:szCs w:val="22"/>
        </w:rPr>
        <w:t xml:space="preserve"> in 2023 </w:t>
      </w:r>
      <w:r w:rsidR="003D40DC" w:rsidRPr="0A9C2659">
        <w:rPr>
          <w:rFonts w:eastAsia="Calibri" w:cs="Calibri"/>
          <w:noProof/>
          <w:sz w:val="22"/>
          <w:szCs w:val="22"/>
        </w:rPr>
        <w:t xml:space="preserve">to 93 </w:t>
      </w:r>
      <w:r w:rsidR="009D1658" w:rsidRPr="0A9C2659">
        <w:rPr>
          <w:rFonts w:eastAsia="Calibri" w:cs="Calibri"/>
          <w:noProof/>
          <w:sz w:val="22"/>
          <w:szCs w:val="22"/>
        </w:rPr>
        <w:t xml:space="preserve">billion </w:t>
      </w:r>
      <w:r w:rsidR="00915992" w:rsidRPr="0A9C2659">
        <w:rPr>
          <w:rFonts w:eastAsia="Calibri" w:cs="Calibri"/>
          <w:noProof/>
          <w:sz w:val="22"/>
          <w:szCs w:val="22"/>
        </w:rPr>
        <w:t>euro in 2025</w:t>
      </w:r>
      <w:r w:rsidR="003D40DC" w:rsidRPr="0A9C2659">
        <w:rPr>
          <w:rFonts w:eastAsia="Calibri" w:cs="Calibri"/>
          <w:noProof/>
          <w:sz w:val="22"/>
          <w:szCs w:val="22"/>
        </w:rPr>
        <w:t xml:space="preserve">. </w:t>
      </w:r>
    </w:p>
    <w:p w14:paraId="41936033" w14:textId="68BADD74" w:rsidR="004610A7" w:rsidRPr="00417E18" w:rsidRDefault="002C17E3" w:rsidP="00126FF5">
      <w:pPr>
        <w:keepNext/>
        <w:rPr>
          <w:noProof/>
        </w:rPr>
      </w:pPr>
      <w:r w:rsidRPr="00417E18">
        <w:rPr>
          <w:noProof/>
          <w:lang w:eastAsia="en-GB"/>
        </w:rPr>
        <w:drawing>
          <wp:inline distT="0" distB="0" distL="0" distR="0" wp14:anchorId="55C80D1F" wp14:editId="3E5F0FF2">
            <wp:extent cx="5943600" cy="2335530"/>
            <wp:effectExtent l="19050" t="19050" r="19050" b="26670"/>
            <wp:docPr id="1038633883" name="Picture 1" descr="A graph with green and black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33883" name="Picture 1" descr="A graph with green and black bars"/>
                    <pic:cNvPicPr/>
                  </pic:nvPicPr>
                  <pic:blipFill>
                    <a:blip r:embed="rId20"/>
                    <a:stretch>
                      <a:fillRect/>
                    </a:stretch>
                  </pic:blipFill>
                  <pic:spPr>
                    <a:xfrm>
                      <a:off x="0" y="0"/>
                      <a:ext cx="5943600" cy="2335530"/>
                    </a:xfrm>
                    <a:prstGeom prst="rect">
                      <a:avLst/>
                    </a:prstGeom>
                    <a:ln w="6350">
                      <a:solidFill>
                        <a:schemeClr val="bg2">
                          <a:lumMod val="50000"/>
                        </a:schemeClr>
                      </a:solidFill>
                    </a:ln>
                  </pic:spPr>
                </pic:pic>
              </a:graphicData>
            </a:graphic>
          </wp:inline>
        </w:drawing>
      </w:r>
    </w:p>
    <w:p w14:paraId="7A29FCE5" w14:textId="4924559B" w:rsidR="0C9282A3" w:rsidRPr="00417E18" w:rsidRDefault="004610A7" w:rsidP="006022C0">
      <w:pPr>
        <w:pStyle w:val="Caption"/>
        <w:rPr>
          <w:rFonts w:eastAsia="Calibri" w:cs="Calibri"/>
          <w:noProof/>
        </w:rPr>
      </w:pPr>
      <w:bookmarkStart w:id="18" w:name="_Ref226624304"/>
      <w:r w:rsidRPr="00417E18">
        <w:rPr>
          <w:noProof/>
          <w:u w:val="single"/>
        </w:rPr>
        <w:t xml:space="preserve">Figure </w:t>
      </w:r>
      <w:r w:rsidRPr="007B78E9">
        <w:rPr>
          <w:noProof/>
          <w:u w:val="single"/>
        </w:rPr>
        <w:fldChar w:fldCharType="begin"/>
      </w:r>
      <w:r w:rsidRPr="007B78E9">
        <w:rPr>
          <w:noProof/>
          <w:u w:val="single"/>
        </w:rPr>
        <w:instrText xml:space="preserve"> SEQ Figure \* ARABIC </w:instrText>
      </w:r>
      <w:r w:rsidRPr="007B78E9">
        <w:rPr>
          <w:noProof/>
          <w:u w:val="single"/>
        </w:rPr>
        <w:fldChar w:fldCharType="separate"/>
      </w:r>
      <w:r w:rsidR="002F6769" w:rsidRPr="007B78E9">
        <w:rPr>
          <w:noProof/>
          <w:u w:val="single"/>
        </w:rPr>
        <w:t>1</w:t>
      </w:r>
      <w:r w:rsidRPr="007B78E9">
        <w:rPr>
          <w:noProof/>
          <w:u w:val="single"/>
        </w:rPr>
        <w:fldChar w:fldCharType="end"/>
      </w:r>
      <w:bookmarkEnd w:id="18"/>
      <w:r w:rsidR="00AB47E4" w:rsidRPr="007B78E9">
        <w:rPr>
          <w:noProof/>
        </w:rPr>
        <w:t xml:space="preserve">: </w:t>
      </w:r>
      <w:r w:rsidR="00AB47E4" w:rsidRPr="00417E18">
        <w:rPr>
          <w:noProof/>
        </w:rPr>
        <w:t>EU</w:t>
      </w:r>
      <w:r w:rsidR="007D67F8" w:rsidRPr="00417E18">
        <w:rPr>
          <w:noProof/>
        </w:rPr>
        <w:t xml:space="preserve"> </w:t>
      </w:r>
      <w:r w:rsidR="00D44928" w:rsidRPr="00417E18">
        <w:rPr>
          <w:noProof/>
        </w:rPr>
        <w:t xml:space="preserve">semiconductors </w:t>
      </w:r>
      <w:r w:rsidR="007832C8" w:rsidRPr="00417E18">
        <w:rPr>
          <w:noProof/>
        </w:rPr>
        <w:t>value chain revenues</w:t>
      </w:r>
      <w:r w:rsidR="00424EE1" w:rsidRPr="00417E18">
        <w:rPr>
          <w:noProof/>
        </w:rPr>
        <w:t xml:space="preserve"> (on the left</w:t>
      </w:r>
      <w:r w:rsidR="001477B2" w:rsidRPr="00417E18">
        <w:rPr>
          <w:noProof/>
        </w:rPr>
        <w:t xml:space="preserve"> axis </w:t>
      </w:r>
      <w:r w:rsidR="00424EE1" w:rsidRPr="00417E18">
        <w:rPr>
          <w:noProof/>
        </w:rPr>
        <w:t xml:space="preserve">in </w:t>
      </w:r>
      <w:r w:rsidR="007832C8" w:rsidRPr="00417E18">
        <w:rPr>
          <w:noProof/>
        </w:rPr>
        <w:t>b</w:t>
      </w:r>
      <w:r w:rsidR="00F55EB5" w:rsidRPr="00417E18">
        <w:rPr>
          <w:noProof/>
        </w:rPr>
        <w:t xml:space="preserve">illion EUR) </w:t>
      </w:r>
      <w:r w:rsidR="00180120" w:rsidRPr="00417E18">
        <w:rPr>
          <w:noProof/>
        </w:rPr>
        <w:t xml:space="preserve">and </w:t>
      </w:r>
      <w:r w:rsidR="007D67F8" w:rsidRPr="00417E18">
        <w:rPr>
          <w:noProof/>
        </w:rPr>
        <w:t>global marke</w:t>
      </w:r>
      <w:r w:rsidR="006C0E1D" w:rsidRPr="00417E18">
        <w:rPr>
          <w:noProof/>
        </w:rPr>
        <w:t>t</w:t>
      </w:r>
      <w:r w:rsidR="007D67F8" w:rsidRPr="00417E18">
        <w:rPr>
          <w:noProof/>
        </w:rPr>
        <w:t xml:space="preserve"> share (</w:t>
      </w:r>
      <w:r w:rsidR="00424EE1" w:rsidRPr="00417E18">
        <w:rPr>
          <w:noProof/>
        </w:rPr>
        <w:t xml:space="preserve">on the right </w:t>
      </w:r>
      <w:r w:rsidR="001477B2" w:rsidRPr="00417E18">
        <w:rPr>
          <w:noProof/>
        </w:rPr>
        <w:t xml:space="preserve">axis in </w:t>
      </w:r>
      <w:r w:rsidR="007D67F8" w:rsidRPr="00417E18">
        <w:rPr>
          <w:noProof/>
        </w:rPr>
        <w:t>%)</w:t>
      </w:r>
      <w:r w:rsidR="00354DA3" w:rsidRPr="00417E18">
        <w:rPr>
          <w:noProof/>
        </w:rPr>
        <w:t>.</w:t>
      </w:r>
      <w:r w:rsidR="00231E7F" w:rsidRPr="00417E18">
        <w:rPr>
          <w:noProof/>
        </w:rPr>
        <w:t xml:space="preserve"> </w:t>
      </w:r>
      <w:r w:rsidR="00354DA3" w:rsidRPr="00417E18">
        <w:rPr>
          <w:noProof/>
        </w:rPr>
        <w:t xml:space="preserve">The EU </w:t>
      </w:r>
      <w:r w:rsidR="00953CA0" w:rsidRPr="00417E18">
        <w:rPr>
          <w:noProof/>
        </w:rPr>
        <w:t>market share</w:t>
      </w:r>
      <w:r w:rsidR="00F11EC3" w:rsidRPr="00417E18">
        <w:rPr>
          <w:noProof/>
        </w:rPr>
        <w:t>s are shown in the black labels</w:t>
      </w:r>
      <w:r w:rsidR="007D67F8" w:rsidRPr="00417E18">
        <w:rPr>
          <w:noProof/>
        </w:rPr>
        <w:t xml:space="preserve"> </w:t>
      </w:r>
      <w:r w:rsidR="006C0E1D" w:rsidRPr="00417E18">
        <w:rPr>
          <w:noProof/>
        </w:rPr>
        <w:t>(</w:t>
      </w:r>
      <w:r w:rsidR="00231E7F" w:rsidRPr="00417E18">
        <w:rPr>
          <w:noProof/>
        </w:rPr>
        <w:t xml:space="preserve">Data </w:t>
      </w:r>
      <w:r w:rsidR="006C0E1D" w:rsidRPr="00417E18">
        <w:rPr>
          <w:noProof/>
        </w:rPr>
        <w:t>source</w:t>
      </w:r>
      <w:r w:rsidR="00231E7F" w:rsidRPr="00417E18">
        <w:rPr>
          <w:noProof/>
        </w:rPr>
        <w:t>:</w:t>
      </w:r>
      <w:r w:rsidR="006C0E1D" w:rsidRPr="00417E18">
        <w:rPr>
          <w:noProof/>
        </w:rPr>
        <w:t xml:space="preserve"> </w:t>
      </w:r>
      <w:r w:rsidR="77CCA404" w:rsidRPr="78C663A7">
        <w:rPr>
          <w:noProof/>
        </w:rPr>
        <w:t>International Data Corporation)</w:t>
      </w:r>
      <w:r w:rsidRPr="78C663A7">
        <w:rPr>
          <w:rStyle w:val="FootnoteReference"/>
          <w:noProof/>
        </w:rPr>
        <w:footnoteReference w:id="4"/>
      </w:r>
      <w:r w:rsidR="005B1E39">
        <w:rPr>
          <w:noProof/>
        </w:rPr>
        <w:t>.</w:t>
      </w:r>
    </w:p>
    <w:p w14:paraId="0EE06120" w14:textId="4D6E908D" w:rsidR="00185C82" w:rsidRPr="00417E18" w:rsidRDefault="00185C82" w:rsidP="2B8B015F">
      <w:pPr>
        <w:rPr>
          <w:rFonts w:eastAsia="Calibri" w:cs="Calibri"/>
          <w:noProof/>
          <w:sz w:val="22"/>
          <w:szCs w:val="22"/>
        </w:rPr>
      </w:pPr>
      <w:r w:rsidRPr="0A9C2659">
        <w:rPr>
          <w:rFonts w:eastAsia="Calibri" w:cs="Calibri"/>
          <w:b/>
          <w:bCs/>
          <w:noProof/>
          <w:sz w:val="22"/>
          <w:szCs w:val="22"/>
        </w:rPr>
        <w:t xml:space="preserve">In their National Roadmaps, in 2025 Member States committed to investing EUR </w:t>
      </w:r>
      <w:r w:rsidR="38237970" w:rsidRPr="0A9C2659">
        <w:rPr>
          <w:rFonts w:eastAsia="Calibri" w:cs="Calibri"/>
          <w:b/>
          <w:bCs/>
          <w:noProof/>
          <w:sz w:val="22"/>
          <w:szCs w:val="22"/>
        </w:rPr>
        <w:t>50.2</w:t>
      </w:r>
      <w:r w:rsidRPr="0A9C2659">
        <w:rPr>
          <w:rFonts w:eastAsia="Calibri" w:cs="Calibri"/>
          <w:b/>
          <w:bCs/>
          <w:noProof/>
          <w:sz w:val="22"/>
          <w:szCs w:val="22"/>
        </w:rPr>
        <w:t xml:space="preserve"> billion in semiconductors</w:t>
      </w:r>
      <w:r w:rsidRPr="0A9C2659">
        <w:rPr>
          <w:rFonts w:eastAsia="Calibri" w:cs="Calibri"/>
          <w:noProof/>
          <w:sz w:val="22"/>
          <w:szCs w:val="22"/>
        </w:rPr>
        <w:t>, accounting for 1</w:t>
      </w:r>
      <w:r w:rsidR="003E2463" w:rsidRPr="0A9C2659">
        <w:rPr>
          <w:rFonts w:eastAsia="Calibri" w:cs="Calibri"/>
          <w:noProof/>
          <w:sz w:val="22"/>
          <w:szCs w:val="22"/>
        </w:rPr>
        <w:t>7</w:t>
      </w:r>
      <w:r w:rsidRPr="0A9C2659">
        <w:rPr>
          <w:rFonts w:eastAsia="Calibri" w:cs="Calibri"/>
          <w:noProof/>
          <w:sz w:val="22"/>
          <w:szCs w:val="22"/>
        </w:rPr>
        <w:t>% of the roadmaps’ total budget across all targets. Private sources are expected to contribute EUR 8.6 billion to this investment. The 5</w:t>
      </w:r>
      <w:r w:rsidR="5A750C4C" w:rsidRPr="0A9C2659">
        <w:rPr>
          <w:rFonts w:eastAsia="Calibri" w:cs="Calibri"/>
          <w:noProof/>
          <w:sz w:val="22"/>
          <w:szCs w:val="22"/>
        </w:rPr>
        <w:t>3</w:t>
      </w:r>
      <w:r w:rsidRPr="0A9C2659">
        <w:rPr>
          <w:rFonts w:eastAsia="Calibri" w:cs="Calibri"/>
          <w:noProof/>
          <w:sz w:val="22"/>
          <w:szCs w:val="22"/>
        </w:rPr>
        <w:t xml:space="preserve"> measures reported in the roadmaps mainly focus on supporting R&amp;D and </w:t>
      </w:r>
      <w:r w:rsidR="00761561">
        <w:rPr>
          <w:rFonts w:eastAsia="Calibri" w:cs="Calibri"/>
          <w:noProof/>
          <w:sz w:val="22"/>
          <w:szCs w:val="22"/>
        </w:rPr>
        <w:t xml:space="preserve">on </w:t>
      </w:r>
      <w:r w:rsidRPr="0A9C2659">
        <w:rPr>
          <w:rFonts w:eastAsia="Calibri" w:cs="Calibri"/>
          <w:noProof/>
          <w:sz w:val="22"/>
          <w:szCs w:val="22"/>
        </w:rPr>
        <w:t xml:space="preserve">boosting production capacity and industrial deployment of semiconductors. Roughly one-third of the measures are dedicated to each of these areas, </w:t>
      </w:r>
      <w:r w:rsidR="00354B82">
        <w:rPr>
          <w:rFonts w:eastAsia="Calibri" w:cs="Calibri"/>
          <w:noProof/>
          <w:sz w:val="22"/>
          <w:szCs w:val="22"/>
        </w:rPr>
        <w:t>pointing to</w:t>
      </w:r>
      <w:r w:rsidR="00354B82" w:rsidRPr="0A9C2659">
        <w:rPr>
          <w:rFonts w:eastAsia="Calibri" w:cs="Calibri"/>
          <w:noProof/>
          <w:sz w:val="22"/>
          <w:szCs w:val="22"/>
        </w:rPr>
        <w:t xml:space="preserve"> </w:t>
      </w:r>
      <w:r w:rsidRPr="0A9C2659">
        <w:rPr>
          <w:rFonts w:eastAsia="Calibri" w:cs="Calibri"/>
          <w:noProof/>
          <w:sz w:val="22"/>
          <w:szCs w:val="22"/>
        </w:rPr>
        <w:t>a balanced approach to growth and innovation. These areas also remain a priority in the Member States’ roadmap adjustments.</w:t>
      </w:r>
    </w:p>
    <w:p w14:paraId="18DA8181" w14:textId="23796EE1" w:rsidR="3B08F231" w:rsidRPr="00417E18" w:rsidRDefault="3B08F231" w:rsidP="2B8B015F">
      <w:pPr>
        <w:rPr>
          <w:rFonts w:eastAsia="Calibri" w:cs="Calibri"/>
          <w:noProof/>
          <w:sz w:val="22"/>
          <w:szCs w:val="22"/>
        </w:rPr>
      </w:pPr>
      <w:r w:rsidRPr="0A9C2659">
        <w:rPr>
          <w:rFonts w:eastAsia="Calibri" w:cs="Calibri"/>
          <w:noProof/>
          <w:sz w:val="22"/>
          <w:szCs w:val="22"/>
        </w:rPr>
        <w:t>The European Chips Act</w:t>
      </w:r>
      <w:r w:rsidR="00777943">
        <w:rPr>
          <w:rStyle w:val="FootnoteReference"/>
          <w:rFonts w:eastAsia="Calibri" w:cs="Calibri"/>
          <w:noProof/>
          <w:sz w:val="22"/>
          <w:szCs w:val="22"/>
        </w:rPr>
        <w:footnoteReference w:id="5"/>
      </w:r>
      <w:r w:rsidRPr="0A9C2659">
        <w:rPr>
          <w:rFonts w:eastAsia="Calibri" w:cs="Calibri"/>
          <w:noProof/>
          <w:sz w:val="22"/>
          <w:szCs w:val="22"/>
        </w:rPr>
        <w:t xml:space="preserve"> has established a framework to attract investments from semiconductor manufacturers into first-of-a-kind EU facilities. </w:t>
      </w:r>
      <w:r w:rsidR="0CBE6983" w:rsidRPr="0A9C2659">
        <w:rPr>
          <w:rFonts w:eastAsia="Calibri" w:cs="Calibri"/>
          <w:noProof/>
          <w:sz w:val="22"/>
          <w:szCs w:val="22"/>
        </w:rPr>
        <w:t xml:space="preserve">Since the launch of the initiative, already </w:t>
      </w:r>
      <w:r w:rsidR="00604B04">
        <w:rPr>
          <w:rFonts w:eastAsia="Calibri" w:cs="Calibri"/>
          <w:noProof/>
          <w:sz w:val="22"/>
          <w:szCs w:val="22"/>
        </w:rPr>
        <w:t>13</w:t>
      </w:r>
      <w:r w:rsidR="00604B04" w:rsidRPr="0A9C2659">
        <w:rPr>
          <w:rFonts w:eastAsia="Calibri" w:cs="Calibri"/>
          <w:noProof/>
          <w:sz w:val="22"/>
          <w:szCs w:val="22"/>
        </w:rPr>
        <w:t xml:space="preserve"> </w:t>
      </w:r>
      <w:r w:rsidRPr="0A9C2659">
        <w:rPr>
          <w:rFonts w:eastAsia="Calibri" w:cs="Calibri"/>
          <w:noProof/>
          <w:sz w:val="22"/>
          <w:szCs w:val="22"/>
        </w:rPr>
        <w:t xml:space="preserve">projects </w:t>
      </w:r>
      <w:r w:rsidR="633B1161" w:rsidRPr="0A9C2659">
        <w:rPr>
          <w:rFonts w:eastAsia="Calibri" w:cs="Calibri"/>
          <w:noProof/>
          <w:sz w:val="22"/>
          <w:szCs w:val="22"/>
        </w:rPr>
        <w:t xml:space="preserve">have been </w:t>
      </w:r>
      <w:r w:rsidRPr="0A9C2659">
        <w:rPr>
          <w:rFonts w:eastAsia="Calibri" w:cs="Calibri"/>
          <w:noProof/>
          <w:sz w:val="22"/>
          <w:szCs w:val="22"/>
        </w:rPr>
        <w:t>announced</w:t>
      </w:r>
      <w:r w:rsidR="116F02BF" w:rsidRPr="0A9C2659">
        <w:rPr>
          <w:rFonts w:eastAsia="Calibri" w:cs="Calibri"/>
          <w:noProof/>
          <w:sz w:val="22"/>
          <w:szCs w:val="22"/>
        </w:rPr>
        <w:t xml:space="preserve"> </w:t>
      </w:r>
      <w:r w:rsidR="008D3954">
        <w:rPr>
          <w:rFonts w:eastAsia="Calibri" w:cs="Calibri"/>
          <w:noProof/>
          <w:sz w:val="22"/>
          <w:szCs w:val="22"/>
        </w:rPr>
        <w:t xml:space="preserve">representing </w:t>
      </w:r>
      <w:r w:rsidR="008D3954" w:rsidDel="00604B04">
        <w:rPr>
          <w:rFonts w:eastAsia="Calibri" w:cs="Calibri"/>
          <w:noProof/>
          <w:sz w:val="22"/>
          <w:szCs w:val="22"/>
        </w:rPr>
        <w:t>more than</w:t>
      </w:r>
      <w:r w:rsidR="008D3954" w:rsidRPr="0A9C2659" w:rsidDel="00604B04">
        <w:rPr>
          <w:rFonts w:eastAsia="Calibri" w:cs="Calibri"/>
          <w:noProof/>
          <w:sz w:val="22"/>
          <w:szCs w:val="22"/>
        </w:rPr>
        <w:t xml:space="preserve"> </w:t>
      </w:r>
      <w:r w:rsidRPr="0A9C2659">
        <w:rPr>
          <w:rFonts w:eastAsia="Calibri" w:cs="Calibri"/>
          <w:noProof/>
          <w:sz w:val="22"/>
          <w:szCs w:val="22"/>
        </w:rPr>
        <w:t>EUR 3</w:t>
      </w:r>
      <w:r w:rsidR="47B770AA" w:rsidRPr="0A9C2659">
        <w:rPr>
          <w:rFonts w:eastAsia="Calibri" w:cs="Calibri"/>
          <w:noProof/>
          <w:sz w:val="22"/>
          <w:szCs w:val="22"/>
        </w:rPr>
        <w:t>2</w:t>
      </w:r>
      <w:r w:rsidRPr="0A9C2659">
        <w:rPr>
          <w:rFonts w:eastAsia="Calibri" w:cs="Calibri"/>
          <w:noProof/>
          <w:sz w:val="22"/>
          <w:szCs w:val="22"/>
        </w:rPr>
        <w:t xml:space="preserve"> billion in investments</w:t>
      </w:r>
      <w:r w:rsidR="1799C906" w:rsidRPr="0A9C2659">
        <w:rPr>
          <w:rFonts w:eastAsia="Calibri" w:cs="Calibri"/>
          <w:noProof/>
          <w:sz w:val="22"/>
          <w:szCs w:val="22"/>
        </w:rPr>
        <w:t>, with</w:t>
      </w:r>
      <w:r w:rsidRPr="0A9C2659">
        <w:rPr>
          <w:rFonts w:eastAsia="Calibri" w:cs="Calibri"/>
          <w:noProof/>
          <w:sz w:val="22"/>
          <w:szCs w:val="22"/>
        </w:rPr>
        <w:t xml:space="preserve"> other promising projects </w:t>
      </w:r>
      <w:r w:rsidR="74EF64E8" w:rsidRPr="07868930">
        <w:rPr>
          <w:rFonts w:eastAsia="Calibri" w:cs="Calibri"/>
          <w:noProof/>
          <w:sz w:val="22"/>
          <w:szCs w:val="22"/>
        </w:rPr>
        <w:t>upcoming</w:t>
      </w:r>
      <w:r w:rsidRPr="07868930">
        <w:rPr>
          <w:rFonts w:eastAsia="Calibri" w:cs="Calibri"/>
          <w:noProof/>
          <w:sz w:val="22"/>
          <w:szCs w:val="22"/>
        </w:rPr>
        <w:t>.</w:t>
      </w:r>
      <w:r w:rsidRPr="0A9C2659">
        <w:rPr>
          <w:rFonts w:eastAsia="Calibri" w:cs="Calibri"/>
          <w:noProof/>
          <w:sz w:val="22"/>
          <w:szCs w:val="22"/>
        </w:rPr>
        <w:t xml:space="preserve"> The I</w:t>
      </w:r>
      <w:r w:rsidR="00D1530D">
        <w:rPr>
          <w:rFonts w:eastAsia="Calibri" w:cs="Calibri"/>
          <w:noProof/>
          <w:sz w:val="22"/>
          <w:szCs w:val="22"/>
        </w:rPr>
        <w:t xml:space="preserve">mportant </w:t>
      </w:r>
      <w:r w:rsidRPr="0A9C2659">
        <w:rPr>
          <w:rFonts w:eastAsia="Calibri" w:cs="Calibri"/>
          <w:noProof/>
          <w:sz w:val="22"/>
          <w:szCs w:val="22"/>
        </w:rPr>
        <w:t>P</w:t>
      </w:r>
      <w:r w:rsidR="00D1530D">
        <w:rPr>
          <w:rFonts w:eastAsia="Calibri" w:cs="Calibri"/>
          <w:noProof/>
          <w:sz w:val="22"/>
          <w:szCs w:val="22"/>
        </w:rPr>
        <w:t xml:space="preserve">roject of </w:t>
      </w:r>
      <w:r w:rsidRPr="78C663A7">
        <w:rPr>
          <w:rFonts w:eastAsia="Calibri" w:cs="Calibri"/>
          <w:noProof/>
          <w:sz w:val="22"/>
          <w:szCs w:val="22"/>
        </w:rPr>
        <w:t>C</w:t>
      </w:r>
      <w:r w:rsidR="00D1530D" w:rsidRPr="78C663A7">
        <w:rPr>
          <w:rFonts w:eastAsia="Calibri" w:cs="Calibri"/>
          <w:noProof/>
          <w:sz w:val="22"/>
          <w:szCs w:val="22"/>
        </w:rPr>
        <w:t>om</w:t>
      </w:r>
      <w:r w:rsidR="006C279B">
        <w:rPr>
          <w:rFonts w:eastAsia="Calibri" w:cs="Calibri"/>
          <w:noProof/>
          <w:sz w:val="22"/>
          <w:szCs w:val="22"/>
        </w:rPr>
        <w:t>m</w:t>
      </w:r>
      <w:r w:rsidR="00D1530D" w:rsidRPr="78C663A7">
        <w:rPr>
          <w:rFonts w:eastAsia="Calibri" w:cs="Calibri"/>
          <w:noProof/>
          <w:sz w:val="22"/>
          <w:szCs w:val="22"/>
        </w:rPr>
        <w:t>on</w:t>
      </w:r>
      <w:r w:rsidR="00D1530D">
        <w:rPr>
          <w:rFonts w:eastAsia="Calibri" w:cs="Calibri"/>
          <w:noProof/>
          <w:sz w:val="22"/>
          <w:szCs w:val="22"/>
        </w:rPr>
        <w:t xml:space="preserve"> </w:t>
      </w:r>
      <w:r w:rsidRPr="0A9C2659">
        <w:rPr>
          <w:rFonts w:eastAsia="Calibri" w:cs="Calibri"/>
          <w:noProof/>
          <w:sz w:val="22"/>
          <w:szCs w:val="22"/>
        </w:rPr>
        <w:t>E</w:t>
      </w:r>
      <w:r w:rsidR="00D1530D">
        <w:rPr>
          <w:rFonts w:eastAsia="Calibri" w:cs="Calibri"/>
          <w:noProof/>
          <w:sz w:val="22"/>
          <w:szCs w:val="22"/>
        </w:rPr>
        <w:t xml:space="preserve">uropean </w:t>
      </w:r>
      <w:r w:rsidRPr="0A9C2659">
        <w:rPr>
          <w:rFonts w:eastAsia="Calibri" w:cs="Calibri"/>
          <w:noProof/>
          <w:sz w:val="22"/>
          <w:szCs w:val="22"/>
        </w:rPr>
        <w:t>I</w:t>
      </w:r>
      <w:r w:rsidR="00D1530D">
        <w:rPr>
          <w:rFonts w:eastAsia="Calibri" w:cs="Calibri"/>
          <w:noProof/>
          <w:sz w:val="22"/>
          <w:szCs w:val="22"/>
        </w:rPr>
        <w:t xml:space="preserve">nterest </w:t>
      </w:r>
      <w:r w:rsidRPr="0A9C2659">
        <w:rPr>
          <w:rFonts w:eastAsia="Calibri" w:cs="Calibri"/>
          <w:noProof/>
          <w:sz w:val="22"/>
          <w:szCs w:val="22"/>
        </w:rPr>
        <w:t xml:space="preserve">on Microelectronics and Communication Technologies (IPCEI ME-CT) </w:t>
      </w:r>
      <w:r w:rsidR="12797460" w:rsidRPr="0A9C2659">
        <w:rPr>
          <w:rFonts w:eastAsia="Calibri" w:cs="Calibri"/>
          <w:noProof/>
          <w:sz w:val="22"/>
          <w:szCs w:val="22"/>
        </w:rPr>
        <w:t xml:space="preserve">is now fully operational. It </w:t>
      </w:r>
      <w:r w:rsidRPr="0A9C2659">
        <w:rPr>
          <w:rFonts w:eastAsia="Calibri" w:cs="Calibri"/>
          <w:noProof/>
          <w:sz w:val="22"/>
          <w:szCs w:val="22"/>
        </w:rPr>
        <w:t xml:space="preserve">brings together 14 Member States and </w:t>
      </w:r>
      <w:r w:rsidR="4D1295A9" w:rsidRPr="0A9C2659">
        <w:rPr>
          <w:rFonts w:eastAsia="Calibri" w:cs="Calibri"/>
          <w:noProof/>
          <w:sz w:val="22"/>
          <w:szCs w:val="22"/>
        </w:rPr>
        <w:t>47</w:t>
      </w:r>
      <w:r w:rsidRPr="0A9C2659">
        <w:rPr>
          <w:rFonts w:eastAsia="Calibri" w:cs="Calibri"/>
          <w:noProof/>
          <w:sz w:val="22"/>
          <w:szCs w:val="22"/>
        </w:rPr>
        <w:t xml:space="preserve"> companies, channelling around EUR 20 billion from both private and public sources into </w:t>
      </w:r>
      <w:r w:rsidR="47484090" w:rsidRPr="0A9C2659">
        <w:rPr>
          <w:rFonts w:eastAsia="Calibri" w:cs="Calibri"/>
          <w:noProof/>
          <w:sz w:val="22"/>
          <w:szCs w:val="22"/>
        </w:rPr>
        <w:t>57</w:t>
      </w:r>
      <w:r w:rsidRPr="0A9C2659">
        <w:rPr>
          <w:rFonts w:eastAsia="Calibri" w:cs="Calibri"/>
          <w:noProof/>
          <w:sz w:val="22"/>
          <w:szCs w:val="22"/>
        </w:rPr>
        <w:t xml:space="preserve"> collaborative projects across </w:t>
      </w:r>
      <w:r w:rsidR="00826B5A">
        <w:rPr>
          <w:rFonts w:eastAsia="Calibri" w:cs="Calibri"/>
          <w:noProof/>
          <w:sz w:val="22"/>
          <w:szCs w:val="22"/>
        </w:rPr>
        <w:t>several</w:t>
      </w:r>
      <w:r w:rsidR="00826B5A" w:rsidRPr="0A9C2659">
        <w:rPr>
          <w:rFonts w:eastAsia="Calibri" w:cs="Calibri"/>
          <w:noProof/>
          <w:sz w:val="22"/>
          <w:szCs w:val="22"/>
        </w:rPr>
        <w:t xml:space="preserve"> </w:t>
      </w:r>
      <w:r w:rsidRPr="0A9C2659">
        <w:rPr>
          <w:rFonts w:eastAsia="Calibri" w:cs="Calibri"/>
          <w:noProof/>
          <w:sz w:val="22"/>
          <w:szCs w:val="22"/>
        </w:rPr>
        <w:t>countries</w:t>
      </w:r>
      <w:r w:rsidR="49B47F8B" w:rsidRPr="0A9C2659">
        <w:rPr>
          <w:rFonts w:eastAsia="Calibri" w:cs="Calibri"/>
          <w:noProof/>
          <w:sz w:val="22"/>
          <w:szCs w:val="22"/>
        </w:rPr>
        <w:t xml:space="preserve">, out of the 68 </w:t>
      </w:r>
      <w:r w:rsidR="38884A1D" w:rsidRPr="0A9C2659">
        <w:rPr>
          <w:rFonts w:eastAsia="Calibri" w:cs="Calibri"/>
          <w:noProof/>
          <w:sz w:val="22"/>
          <w:szCs w:val="22"/>
        </w:rPr>
        <w:t>projects</w:t>
      </w:r>
      <w:r w:rsidR="00C92F7C">
        <w:rPr>
          <w:rFonts w:eastAsia="Calibri" w:cs="Calibri"/>
          <w:noProof/>
          <w:sz w:val="22"/>
          <w:szCs w:val="22"/>
        </w:rPr>
        <w:t xml:space="preserve"> initially envisaged</w:t>
      </w:r>
      <w:r w:rsidR="38884A1D" w:rsidRPr="0A9C2659">
        <w:rPr>
          <w:rFonts w:eastAsia="Calibri" w:cs="Calibri"/>
          <w:noProof/>
          <w:sz w:val="22"/>
          <w:szCs w:val="22"/>
        </w:rPr>
        <w:t xml:space="preserve"> </w:t>
      </w:r>
      <w:r w:rsidR="49B47F8B" w:rsidRPr="0A9C2659">
        <w:rPr>
          <w:rFonts w:eastAsia="Calibri" w:cs="Calibri"/>
          <w:noProof/>
          <w:sz w:val="22"/>
          <w:szCs w:val="22"/>
        </w:rPr>
        <w:t>(due to some withdrawals or early conclusion)</w:t>
      </w:r>
      <w:r w:rsidRPr="0A9C2659">
        <w:rPr>
          <w:rFonts w:eastAsia="Calibri" w:cs="Calibri"/>
          <w:noProof/>
          <w:sz w:val="22"/>
          <w:szCs w:val="22"/>
        </w:rPr>
        <w:t xml:space="preserve">. </w:t>
      </w:r>
      <w:r w:rsidR="00990900" w:rsidRPr="07868930">
        <w:rPr>
          <w:rFonts w:eastAsia="Calibri" w:cs="Calibri"/>
          <w:noProof/>
          <w:sz w:val="22"/>
          <w:szCs w:val="22"/>
        </w:rPr>
        <w:t>In</w:t>
      </w:r>
      <w:r w:rsidR="00990900">
        <w:rPr>
          <w:rFonts w:eastAsia="Calibri" w:cs="Calibri"/>
          <w:noProof/>
          <w:sz w:val="22"/>
          <w:szCs w:val="22"/>
        </w:rPr>
        <w:t xml:space="preserve"> parallel</w:t>
      </w:r>
      <w:r w:rsidRPr="0A9C2659">
        <w:rPr>
          <w:rFonts w:eastAsia="Calibri" w:cs="Calibri"/>
          <w:noProof/>
          <w:sz w:val="22"/>
          <w:szCs w:val="22"/>
        </w:rPr>
        <w:t xml:space="preserve">, </w:t>
      </w:r>
      <w:r w:rsidR="3C497365" w:rsidRPr="0A9C2659">
        <w:rPr>
          <w:rFonts w:eastAsia="Calibri" w:cs="Calibri"/>
          <w:noProof/>
          <w:sz w:val="22"/>
          <w:szCs w:val="22"/>
        </w:rPr>
        <w:t>the</w:t>
      </w:r>
      <w:r w:rsidRPr="0A9C2659">
        <w:rPr>
          <w:rFonts w:eastAsia="Calibri" w:cs="Calibri"/>
          <w:noProof/>
          <w:sz w:val="22"/>
          <w:szCs w:val="22"/>
        </w:rPr>
        <w:t xml:space="preserve"> </w:t>
      </w:r>
      <w:r w:rsidRPr="07868930">
        <w:rPr>
          <w:rFonts w:eastAsia="Calibri" w:cs="Calibri"/>
          <w:noProof/>
          <w:sz w:val="22"/>
          <w:szCs w:val="22"/>
        </w:rPr>
        <w:t>propos</w:t>
      </w:r>
      <w:r w:rsidR="009358B1" w:rsidRPr="07868930">
        <w:rPr>
          <w:rFonts w:eastAsia="Calibri" w:cs="Calibri"/>
          <w:noProof/>
          <w:sz w:val="22"/>
          <w:szCs w:val="22"/>
        </w:rPr>
        <w:t>ed</w:t>
      </w:r>
      <w:r w:rsidR="4C20BC2C" w:rsidRPr="0A9C2659">
        <w:rPr>
          <w:rFonts w:eastAsia="Calibri" w:cs="Calibri"/>
          <w:noProof/>
          <w:sz w:val="22"/>
          <w:szCs w:val="22"/>
        </w:rPr>
        <w:t xml:space="preserve"> </w:t>
      </w:r>
      <w:r w:rsidRPr="0A9C2659">
        <w:rPr>
          <w:rFonts w:eastAsia="Calibri" w:cs="Calibri"/>
          <w:noProof/>
          <w:sz w:val="22"/>
          <w:szCs w:val="22"/>
        </w:rPr>
        <w:t xml:space="preserve">new IPCEI on </w:t>
      </w:r>
      <w:r w:rsidR="270E8DA3" w:rsidRPr="0A9C2659">
        <w:rPr>
          <w:rFonts w:eastAsia="Calibri" w:cs="Calibri"/>
          <w:noProof/>
          <w:sz w:val="22"/>
          <w:szCs w:val="22"/>
        </w:rPr>
        <w:t>A</w:t>
      </w:r>
      <w:r w:rsidRPr="0A9C2659">
        <w:rPr>
          <w:rFonts w:eastAsia="Calibri" w:cs="Calibri"/>
          <w:noProof/>
          <w:sz w:val="22"/>
          <w:szCs w:val="22"/>
        </w:rPr>
        <w:t xml:space="preserve">dvanced </w:t>
      </w:r>
      <w:r w:rsidR="346C3323" w:rsidRPr="0A9C2659">
        <w:rPr>
          <w:rFonts w:eastAsia="Calibri" w:cs="Calibri"/>
          <w:noProof/>
          <w:sz w:val="22"/>
          <w:szCs w:val="22"/>
        </w:rPr>
        <w:t>S</w:t>
      </w:r>
      <w:r w:rsidRPr="0A9C2659">
        <w:rPr>
          <w:rFonts w:eastAsia="Calibri" w:cs="Calibri"/>
          <w:noProof/>
          <w:sz w:val="22"/>
          <w:szCs w:val="22"/>
        </w:rPr>
        <w:t xml:space="preserve">emiconductor </w:t>
      </w:r>
      <w:r w:rsidR="67F10F47" w:rsidRPr="0A9C2659">
        <w:rPr>
          <w:rFonts w:eastAsia="Calibri" w:cs="Calibri"/>
          <w:noProof/>
          <w:sz w:val="22"/>
          <w:szCs w:val="22"/>
        </w:rPr>
        <w:t>T</w:t>
      </w:r>
      <w:r w:rsidRPr="0A9C2659">
        <w:rPr>
          <w:rFonts w:eastAsia="Calibri" w:cs="Calibri"/>
          <w:noProof/>
          <w:sz w:val="22"/>
          <w:szCs w:val="22"/>
        </w:rPr>
        <w:t xml:space="preserve">echnologies </w:t>
      </w:r>
      <w:r w:rsidR="4D492357" w:rsidRPr="0A9C2659">
        <w:rPr>
          <w:rFonts w:eastAsia="Calibri" w:cs="Calibri"/>
          <w:noProof/>
          <w:sz w:val="22"/>
          <w:szCs w:val="22"/>
        </w:rPr>
        <w:t>(IPCEI AST)</w:t>
      </w:r>
      <w:r w:rsidR="00C81868">
        <w:rPr>
          <w:rFonts w:eastAsia="Calibri" w:cs="Calibri"/>
          <w:noProof/>
          <w:sz w:val="22"/>
          <w:szCs w:val="22"/>
        </w:rPr>
        <w:t xml:space="preserve"> </w:t>
      </w:r>
      <w:r w:rsidR="009358B1">
        <w:rPr>
          <w:rFonts w:eastAsia="Calibri" w:cs="Calibri"/>
          <w:noProof/>
          <w:sz w:val="22"/>
          <w:szCs w:val="22"/>
        </w:rPr>
        <w:t xml:space="preserve">is expected </w:t>
      </w:r>
      <w:r w:rsidR="009358B1" w:rsidRPr="07868930">
        <w:rPr>
          <w:rFonts w:eastAsia="Calibri" w:cs="Calibri"/>
          <w:noProof/>
          <w:sz w:val="22"/>
          <w:szCs w:val="22"/>
        </w:rPr>
        <w:t>to</w:t>
      </w:r>
      <w:r w:rsidR="0812252D" w:rsidRPr="0A9C2659">
        <w:rPr>
          <w:rFonts w:eastAsia="Calibri" w:cs="Calibri"/>
          <w:noProof/>
          <w:sz w:val="22"/>
          <w:szCs w:val="22"/>
        </w:rPr>
        <w:t xml:space="preserve"> enter the notification</w:t>
      </w:r>
      <w:r w:rsidRPr="0A9C2659">
        <w:rPr>
          <w:rFonts w:eastAsia="Calibri" w:cs="Calibri"/>
          <w:noProof/>
          <w:sz w:val="22"/>
          <w:szCs w:val="22"/>
        </w:rPr>
        <w:t xml:space="preserve"> phase</w:t>
      </w:r>
      <w:r w:rsidR="009358B1">
        <w:rPr>
          <w:rFonts w:eastAsia="Calibri" w:cs="Calibri"/>
          <w:noProof/>
          <w:sz w:val="22"/>
          <w:szCs w:val="22"/>
        </w:rPr>
        <w:t xml:space="preserve"> s</w:t>
      </w:r>
      <w:r w:rsidR="009B790C">
        <w:rPr>
          <w:rFonts w:eastAsia="Calibri" w:cs="Calibri"/>
          <w:noProof/>
          <w:sz w:val="22"/>
          <w:szCs w:val="22"/>
        </w:rPr>
        <w:t>hortly</w:t>
      </w:r>
      <w:r w:rsidRPr="0A9C2659">
        <w:rPr>
          <w:rFonts w:eastAsia="Calibri" w:cs="Calibri"/>
          <w:noProof/>
          <w:sz w:val="22"/>
          <w:szCs w:val="22"/>
        </w:rPr>
        <w:t xml:space="preserve">. </w:t>
      </w:r>
    </w:p>
    <w:p w14:paraId="7D8F918C" w14:textId="0551BF18" w:rsidR="3B08F231" w:rsidRPr="00417E18" w:rsidRDefault="00AA67EF" w:rsidP="2B8B015F">
      <w:pPr>
        <w:rPr>
          <w:rFonts w:eastAsia="Calibri" w:cs="Calibri"/>
          <w:noProof/>
          <w:sz w:val="22"/>
          <w:szCs w:val="22"/>
        </w:rPr>
      </w:pPr>
      <w:r w:rsidRPr="07868930">
        <w:rPr>
          <w:rFonts w:eastAsia="Calibri" w:cs="Calibri"/>
          <w:noProof/>
          <w:sz w:val="22"/>
          <w:szCs w:val="22"/>
        </w:rPr>
        <w:t>T</w:t>
      </w:r>
      <w:r w:rsidR="3B08F231" w:rsidRPr="07868930">
        <w:rPr>
          <w:rFonts w:eastAsia="Calibri" w:cs="Calibri"/>
          <w:noProof/>
          <w:sz w:val="22"/>
          <w:szCs w:val="22"/>
        </w:rPr>
        <w:t>he</w:t>
      </w:r>
      <w:r w:rsidR="3B08F231" w:rsidRPr="00417E18">
        <w:rPr>
          <w:rFonts w:eastAsia="Calibri" w:cs="Calibri"/>
          <w:noProof/>
          <w:sz w:val="22"/>
          <w:szCs w:val="22"/>
        </w:rPr>
        <w:t xml:space="preserve"> Chips Act</w:t>
      </w:r>
      <w:r w:rsidR="2462E8DD" w:rsidRPr="00417E18">
        <w:rPr>
          <w:rFonts w:eastAsia="Calibri" w:cs="Calibri"/>
          <w:noProof/>
          <w:sz w:val="22"/>
          <w:szCs w:val="22"/>
        </w:rPr>
        <w:t>,</w:t>
      </w:r>
      <w:r w:rsidR="3B08F231" w:rsidRPr="00417E18">
        <w:rPr>
          <w:rFonts w:eastAsia="Calibri" w:cs="Calibri"/>
          <w:noProof/>
          <w:sz w:val="22"/>
          <w:szCs w:val="22"/>
        </w:rPr>
        <w:t xml:space="preserve"> </w:t>
      </w:r>
      <w:r w:rsidR="03C97223" w:rsidRPr="00417E18">
        <w:rPr>
          <w:rFonts w:eastAsia="Calibri" w:cs="Calibri"/>
          <w:noProof/>
          <w:sz w:val="22"/>
          <w:szCs w:val="22"/>
        </w:rPr>
        <w:t xml:space="preserve">through the Chips for Europe Initiative, </w:t>
      </w:r>
      <w:r w:rsidRPr="07868930">
        <w:rPr>
          <w:rFonts w:eastAsia="Calibri" w:cs="Calibri"/>
          <w:noProof/>
          <w:sz w:val="22"/>
          <w:szCs w:val="22"/>
        </w:rPr>
        <w:t>has</w:t>
      </w:r>
      <w:r>
        <w:rPr>
          <w:rFonts w:eastAsia="Calibri" w:cs="Calibri"/>
          <w:noProof/>
          <w:sz w:val="22"/>
          <w:szCs w:val="22"/>
        </w:rPr>
        <w:t xml:space="preserve"> also launched a set of</w:t>
      </w:r>
      <w:r w:rsidR="1F1FA3C9" w:rsidRPr="00417E18">
        <w:rPr>
          <w:rFonts w:eastAsia="Calibri" w:cs="Calibri"/>
          <w:noProof/>
          <w:sz w:val="22"/>
          <w:szCs w:val="22"/>
        </w:rPr>
        <w:t xml:space="preserve"> initiatives </w:t>
      </w:r>
      <w:r w:rsidR="00B7296B">
        <w:rPr>
          <w:rFonts w:eastAsia="Calibri" w:cs="Calibri"/>
          <w:noProof/>
          <w:sz w:val="22"/>
          <w:szCs w:val="22"/>
        </w:rPr>
        <w:t xml:space="preserve">aimed at </w:t>
      </w:r>
      <w:r w:rsidR="03C97223" w:rsidRPr="00417E18">
        <w:rPr>
          <w:rFonts w:eastAsia="Calibri" w:cs="Calibri"/>
          <w:noProof/>
          <w:sz w:val="22"/>
          <w:szCs w:val="22"/>
        </w:rPr>
        <w:t xml:space="preserve">building technological capacity and </w:t>
      </w:r>
      <w:r w:rsidR="03C97223" w:rsidRPr="07868930">
        <w:rPr>
          <w:rFonts w:eastAsia="Calibri" w:cs="Calibri"/>
          <w:noProof/>
          <w:sz w:val="22"/>
          <w:szCs w:val="22"/>
        </w:rPr>
        <w:t>accelerat</w:t>
      </w:r>
      <w:r w:rsidR="00B7296B" w:rsidRPr="07868930">
        <w:rPr>
          <w:rFonts w:eastAsia="Calibri" w:cs="Calibri"/>
          <w:noProof/>
          <w:sz w:val="22"/>
          <w:szCs w:val="22"/>
        </w:rPr>
        <w:t>ing</w:t>
      </w:r>
      <w:r w:rsidR="03C97223" w:rsidRPr="00417E18">
        <w:rPr>
          <w:rFonts w:eastAsia="Calibri" w:cs="Calibri"/>
          <w:noProof/>
          <w:sz w:val="22"/>
          <w:szCs w:val="22"/>
        </w:rPr>
        <w:t xml:space="preserve"> the transfer of innovation from research to industrial deployment. State-of-the-art pilot lines</w:t>
      </w:r>
      <w:r w:rsidR="2EB5FBCD" w:rsidRPr="00417E18">
        <w:rPr>
          <w:rFonts w:eastAsia="Calibri" w:cs="Calibri"/>
          <w:noProof/>
          <w:sz w:val="22"/>
          <w:szCs w:val="22"/>
        </w:rPr>
        <w:t xml:space="preserve">, supported </w:t>
      </w:r>
      <w:r w:rsidR="00C52BBE">
        <w:rPr>
          <w:rFonts w:eastAsia="Calibri" w:cs="Calibri"/>
          <w:noProof/>
          <w:sz w:val="22"/>
          <w:szCs w:val="22"/>
        </w:rPr>
        <w:t>by</w:t>
      </w:r>
      <w:r w:rsidR="00C52BBE" w:rsidRPr="00417E18">
        <w:rPr>
          <w:rFonts w:eastAsia="Calibri" w:cs="Calibri"/>
          <w:noProof/>
          <w:sz w:val="22"/>
          <w:szCs w:val="22"/>
        </w:rPr>
        <w:t xml:space="preserve"> </w:t>
      </w:r>
      <w:r w:rsidR="2EB5FBCD" w:rsidRPr="00417E18">
        <w:rPr>
          <w:rFonts w:eastAsia="Calibri" w:cs="Calibri"/>
          <w:noProof/>
          <w:sz w:val="22"/>
          <w:szCs w:val="22"/>
        </w:rPr>
        <w:t xml:space="preserve">a total of EUR 3.7 billion funding, </w:t>
      </w:r>
      <w:r w:rsidR="03C97223" w:rsidRPr="00417E18">
        <w:rPr>
          <w:rFonts w:eastAsia="Calibri" w:cs="Calibri"/>
          <w:noProof/>
          <w:sz w:val="22"/>
          <w:szCs w:val="22"/>
        </w:rPr>
        <w:t>offer shared, industrial-scale environments where new technologies can be tested, validated and prepared for production</w:t>
      </w:r>
      <w:r w:rsidR="17A53C38" w:rsidRPr="00417E18">
        <w:rPr>
          <w:rFonts w:eastAsia="Calibri" w:cs="Calibri"/>
          <w:noProof/>
          <w:sz w:val="22"/>
          <w:szCs w:val="22"/>
        </w:rPr>
        <w:t xml:space="preserve"> in key areas such as beyond 2nm leading-edge system-on-chip, fully depleted silicon-on-insulator applications, advanced packaging, wide</w:t>
      </w:r>
      <w:r w:rsidR="002A51A2">
        <w:rPr>
          <w:rFonts w:eastAsia="Calibri" w:cs="Calibri"/>
          <w:noProof/>
          <w:sz w:val="22"/>
          <w:szCs w:val="22"/>
        </w:rPr>
        <w:t>-</w:t>
      </w:r>
      <w:r w:rsidR="17A53C38" w:rsidRPr="07868930">
        <w:rPr>
          <w:rFonts w:eastAsia="Calibri" w:cs="Calibri"/>
          <w:noProof/>
          <w:sz w:val="22"/>
          <w:szCs w:val="22"/>
        </w:rPr>
        <w:t>bandgap</w:t>
      </w:r>
      <w:r w:rsidR="17A53C38" w:rsidRPr="00417E18">
        <w:rPr>
          <w:rFonts w:eastAsia="Calibri" w:cs="Calibri"/>
          <w:noProof/>
          <w:sz w:val="22"/>
          <w:szCs w:val="22"/>
        </w:rPr>
        <w:t xml:space="preserve"> materials, and photonic integrated circuits</w:t>
      </w:r>
      <w:r w:rsidR="03C97223" w:rsidRPr="00417E18">
        <w:rPr>
          <w:rFonts w:eastAsia="Calibri" w:cs="Calibri"/>
          <w:noProof/>
          <w:sz w:val="22"/>
          <w:szCs w:val="22"/>
        </w:rPr>
        <w:t xml:space="preserve">. The design platform focuses on reinforcing </w:t>
      </w:r>
      <w:r w:rsidR="00AE3697" w:rsidRPr="00417E18">
        <w:rPr>
          <w:rFonts w:eastAsia="Calibri" w:cs="Calibri"/>
          <w:noProof/>
          <w:sz w:val="22"/>
          <w:szCs w:val="22"/>
        </w:rPr>
        <w:t>the EU’s</w:t>
      </w:r>
      <w:r w:rsidR="03C97223" w:rsidRPr="00417E18">
        <w:rPr>
          <w:rFonts w:eastAsia="Calibri" w:cs="Calibri"/>
          <w:noProof/>
          <w:sz w:val="22"/>
          <w:szCs w:val="22"/>
        </w:rPr>
        <w:t xml:space="preserve"> capabilities in chip design, enabling companies (particularly </w:t>
      </w:r>
      <w:r w:rsidR="03C97223" w:rsidRPr="00FA282D">
        <w:rPr>
          <w:rFonts w:eastAsia="Calibri" w:cs="Calibri"/>
          <w:noProof/>
          <w:sz w:val="22"/>
          <w:szCs w:val="22"/>
        </w:rPr>
        <w:t xml:space="preserve">SMEs and start-ups) to develop more complex and system-level products. Competence centres </w:t>
      </w:r>
      <w:r w:rsidR="004C2699" w:rsidRPr="00FA282D">
        <w:rPr>
          <w:rFonts w:eastAsia="Calibri" w:cs="Calibri"/>
          <w:noProof/>
          <w:sz w:val="22"/>
          <w:szCs w:val="22"/>
        </w:rPr>
        <w:t xml:space="preserve">serve </w:t>
      </w:r>
      <w:r w:rsidR="03C97223" w:rsidRPr="00FA282D">
        <w:rPr>
          <w:rFonts w:eastAsia="Calibri" w:cs="Calibri"/>
          <w:noProof/>
          <w:sz w:val="22"/>
          <w:szCs w:val="22"/>
        </w:rPr>
        <w:t xml:space="preserve">as entry points to expertise, training and technology support, anchoring knowledge in regional ecosystems, and facilitating access to infrastructure and skills across Member States. </w:t>
      </w:r>
      <w:r w:rsidR="6E6EC7D2" w:rsidRPr="00FA282D">
        <w:rPr>
          <w:rFonts w:eastAsia="Calibri" w:cs="Calibri"/>
          <w:noProof/>
          <w:sz w:val="22"/>
          <w:szCs w:val="22"/>
        </w:rPr>
        <w:t>Compe</w:t>
      </w:r>
      <w:r w:rsidR="6E6EC7D2" w:rsidRPr="00FA282D">
        <w:rPr>
          <w:rFonts w:cs="Calibri"/>
          <w:noProof/>
          <w:sz w:val="22"/>
          <w:szCs w:val="22"/>
        </w:rPr>
        <w:t xml:space="preserve">tence </w:t>
      </w:r>
      <w:r w:rsidR="02947D8D" w:rsidRPr="00FA282D">
        <w:rPr>
          <w:rFonts w:cs="Calibri"/>
          <w:noProof/>
          <w:sz w:val="22"/>
          <w:szCs w:val="22"/>
        </w:rPr>
        <w:t>c</w:t>
      </w:r>
      <w:r w:rsidR="6E6EC7D2" w:rsidRPr="00FA282D">
        <w:rPr>
          <w:rFonts w:cs="Calibri"/>
          <w:noProof/>
          <w:sz w:val="22"/>
          <w:szCs w:val="22"/>
        </w:rPr>
        <w:t xml:space="preserve">entres may also </w:t>
      </w:r>
      <w:r w:rsidR="523FE17D" w:rsidRPr="00FA282D">
        <w:rPr>
          <w:rFonts w:cs="Calibri"/>
          <w:noProof/>
          <w:sz w:val="22"/>
          <w:szCs w:val="22"/>
        </w:rPr>
        <w:t>support</w:t>
      </w:r>
      <w:r w:rsidR="6E6EC7D2" w:rsidRPr="00FA282D">
        <w:rPr>
          <w:rFonts w:cs="Calibri"/>
          <w:noProof/>
          <w:sz w:val="22"/>
          <w:szCs w:val="22"/>
        </w:rPr>
        <w:t xml:space="preserve"> regions </w:t>
      </w:r>
      <w:r w:rsidR="3BED18A6" w:rsidRPr="00FA282D">
        <w:rPr>
          <w:rFonts w:cs="Calibri"/>
          <w:noProof/>
          <w:sz w:val="22"/>
          <w:szCs w:val="22"/>
        </w:rPr>
        <w:t xml:space="preserve">within each Member State </w:t>
      </w:r>
      <w:r w:rsidR="6E6EC7D2" w:rsidRPr="00FA282D">
        <w:rPr>
          <w:rFonts w:cs="Calibri"/>
          <w:noProof/>
          <w:sz w:val="22"/>
          <w:szCs w:val="22"/>
        </w:rPr>
        <w:t xml:space="preserve">in </w:t>
      </w:r>
      <w:r w:rsidR="7DE7BBBF" w:rsidRPr="00FA282D">
        <w:rPr>
          <w:rFonts w:cs="Calibri"/>
          <w:noProof/>
          <w:sz w:val="22"/>
          <w:szCs w:val="22"/>
        </w:rPr>
        <w:t>developing</w:t>
      </w:r>
      <w:r w:rsidR="6E6EC7D2" w:rsidRPr="00FA282D">
        <w:rPr>
          <w:rFonts w:cs="Calibri"/>
          <w:noProof/>
          <w:sz w:val="22"/>
          <w:szCs w:val="22"/>
        </w:rPr>
        <w:t xml:space="preserve"> long-term strategy to host, attract and expand semiconductor-related investments</w:t>
      </w:r>
      <w:r w:rsidR="52E217B2" w:rsidRPr="00FA282D">
        <w:rPr>
          <w:rFonts w:cs="Calibri"/>
          <w:noProof/>
          <w:sz w:val="22"/>
          <w:szCs w:val="22"/>
        </w:rPr>
        <w:t xml:space="preserve"> to the benefit of the local ecosystem</w:t>
      </w:r>
      <w:r w:rsidR="06082013" w:rsidRPr="00FA282D">
        <w:rPr>
          <w:rFonts w:cs="Calibri"/>
          <w:noProof/>
          <w:sz w:val="22"/>
          <w:szCs w:val="22"/>
        </w:rPr>
        <w:t>s</w:t>
      </w:r>
      <w:r w:rsidR="66B2EACD" w:rsidRPr="00FA282D">
        <w:rPr>
          <w:rFonts w:cs="Calibri"/>
          <w:noProof/>
          <w:sz w:val="22"/>
          <w:szCs w:val="22"/>
        </w:rPr>
        <w:t xml:space="preserve">. </w:t>
      </w:r>
      <w:r w:rsidR="03C97223" w:rsidRPr="00FA282D">
        <w:rPr>
          <w:rFonts w:eastAsia="Calibri" w:cs="Calibri"/>
          <w:noProof/>
          <w:sz w:val="22"/>
          <w:szCs w:val="22"/>
        </w:rPr>
        <w:t>Quantum chip pilots prepare Europe for emerging computing and sensing technologies by creating pathways from</w:t>
      </w:r>
      <w:r w:rsidR="03C97223" w:rsidRPr="00417E18">
        <w:rPr>
          <w:rFonts w:eastAsia="Calibri" w:cs="Calibri"/>
          <w:noProof/>
          <w:sz w:val="22"/>
          <w:szCs w:val="22"/>
        </w:rPr>
        <w:t xml:space="preserve"> frontier research to manufacturable components, while the Chips Fund complements these infrastructures by improving access to risk finance and scale-up capital.</w:t>
      </w:r>
    </w:p>
    <w:p w14:paraId="60A0DF95" w14:textId="35196673" w:rsidR="2B8B015F" w:rsidRPr="00417E18" w:rsidRDefault="7D25EDD0" w:rsidP="2B8B015F">
      <w:pPr>
        <w:rPr>
          <w:rFonts w:eastAsia="Calibri" w:cs="Calibri"/>
          <w:noProof/>
          <w:sz w:val="22"/>
          <w:szCs w:val="22"/>
        </w:rPr>
      </w:pPr>
      <w:r w:rsidRPr="00417E18">
        <w:rPr>
          <w:rFonts w:eastAsia="Calibri" w:cs="Calibri"/>
          <w:noProof/>
          <w:sz w:val="22"/>
          <w:szCs w:val="22"/>
        </w:rPr>
        <w:t xml:space="preserve">For </w:t>
      </w:r>
      <w:r w:rsidR="1784B728" w:rsidRPr="00417E18">
        <w:rPr>
          <w:rFonts w:eastAsia="Calibri" w:cs="Calibri"/>
          <w:noProof/>
          <w:sz w:val="22"/>
          <w:szCs w:val="22"/>
        </w:rPr>
        <w:t xml:space="preserve">the </w:t>
      </w:r>
      <w:r w:rsidRPr="00417E18">
        <w:rPr>
          <w:rFonts w:eastAsia="Calibri" w:cs="Calibri"/>
          <w:noProof/>
          <w:sz w:val="22"/>
          <w:szCs w:val="22"/>
        </w:rPr>
        <w:t>Europe</w:t>
      </w:r>
      <w:r w:rsidR="1784B728" w:rsidRPr="00417E18">
        <w:rPr>
          <w:rFonts w:eastAsia="Calibri" w:cs="Calibri"/>
          <w:noProof/>
          <w:sz w:val="22"/>
          <w:szCs w:val="22"/>
        </w:rPr>
        <w:t>an Union</w:t>
      </w:r>
      <w:r w:rsidRPr="00417E18">
        <w:rPr>
          <w:rFonts w:eastAsia="Calibri" w:cs="Calibri"/>
          <w:noProof/>
          <w:sz w:val="22"/>
          <w:szCs w:val="22"/>
        </w:rPr>
        <w:t xml:space="preserve"> to compete globally in the semiconductor sector, it is essential </w:t>
      </w:r>
      <w:r w:rsidR="1F7290E7" w:rsidRPr="6E0CA051">
        <w:rPr>
          <w:rFonts w:eastAsia="Calibri" w:cs="Calibri"/>
          <w:noProof/>
          <w:sz w:val="22"/>
          <w:szCs w:val="22"/>
        </w:rPr>
        <w:t>that</w:t>
      </w:r>
      <w:r w:rsidR="5657060F" w:rsidRPr="6E0CA051">
        <w:rPr>
          <w:rFonts w:eastAsia="Calibri" w:cs="Calibri"/>
          <w:noProof/>
          <w:sz w:val="22"/>
          <w:szCs w:val="22"/>
        </w:rPr>
        <w:t xml:space="preserve"> each Member State</w:t>
      </w:r>
      <w:r w:rsidR="2E18EAD5" w:rsidRPr="6E0CA051">
        <w:rPr>
          <w:rFonts w:eastAsia="Calibri" w:cs="Calibri"/>
          <w:noProof/>
          <w:sz w:val="22"/>
          <w:szCs w:val="22"/>
        </w:rPr>
        <w:t xml:space="preserve"> </w:t>
      </w:r>
      <w:r w:rsidR="538C3E93" w:rsidRPr="6E0CA051">
        <w:rPr>
          <w:rFonts w:eastAsia="Calibri" w:cs="Calibri"/>
          <w:noProof/>
          <w:sz w:val="22"/>
          <w:szCs w:val="22"/>
        </w:rPr>
        <w:t>develop</w:t>
      </w:r>
      <w:r w:rsidR="0206B874" w:rsidRPr="6E0CA051">
        <w:rPr>
          <w:rFonts w:eastAsia="Calibri" w:cs="Calibri"/>
          <w:noProof/>
          <w:sz w:val="22"/>
          <w:szCs w:val="22"/>
        </w:rPr>
        <w:t>s</w:t>
      </w:r>
      <w:r w:rsidR="538C3E93" w:rsidRPr="6E0CA051">
        <w:rPr>
          <w:rFonts w:eastAsia="Calibri" w:cs="Calibri"/>
          <w:noProof/>
          <w:sz w:val="22"/>
          <w:szCs w:val="22"/>
        </w:rPr>
        <w:t xml:space="preserve"> </w:t>
      </w:r>
      <w:r w:rsidR="73F5C48E" w:rsidRPr="6E0CA051">
        <w:rPr>
          <w:rFonts w:eastAsia="Calibri" w:cs="Calibri"/>
          <w:noProof/>
          <w:sz w:val="22"/>
          <w:szCs w:val="22"/>
        </w:rPr>
        <w:t>national semiconductor strategy</w:t>
      </w:r>
      <w:r w:rsidR="242EF006" w:rsidRPr="6E0CA051">
        <w:rPr>
          <w:rFonts w:eastAsia="Calibri" w:cs="Calibri"/>
          <w:noProof/>
          <w:sz w:val="22"/>
          <w:szCs w:val="22"/>
        </w:rPr>
        <w:t xml:space="preserve"> </w:t>
      </w:r>
      <w:r w:rsidR="73F5C48E" w:rsidRPr="6E0CA051">
        <w:rPr>
          <w:rFonts w:eastAsia="Calibri" w:cs="Calibri"/>
          <w:noProof/>
          <w:sz w:val="22"/>
          <w:szCs w:val="22"/>
        </w:rPr>
        <w:t>providing strategic objectives</w:t>
      </w:r>
      <w:r w:rsidR="3FFADB75" w:rsidRPr="6E0CA051">
        <w:rPr>
          <w:rFonts w:eastAsia="Calibri" w:cs="Calibri"/>
          <w:noProof/>
          <w:sz w:val="22"/>
          <w:szCs w:val="22"/>
        </w:rPr>
        <w:t>,</w:t>
      </w:r>
      <w:r w:rsidR="73F5C48E" w:rsidRPr="6E0CA051">
        <w:rPr>
          <w:rFonts w:eastAsia="Calibri" w:cs="Calibri"/>
          <w:noProof/>
          <w:sz w:val="22"/>
          <w:szCs w:val="22"/>
        </w:rPr>
        <w:t xml:space="preserve"> priorities</w:t>
      </w:r>
      <w:r w:rsidR="39A8B3B2" w:rsidRPr="6E0CA051">
        <w:rPr>
          <w:rFonts w:eastAsia="Calibri" w:cs="Calibri"/>
          <w:noProof/>
          <w:sz w:val="22"/>
          <w:szCs w:val="22"/>
        </w:rPr>
        <w:t xml:space="preserve"> and relevant roadmaps</w:t>
      </w:r>
      <w:r w:rsidR="12485B88" w:rsidRPr="6E0CA051">
        <w:rPr>
          <w:rFonts w:eastAsia="Calibri" w:cs="Calibri"/>
          <w:noProof/>
          <w:sz w:val="22"/>
          <w:szCs w:val="22"/>
        </w:rPr>
        <w:t xml:space="preserve">, </w:t>
      </w:r>
      <w:r w:rsidRPr="00417E18">
        <w:rPr>
          <w:rFonts w:eastAsia="Calibri" w:cs="Calibri"/>
          <w:noProof/>
          <w:sz w:val="22"/>
          <w:szCs w:val="22"/>
        </w:rPr>
        <w:t xml:space="preserve">to substantially increase investments and to continue commitment to the leading value chain areas, including semiconductor equipment, chips design, analogue components, sensors, photonics, while also securing a strong entry into emerging markets such as computing and AI-oriented silicon. With this aim in mind, the Commission </w:t>
      </w:r>
      <w:r w:rsidR="1CD297DA" w:rsidRPr="00417E18">
        <w:rPr>
          <w:rFonts w:eastAsia="Calibri" w:cs="Calibri"/>
          <w:noProof/>
          <w:sz w:val="22"/>
          <w:szCs w:val="22"/>
        </w:rPr>
        <w:t>has</w:t>
      </w:r>
      <w:r w:rsidRPr="00417E18">
        <w:rPr>
          <w:rFonts w:eastAsia="Calibri" w:cs="Calibri"/>
          <w:noProof/>
          <w:sz w:val="22"/>
          <w:szCs w:val="22"/>
        </w:rPr>
        <w:t xml:space="preserve"> start</w:t>
      </w:r>
      <w:r w:rsidR="4D5316DC" w:rsidRPr="00417E18">
        <w:rPr>
          <w:rFonts w:eastAsia="Calibri" w:cs="Calibri"/>
          <w:noProof/>
          <w:sz w:val="22"/>
          <w:szCs w:val="22"/>
        </w:rPr>
        <w:t>ed</w:t>
      </w:r>
      <w:r w:rsidRPr="00417E18">
        <w:rPr>
          <w:rFonts w:eastAsia="Calibri" w:cs="Calibri"/>
          <w:noProof/>
          <w:sz w:val="22"/>
          <w:szCs w:val="22"/>
        </w:rPr>
        <w:t xml:space="preserve"> the formal review of the Chips Act, </w:t>
      </w:r>
      <w:r w:rsidR="7891D005" w:rsidRPr="00417E18">
        <w:rPr>
          <w:rFonts w:eastAsia="Calibri" w:cs="Calibri"/>
          <w:noProof/>
          <w:sz w:val="22"/>
          <w:szCs w:val="22"/>
        </w:rPr>
        <w:t>targeting the</w:t>
      </w:r>
      <w:r w:rsidRPr="00417E18">
        <w:rPr>
          <w:rFonts w:eastAsia="Calibri" w:cs="Calibri"/>
          <w:noProof/>
          <w:sz w:val="22"/>
          <w:szCs w:val="22"/>
        </w:rPr>
        <w:t xml:space="preserve"> Chips Act 2.0</w:t>
      </w:r>
      <w:r w:rsidR="6993AC9C" w:rsidRPr="00417E18">
        <w:rPr>
          <w:rFonts w:eastAsia="Calibri" w:cs="Calibri"/>
          <w:noProof/>
          <w:sz w:val="22"/>
          <w:szCs w:val="22"/>
        </w:rPr>
        <w:t xml:space="preserve"> announcement in Q2 2026 with a clear support</w:t>
      </w:r>
      <w:r w:rsidRPr="00417E18">
        <w:rPr>
          <w:rFonts w:eastAsia="Calibri" w:cs="Calibri"/>
          <w:noProof/>
          <w:sz w:val="22"/>
          <w:szCs w:val="22"/>
        </w:rPr>
        <w:t xml:space="preserve"> from industry, </w:t>
      </w:r>
      <w:r w:rsidR="5EA53295" w:rsidRPr="00417E18">
        <w:rPr>
          <w:rFonts w:eastAsia="Calibri" w:cs="Calibri"/>
          <w:noProof/>
          <w:sz w:val="22"/>
          <w:szCs w:val="22"/>
        </w:rPr>
        <w:t>and</w:t>
      </w:r>
      <w:r w:rsidRPr="00417E18">
        <w:rPr>
          <w:rFonts w:eastAsia="Calibri" w:cs="Calibri"/>
          <w:noProof/>
          <w:sz w:val="22"/>
          <w:szCs w:val="22"/>
        </w:rPr>
        <w:t xml:space="preserve"> Member States.</w:t>
      </w:r>
    </w:p>
    <w:p w14:paraId="41C9920B" w14:textId="517E44C4" w:rsidR="00435DB1" w:rsidRPr="00417E18" w:rsidRDefault="654618D6" w:rsidP="2B8B015F">
      <w:pPr>
        <w:rPr>
          <w:rFonts w:eastAsia="Calibri" w:cs="Calibri"/>
          <w:noProof/>
          <w:sz w:val="22"/>
          <w:szCs w:val="22"/>
        </w:rPr>
      </w:pPr>
      <w:r w:rsidRPr="00417E18">
        <w:rPr>
          <w:rFonts w:eastAsia="Calibri" w:cs="Calibri"/>
          <w:noProof/>
          <w:sz w:val="22"/>
          <w:szCs w:val="22"/>
        </w:rPr>
        <w:t xml:space="preserve">Public funding </w:t>
      </w:r>
      <w:r w:rsidR="00802861">
        <w:rPr>
          <w:rFonts w:eastAsia="Calibri" w:cs="Calibri"/>
          <w:noProof/>
          <w:sz w:val="22"/>
          <w:szCs w:val="22"/>
        </w:rPr>
        <w:t xml:space="preserve">must </w:t>
      </w:r>
      <w:r w:rsidRPr="00417E18">
        <w:rPr>
          <w:rFonts w:eastAsia="Calibri" w:cs="Calibri"/>
          <w:noProof/>
          <w:sz w:val="22"/>
          <w:szCs w:val="22"/>
        </w:rPr>
        <w:t xml:space="preserve">also </w:t>
      </w:r>
      <w:r w:rsidR="00802861">
        <w:rPr>
          <w:rFonts w:eastAsia="Calibri" w:cs="Calibri"/>
          <w:noProof/>
          <w:sz w:val="22"/>
          <w:szCs w:val="22"/>
        </w:rPr>
        <w:t xml:space="preserve">strike </w:t>
      </w:r>
      <w:r w:rsidRPr="00417E18">
        <w:rPr>
          <w:rFonts w:eastAsia="Calibri" w:cs="Calibri"/>
          <w:noProof/>
          <w:sz w:val="22"/>
          <w:szCs w:val="22"/>
        </w:rPr>
        <w:t>the right balance between predictability and flexibility</w:t>
      </w:r>
      <w:r w:rsidR="00BB5711" w:rsidRPr="00BB5711">
        <w:rPr>
          <w:rFonts w:eastAsia="Calibri" w:cs="Calibri"/>
          <w:noProof/>
          <w:sz w:val="22"/>
          <w:szCs w:val="22"/>
        </w:rPr>
        <w:t>, while crowding in the much-needed private investment and avoiding distortions of competition in the internal market</w:t>
      </w:r>
      <w:r w:rsidRPr="00417E18">
        <w:rPr>
          <w:rFonts w:eastAsia="Calibri" w:cs="Calibri"/>
          <w:noProof/>
          <w:sz w:val="22"/>
          <w:szCs w:val="22"/>
        </w:rPr>
        <w:t xml:space="preserve">. </w:t>
      </w:r>
      <w:r w:rsidR="00B22217" w:rsidRPr="07868930">
        <w:rPr>
          <w:rFonts w:eastAsia="Calibri" w:cs="Calibri"/>
          <w:noProof/>
          <w:sz w:val="22"/>
          <w:szCs w:val="22"/>
        </w:rPr>
        <w:t>A</w:t>
      </w:r>
      <w:r w:rsidRPr="00417E18">
        <w:rPr>
          <w:rFonts w:eastAsia="Calibri" w:cs="Calibri"/>
          <w:noProof/>
          <w:sz w:val="22"/>
          <w:szCs w:val="22"/>
        </w:rPr>
        <w:t xml:space="preserve"> stable and predictable trajectory </w:t>
      </w:r>
      <w:r w:rsidR="00F70E87" w:rsidRPr="07868930">
        <w:rPr>
          <w:rFonts w:eastAsia="Calibri" w:cs="Calibri"/>
          <w:noProof/>
          <w:sz w:val="22"/>
          <w:szCs w:val="22"/>
        </w:rPr>
        <w:t>is</w:t>
      </w:r>
      <w:r w:rsidR="00F70E87">
        <w:rPr>
          <w:rFonts w:eastAsia="Calibri" w:cs="Calibri"/>
          <w:noProof/>
          <w:sz w:val="22"/>
          <w:szCs w:val="22"/>
        </w:rPr>
        <w:t xml:space="preserve"> essential</w:t>
      </w:r>
      <w:r w:rsidRPr="00417E18">
        <w:rPr>
          <w:rFonts w:eastAsia="Calibri" w:cs="Calibri"/>
          <w:noProof/>
          <w:sz w:val="22"/>
          <w:szCs w:val="22"/>
        </w:rPr>
        <w:t xml:space="preserve"> for budget planning, </w:t>
      </w:r>
      <w:r w:rsidR="00F434D8" w:rsidRPr="07868930">
        <w:rPr>
          <w:rFonts w:eastAsia="Calibri" w:cs="Calibri"/>
          <w:noProof/>
          <w:sz w:val="22"/>
          <w:szCs w:val="22"/>
        </w:rPr>
        <w:t>but</w:t>
      </w:r>
      <w:r w:rsidR="00F434D8">
        <w:rPr>
          <w:rFonts w:eastAsia="Calibri" w:cs="Calibri"/>
          <w:noProof/>
          <w:sz w:val="22"/>
          <w:szCs w:val="22"/>
        </w:rPr>
        <w:t xml:space="preserve"> the pace</w:t>
      </w:r>
      <w:r w:rsidRPr="00417E18">
        <w:rPr>
          <w:rFonts w:eastAsia="Calibri" w:cs="Calibri"/>
          <w:noProof/>
          <w:sz w:val="22"/>
          <w:szCs w:val="22"/>
        </w:rPr>
        <w:t xml:space="preserve"> of technological development </w:t>
      </w:r>
      <w:r w:rsidR="009C4280">
        <w:rPr>
          <w:rFonts w:eastAsia="Calibri" w:cs="Calibri"/>
          <w:noProof/>
          <w:sz w:val="22"/>
          <w:szCs w:val="22"/>
        </w:rPr>
        <w:t xml:space="preserve">also </w:t>
      </w:r>
      <w:r w:rsidRPr="00417E18">
        <w:rPr>
          <w:rFonts w:eastAsia="Calibri" w:cs="Calibri"/>
          <w:noProof/>
          <w:sz w:val="22"/>
          <w:szCs w:val="22"/>
        </w:rPr>
        <w:t xml:space="preserve">requires the </w:t>
      </w:r>
      <w:r w:rsidR="009C4280">
        <w:rPr>
          <w:rFonts w:eastAsia="Calibri" w:cs="Calibri"/>
          <w:noProof/>
          <w:sz w:val="22"/>
          <w:szCs w:val="22"/>
        </w:rPr>
        <w:t>capacity</w:t>
      </w:r>
      <w:r w:rsidR="009C4280" w:rsidRPr="00417E18">
        <w:rPr>
          <w:rFonts w:eastAsia="Calibri" w:cs="Calibri"/>
          <w:noProof/>
          <w:sz w:val="22"/>
          <w:szCs w:val="22"/>
        </w:rPr>
        <w:t xml:space="preserve"> </w:t>
      </w:r>
      <w:r w:rsidRPr="00417E18">
        <w:rPr>
          <w:rFonts w:eastAsia="Calibri" w:cs="Calibri"/>
          <w:noProof/>
          <w:sz w:val="22"/>
          <w:szCs w:val="22"/>
        </w:rPr>
        <w:t>to respond swiftly to emerging priorities</w:t>
      </w:r>
      <w:r w:rsidRPr="07868930">
        <w:rPr>
          <w:rFonts w:eastAsia="Calibri" w:cs="Calibri"/>
          <w:noProof/>
          <w:sz w:val="22"/>
          <w:szCs w:val="22"/>
        </w:rPr>
        <w:t xml:space="preserve">. </w:t>
      </w:r>
      <w:r w:rsidR="00940B36" w:rsidRPr="07868930">
        <w:rPr>
          <w:rFonts w:eastAsia="Calibri" w:cs="Calibri"/>
          <w:noProof/>
          <w:sz w:val="22"/>
          <w:szCs w:val="22"/>
        </w:rPr>
        <w:t>In</w:t>
      </w:r>
      <w:r w:rsidR="0D5A9A76" w:rsidRPr="07868930">
        <w:rPr>
          <w:rFonts w:eastAsia="Calibri" w:cs="Calibri"/>
          <w:noProof/>
          <w:sz w:val="22"/>
          <w:szCs w:val="22"/>
        </w:rPr>
        <w:t xml:space="preserve"> </w:t>
      </w:r>
      <w:r w:rsidR="00940B36" w:rsidRPr="07868930">
        <w:rPr>
          <w:rFonts w:eastAsia="Calibri" w:cs="Calibri"/>
          <w:noProof/>
          <w:sz w:val="22"/>
          <w:szCs w:val="22"/>
        </w:rPr>
        <w:t xml:space="preserve">this </w:t>
      </w:r>
      <w:r w:rsidR="00940B36">
        <w:rPr>
          <w:rFonts w:eastAsia="Calibri" w:cs="Calibri"/>
          <w:noProof/>
          <w:sz w:val="22"/>
          <w:szCs w:val="22"/>
        </w:rPr>
        <w:t xml:space="preserve">respect, </w:t>
      </w:r>
      <w:r w:rsidRPr="00417E18">
        <w:rPr>
          <w:rFonts w:eastAsia="Calibri" w:cs="Calibri"/>
          <w:noProof/>
          <w:sz w:val="22"/>
          <w:szCs w:val="22"/>
        </w:rPr>
        <w:t>Joint Undertakings (JUs</w:t>
      </w:r>
      <w:r w:rsidRPr="07868930">
        <w:rPr>
          <w:rFonts w:eastAsia="Calibri" w:cs="Calibri"/>
          <w:noProof/>
          <w:sz w:val="22"/>
          <w:szCs w:val="22"/>
        </w:rPr>
        <w:t>)</w:t>
      </w:r>
      <w:r w:rsidR="00CF4ABC">
        <w:rPr>
          <w:rFonts w:eastAsia="Calibri" w:cs="Calibri"/>
          <w:noProof/>
          <w:sz w:val="22"/>
          <w:szCs w:val="22"/>
        </w:rPr>
        <w:t xml:space="preserve"> </w:t>
      </w:r>
      <w:r w:rsidRPr="00417E18">
        <w:rPr>
          <w:rFonts w:eastAsia="Calibri" w:cs="Calibri"/>
          <w:noProof/>
          <w:sz w:val="22"/>
          <w:szCs w:val="22"/>
        </w:rPr>
        <w:t xml:space="preserve">are </w:t>
      </w:r>
      <w:r w:rsidR="00240DC8">
        <w:rPr>
          <w:rFonts w:eastAsia="Calibri" w:cs="Calibri"/>
          <w:noProof/>
          <w:sz w:val="22"/>
          <w:szCs w:val="22"/>
        </w:rPr>
        <w:t xml:space="preserve">comparatively </w:t>
      </w:r>
      <w:r w:rsidRPr="00417E18">
        <w:rPr>
          <w:rFonts w:eastAsia="Calibri" w:cs="Calibri"/>
          <w:noProof/>
          <w:sz w:val="22"/>
          <w:szCs w:val="22"/>
        </w:rPr>
        <w:t>well equipped</w:t>
      </w:r>
      <w:r w:rsidRPr="07868930">
        <w:rPr>
          <w:rFonts w:eastAsia="Calibri" w:cs="Calibri"/>
          <w:noProof/>
          <w:sz w:val="22"/>
          <w:szCs w:val="22"/>
        </w:rPr>
        <w:t xml:space="preserve">, </w:t>
      </w:r>
      <w:r w:rsidR="00E763FD" w:rsidRPr="07868930">
        <w:rPr>
          <w:rFonts w:eastAsia="Calibri" w:cs="Calibri"/>
          <w:noProof/>
          <w:sz w:val="22"/>
          <w:szCs w:val="22"/>
        </w:rPr>
        <w:t>as</w:t>
      </w:r>
      <w:r w:rsidR="00E763FD">
        <w:rPr>
          <w:rFonts w:eastAsia="Calibri" w:cs="Calibri"/>
          <w:noProof/>
          <w:sz w:val="22"/>
          <w:szCs w:val="22"/>
        </w:rPr>
        <w:t xml:space="preserve"> their</w:t>
      </w:r>
      <w:r w:rsidRPr="00417E18">
        <w:rPr>
          <w:rFonts w:eastAsia="Calibri" w:cs="Calibri"/>
          <w:noProof/>
          <w:sz w:val="22"/>
          <w:szCs w:val="22"/>
        </w:rPr>
        <w:t xml:space="preserve"> procedures allow work programmes </w:t>
      </w:r>
      <w:r w:rsidR="006C45DA">
        <w:rPr>
          <w:rFonts w:eastAsia="Calibri" w:cs="Calibri"/>
          <w:noProof/>
          <w:sz w:val="22"/>
          <w:szCs w:val="22"/>
        </w:rPr>
        <w:t xml:space="preserve">to adapt more </w:t>
      </w:r>
      <w:r w:rsidR="006D6EED">
        <w:rPr>
          <w:rFonts w:eastAsia="Calibri" w:cs="Calibri"/>
          <w:noProof/>
          <w:sz w:val="22"/>
          <w:szCs w:val="22"/>
        </w:rPr>
        <w:t xml:space="preserve">rapidly </w:t>
      </w:r>
      <w:r w:rsidRPr="00417E18">
        <w:rPr>
          <w:rFonts w:eastAsia="Calibri" w:cs="Calibri"/>
          <w:noProof/>
          <w:sz w:val="22"/>
          <w:szCs w:val="22"/>
        </w:rPr>
        <w:t xml:space="preserve">when new </w:t>
      </w:r>
      <w:r w:rsidR="006D6EED" w:rsidRPr="07868930">
        <w:rPr>
          <w:rFonts w:eastAsia="Calibri" w:cs="Calibri"/>
          <w:noProof/>
          <w:sz w:val="22"/>
          <w:szCs w:val="22"/>
        </w:rPr>
        <w:t>needs</w:t>
      </w:r>
      <w:r w:rsidRPr="07868930">
        <w:rPr>
          <w:rFonts w:eastAsia="Calibri" w:cs="Calibri"/>
          <w:noProof/>
          <w:sz w:val="22"/>
          <w:szCs w:val="22"/>
        </w:rPr>
        <w:t xml:space="preserve"> </w:t>
      </w:r>
      <w:r w:rsidRPr="00417E18">
        <w:rPr>
          <w:rFonts w:eastAsia="Calibri" w:cs="Calibri"/>
          <w:noProof/>
          <w:sz w:val="22"/>
          <w:szCs w:val="22"/>
        </w:rPr>
        <w:t xml:space="preserve">arise. </w:t>
      </w:r>
      <w:r w:rsidR="00BF46BD">
        <w:rPr>
          <w:rFonts w:eastAsia="Calibri" w:cs="Calibri"/>
          <w:noProof/>
          <w:sz w:val="22"/>
          <w:szCs w:val="22"/>
        </w:rPr>
        <w:t xml:space="preserve">By </w:t>
      </w:r>
      <w:r w:rsidR="00BF46BD" w:rsidRPr="07868930">
        <w:rPr>
          <w:rFonts w:eastAsia="Calibri" w:cs="Calibri"/>
          <w:noProof/>
          <w:sz w:val="22"/>
          <w:szCs w:val="22"/>
        </w:rPr>
        <w:t>p</w:t>
      </w:r>
      <w:r w:rsidRPr="07868930">
        <w:rPr>
          <w:rFonts w:eastAsia="Calibri" w:cs="Calibri"/>
          <w:noProof/>
          <w:sz w:val="22"/>
          <w:szCs w:val="22"/>
        </w:rPr>
        <w:t>ooling</w:t>
      </w:r>
      <w:r w:rsidRPr="00417E18">
        <w:rPr>
          <w:rFonts w:eastAsia="Calibri" w:cs="Calibri"/>
          <w:noProof/>
          <w:sz w:val="22"/>
          <w:szCs w:val="22"/>
        </w:rPr>
        <w:t xml:space="preserve"> public and private resources at scale, JUs have played a pivotal role in aligning strategic agendas, and fostering robust ecosystems around key EU policy priorities, thereby strengthening Europe’s competitiveness and technological sovereignty. However, Member States’ financial planning has not always been sufficiently flexible to accommodate emerging needs and changing priorities</w:t>
      </w:r>
      <w:r w:rsidRPr="07868930">
        <w:rPr>
          <w:rFonts w:eastAsia="Calibri" w:cs="Calibri"/>
          <w:noProof/>
          <w:sz w:val="22"/>
          <w:szCs w:val="22"/>
        </w:rPr>
        <w:t>.</w:t>
      </w:r>
      <w:r w:rsidRPr="00417E18">
        <w:rPr>
          <w:rFonts w:eastAsia="Calibri" w:cs="Calibri"/>
          <w:noProof/>
          <w:sz w:val="22"/>
          <w:szCs w:val="22"/>
        </w:rPr>
        <w:t xml:space="preserve"> In addition, </w:t>
      </w:r>
      <w:r w:rsidR="005F2559">
        <w:rPr>
          <w:rFonts w:eastAsia="Calibri" w:cs="Calibri"/>
          <w:noProof/>
          <w:sz w:val="22"/>
          <w:szCs w:val="22"/>
        </w:rPr>
        <w:t xml:space="preserve">due to the complexity of </w:t>
      </w:r>
      <w:r w:rsidR="008E64BF">
        <w:rPr>
          <w:rFonts w:eastAsia="Calibri" w:cs="Calibri"/>
          <w:noProof/>
          <w:sz w:val="22"/>
          <w:szCs w:val="22"/>
        </w:rPr>
        <w:t xml:space="preserve">rules applicable to the blending of funding, </w:t>
      </w:r>
      <w:r w:rsidRPr="00417E18">
        <w:rPr>
          <w:rFonts w:eastAsia="Calibri" w:cs="Calibri"/>
          <w:noProof/>
          <w:sz w:val="22"/>
          <w:szCs w:val="22"/>
        </w:rPr>
        <w:t xml:space="preserve">Member States’ departments responsible for R&amp;I funding in JUs </w:t>
      </w:r>
      <w:r w:rsidR="008D0760">
        <w:rPr>
          <w:rFonts w:eastAsia="Calibri" w:cs="Calibri"/>
          <w:noProof/>
          <w:sz w:val="22"/>
          <w:szCs w:val="22"/>
        </w:rPr>
        <w:t xml:space="preserve">must ensure close coordination with state aid experts, a process that can lengthen administrative timelines </w:t>
      </w:r>
      <w:r w:rsidR="00E06869">
        <w:rPr>
          <w:rFonts w:eastAsia="Calibri" w:cs="Calibri"/>
          <w:noProof/>
          <w:sz w:val="22"/>
          <w:szCs w:val="22"/>
        </w:rPr>
        <w:t xml:space="preserve">before final </w:t>
      </w:r>
      <w:r w:rsidRPr="00417E18">
        <w:rPr>
          <w:rFonts w:eastAsia="Calibri" w:cs="Calibri"/>
          <w:noProof/>
          <w:sz w:val="22"/>
          <w:szCs w:val="22"/>
        </w:rPr>
        <w:t>decision making.</w:t>
      </w:r>
      <w:r w:rsidR="00035E03">
        <w:rPr>
          <w:rFonts w:eastAsia="Calibri" w:cs="Calibri"/>
          <w:noProof/>
          <w:sz w:val="22"/>
          <w:szCs w:val="22"/>
        </w:rPr>
        <w:t xml:space="preserve"> </w:t>
      </w:r>
    </w:p>
    <w:tbl>
      <w:tblPr>
        <w:tblStyle w:val="TableGrid"/>
        <w:tblW w:w="0" w:type="auto"/>
        <w:tblLook w:val="06A0" w:firstRow="1" w:lastRow="0" w:firstColumn="1" w:lastColumn="0" w:noHBand="1" w:noVBand="1"/>
      </w:tblPr>
      <w:tblGrid>
        <w:gridCol w:w="9350"/>
      </w:tblGrid>
      <w:tr w:rsidR="462C1B31" w:rsidRPr="00417E18" w14:paraId="07681318" w14:textId="77777777" w:rsidTr="0E1EC96E">
        <w:trPr>
          <w:trHeight w:val="1125"/>
        </w:trPr>
        <w:tc>
          <w:tcPr>
            <w:tcW w:w="9360" w:type="dxa"/>
            <w:shd w:val="clear" w:color="auto" w:fill="D4F1EE"/>
          </w:tcPr>
          <w:p w14:paraId="3DB8CDE4" w14:textId="492D0EB7" w:rsidR="566D6908" w:rsidRPr="00417E18" w:rsidRDefault="7820DBFC" w:rsidP="0E1EC96E">
            <w:pPr>
              <w:rPr>
                <w:b/>
                <w:bCs/>
                <w:noProof/>
                <w:u w:val="single"/>
              </w:rPr>
            </w:pPr>
            <w:r w:rsidRPr="0E1EC96E">
              <w:rPr>
                <w:b/>
                <w:bCs/>
                <w:noProof/>
                <w:u w:val="single"/>
              </w:rPr>
              <w:t>Recommendation:</w:t>
            </w:r>
          </w:p>
          <w:p w14:paraId="254241A3" w14:textId="48374800" w:rsidR="566D6908" w:rsidRPr="008F5EAE" w:rsidRDefault="73C8DE72" w:rsidP="3C7001FB">
            <w:pPr>
              <w:spacing w:before="0" w:after="0" w:line="278" w:lineRule="auto"/>
              <w:rPr>
                <w:rFonts w:eastAsia="MS Mincho" w:cs="Arial"/>
                <w:noProof/>
              </w:rPr>
            </w:pPr>
            <w:r w:rsidRPr="008F5EAE">
              <w:rPr>
                <w:rFonts w:eastAsia="MS Mincho" w:cs="Arial"/>
                <w:noProof/>
              </w:rPr>
              <w:t xml:space="preserve">Member States should accelerate the development of the EU semiconductor value chain, in line with the Chips Act and in view of the forthcoming Chips Act 2.0, by: </w:t>
            </w:r>
          </w:p>
          <w:p w14:paraId="775BC77A" w14:textId="21FCE64B"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 xml:space="preserve">developing semiconductor strategies and inserting relevant policy measures in their National Roadmaps reflecting their contributions towards the objectives and provisions of the proposed Chips Act 2.0; </w:t>
            </w:r>
          </w:p>
          <w:p w14:paraId="2E398C11" w14:textId="2AD8DB68"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 xml:space="preserve">stimulating their national fabless ecosystem by promoting start-ups and scale-ups and investing in design centres; </w:t>
            </w:r>
          </w:p>
          <w:p w14:paraId="708B87CB" w14:textId="6B0D4DAA"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 xml:space="preserve">strengthening the ability of companies in their territory to develop, integrate, and use semiconductor technologies, by promoting competence centres and skills development; </w:t>
            </w:r>
          </w:p>
          <w:p w14:paraId="6C5DAFAF" w14:textId="5D853483"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 xml:space="preserve">identifying and supporting European regions that demonstrate a credible long-term strategy to host, attract and expand semiconductor-related investments; </w:t>
            </w:r>
          </w:p>
          <w:p w14:paraId="43AA3507" w14:textId="1079D639"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 xml:space="preserve">streamline permitting procedures and reduce time for granting permits for semiconductor facilities; and </w:t>
            </w:r>
          </w:p>
          <w:p w14:paraId="35CAAE78" w14:textId="136F8567" w:rsidR="566D6908" w:rsidRPr="002F3453" w:rsidRDefault="73C8DE72" w:rsidP="3C7001FB">
            <w:pPr>
              <w:pStyle w:val="ListParagraph"/>
              <w:numPr>
                <w:ilvl w:val="0"/>
                <w:numId w:val="15"/>
              </w:numPr>
              <w:spacing w:before="0" w:after="0" w:line="278" w:lineRule="auto"/>
              <w:rPr>
                <w:rFonts w:eastAsia="MS Mincho" w:cs="Arial"/>
                <w:noProof/>
              </w:rPr>
            </w:pPr>
            <w:r w:rsidRPr="002F3453">
              <w:rPr>
                <w:rFonts w:eastAsia="MS Mincho" w:cs="Arial"/>
                <w:noProof/>
              </w:rPr>
              <w:t>mobilize national and regional investment to support relevant semiconductor initiatives.</w:t>
            </w:r>
          </w:p>
          <w:p w14:paraId="6F0B04F9" w14:textId="74CC12D8" w:rsidR="566D6908" w:rsidRPr="002F3453" w:rsidRDefault="566D6908" w:rsidP="3C7001FB">
            <w:pPr>
              <w:pStyle w:val="ListParagraph"/>
              <w:spacing w:before="0" w:after="0" w:line="278" w:lineRule="auto"/>
              <w:rPr>
                <w:rFonts w:eastAsia="MS Mincho" w:cs="Arial"/>
                <w:noProof/>
              </w:rPr>
            </w:pPr>
          </w:p>
          <w:p w14:paraId="22605D97" w14:textId="77E835CB" w:rsidR="566D6908" w:rsidRPr="002F3453" w:rsidRDefault="632201F6" w:rsidP="3C7001FB">
            <w:pPr>
              <w:spacing w:before="0" w:after="0" w:line="278" w:lineRule="auto"/>
              <w:rPr>
                <w:rFonts w:eastAsia="Calibri" w:cs="Calibri"/>
                <w:noProof/>
              </w:rPr>
            </w:pPr>
            <w:r w:rsidRPr="002F3453">
              <w:rPr>
                <w:rFonts w:eastAsia="Calibri" w:cs="Calibri"/>
                <w:noProof/>
              </w:rPr>
              <w:t xml:space="preserve">Member States participating in the Chips Joint Undertaking should: </w:t>
            </w:r>
          </w:p>
          <w:p w14:paraId="76B7C66C" w14:textId="0750B438" w:rsidR="566D6908" w:rsidRPr="002F3453" w:rsidRDefault="632201F6" w:rsidP="3C7001FB">
            <w:pPr>
              <w:pStyle w:val="ListParagraph"/>
              <w:numPr>
                <w:ilvl w:val="0"/>
                <w:numId w:val="2"/>
              </w:numPr>
              <w:spacing w:before="0" w:after="0" w:line="278" w:lineRule="auto"/>
              <w:rPr>
                <w:rFonts w:eastAsia="Calibri" w:cs="Calibri"/>
                <w:noProof/>
              </w:rPr>
            </w:pPr>
            <w:r w:rsidRPr="002F3453">
              <w:rPr>
                <w:rFonts w:eastAsia="Calibri" w:cs="Calibri"/>
                <w:noProof/>
              </w:rPr>
              <w:t xml:space="preserve">ensure predictable and rapid national co-funding for projects under the Chips Joint Undertaking, including pre-allocation of dedicated national budgets, automatic match-funding mechanisms for selected proposals, and simplified national approval procedures; </w:t>
            </w:r>
          </w:p>
          <w:p w14:paraId="1A2FCB59" w14:textId="3B5A7720" w:rsidR="566D6908" w:rsidRPr="002F3453" w:rsidRDefault="632201F6" w:rsidP="3C7001FB">
            <w:pPr>
              <w:pStyle w:val="ListParagraph"/>
              <w:numPr>
                <w:ilvl w:val="0"/>
                <w:numId w:val="2"/>
              </w:numPr>
              <w:spacing w:before="0" w:after="0" w:line="278" w:lineRule="auto"/>
              <w:rPr>
                <w:rFonts w:eastAsia="Calibri" w:cs="Calibri"/>
                <w:noProof/>
              </w:rPr>
            </w:pPr>
            <w:r w:rsidRPr="002F3453">
              <w:rPr>
                <w:rFonts w:eastAsia="Calibri" w:cs="Calibri"/>
                <w:noProof/>
              </w:rPr>
              <w:t xml:space="preserve">anticipate national budget planning to accommodate multi-annual work programmes and several call launch dates within a single calendar year; </w:t>
            </w:r>
          </w:p>
          <w:p w14:paraId="725C6B8F" w14:textId="3BD7A08E" w:rsidR="566D6908" w:rsidRPr="002F3453" w:rsidRDefault="06B53092" w:rsidP="3C7001FB">
            <w:pPr>
              <w:pStyle w:val="ListParagraph"/>
              <w:numPr>
                <w:ilvl w:val="0"/>
                <w:numId w:val="2"/>
              </w:numPr>
              <w:spacing w:before="0" w:after="0" w:line="278" w:lineRule="auto"/>
              <w:rPr>
                <w:rFonts w:eastAsia="Calibri" w:cs="Calibri"/>
                <w:noProof/>
              </w:rPr>
            </w:pPr>
            <w:r w:rsidRPr="002F3453">
              <w:rPr>
                <w:rFonts w:eastAsia="Calibri" w:cs="Calibri"/>
                <w:noProof/>
              </w:rPr>
              <w:t>reinforce State aid expertise in national administrations responsible for R&amp;I funding, in coordination with national representatives in the Chips Joint Undertaking</w:t>
            </w:r>
            <w:r w:rsidR="00324D5D" w:rsidRPr="002F3453">
              <w:rPr>
                <w:rFonts w:eastAsia="Calibri" w:cs="Calibri"/>
                <w:noProof/>
              </w:rPr>
              <w:t>.</w:t>
            </w:r>
          </w:p>
          <w:p w14:paraId="10C9BE53" w14:textId="2185ACF2" w:rsidR="566D6908" w:rsidRPr="00B22895" w:rsidRDefault="566D6908" w:rsidP="3C7001FB">
            <w:pPr>
              <w:spacing w:before="0" w:after="0" w:line="278" w:lineRule="auto"/>
              <w:rPr>
                <w:rFonts w:eastAsia="Calibri" w:cs="Calibri"/>
                <w:noProof/>
              </w:rPr>
            </w:pPr>
          </w:p>
        </w:tc>
      </w:tr>
    </w:tbl>
    <w:p w14:paraId="4BE53C9A" w14:textId="48431A66" w:rsidR="003A53C2" w:rsidRPr="00417E18" w:rsidRDefault="12F8DB0A" w:rsidP="00C57A6C">
      <w:pPr>
        <w:pStyle w:val="Heading3"/>
        <w:rPr>
          <w:noProof/>
        </w:rPr>
      </w:pPr>
      <w:bookmarkStart w:id="19" w:name="_Toc226710895"/>
      <w:bookmarkStart w:id="20" w:name="_Toc2142931657"/>
      <w:bookmarkStart w:id="21" w:name="_Toc368142444"/>
      <w:bookmarkStart w:id="22" w:name="_Toc231830053"/>
      <w:r w:rsidRPr="00417E18">
        <w:rPr>
          <w:noProof/>
        </w:rPr>
        <w:t>2.</w:t>
      </w:r>
      <w:r w:rsidR="0A29A1EF" w:rsidRPr="00417E18">
        <w:rPr>
          <w:noProof/>
        </w:rPr>
        <w:t>1</w:t>
      </w:r>
      <w:r w:rsidRPr="00417E18">
        <w:rPr>
          <w:noProof/>
        </w:rPr>
        <w:t xml:space="preserve">.2 </w:t>
      </w:r>
      <w:r w:rsidR="4DB62358" w:rsidRPr="00417E18">
        <w:rPr>
          <w:noProof/>
        </w:rPr>
        <w:t>Quantum</w:t>
      </w:r>
      <w:bookmarkEnd w:id="19"/>
      <w:bookmarkEnd w:id="20"/>
      <w:bookmarkEnd w:id="21"/>
      <w:bookmarkEnd w:id="22"/>
    </w:p>
    <w:p w14:paraId="2EB25925" w14:textId="356B5E11" w:rsidR="0081697C" w:rsidRPr="00FA282D" w:rsidRDefault="0081697C" w:rsidP="0081697C">
      <w:pPr>
        <w:spacing w:before="0" w:after="160" w:line="259" w:lineRule="auto"/>
        <w:ind w:left="-142"/>
        <w:rPr>
          <w:noProof/>
          <w:sz w:val="22"/>
          <w:szCs w:val="22"/>
        </w:rPr>
      </w:pPr>
      <w:r w:rsidRPr="00417E18">
        <w:rPr>
          <w:noProof/>
          <w:sz w:val="22"/>
          <w:szCs w:val="22"/>
        </w:rPr>
        <w:t xml:space="preserve">The starting value for this KPI </w:t>
      </w:r>
      <w:r w:rsidR="004423CB" w:rsidRPr="07868930">
        <w:rPr>
          <w:noProof/>
          <w:sz w:val="22"/>
          <w:szCs w:val="22"/>
        </w:rPr>
        <w:t>was</w:t>
      </w:r>
      <w:r w:rsidRPr="00417E18">
        <w:rPr>
          <w:noProof/>
          <w:sz w:val="22"/>
          <w:szCs w:val="22"/>
        </w:rPr>
        <w:t xml:space="preserve"> 0 in 2022 </w:t>
      </w:r>
      <w:r w:rsidR="00BA196B">
        <w:rPr>
          <w:noProof/>
          <w:sz w:val="22"/>
          <w:szCs w:val="22"/>
        </w:rPr>
        <w:t xml:space="preserve">and </w:t>
      </w:r>
      <w:r w:rsidRPr="00417E18">
        <w:rPr>
          <w:noProof/>
          <w:sz w:val="22"/>
          <w:szCs w:val="22"/>
        </w:rPr>
        <w:t xml:space="preserve">it </w:t>
      </w:r>
      <w:r w:rsidRPr="00FA282D">
        <w:rPr>
          <w:noProof/>
          <w:sz w:val="22"/>
          <w:szCs w:val="22"/>
        </w:rPr>
        <w:t xml:space="preserve">reached and </w:t>
      </w:r>
      <w:r w:rsidR="004423CB" w:rsidRPr="00FA282D">
        <w:rPr>
          <w:noProof/>
          <w:sz w:val="22"/>
          <w:szCs w:val="22"/>
        </w:rPr>
        <w:t xml:space="preserve">surpassed </w:t>
      </w:r>
      <w:r w:rsidRPr="00FA282D">
        <w:rPr>
          <w:noProof/>
          <w:sz w:val="22"/>
          <w:szCs w:val="22"/>
        </w:rPr>
        <w:t>the target in 2024 as the first two quantum simulators were deployed in France and Germa</w:t>
      </w:r>
      <w:r w:rsidR="5A332370" w:rsidRPr="00FA282D">
        <w:rPr>
          <w:noProof/>
          <w:sz w:val="22"/>
          <w:szCs w:val="22"/>
        </w:rPr>
        <w:t>n</w:t>
      </w:r>
      <w:r w:rsidRPr="00FA282D">
        <w:rPr>
          <w:noProof/>
          <w:sz w:val="22"/>
          <w:szCs w:val="22"/>
        </w:rPr>
        <w:t>y, see trajectory (</w:t>
      </w:r>
      <w:r w:rsidR="00ED0079" w:rsidRPr="00FA282D">
        <w:rPr>
          <w:noProof/>
          <w:sz w:val="22"/>
          <w:szCs w:val="22"/>
        </w:rPr>
        <w:fldChar w:fldCharType="begin"/>
      </w:r>
      <w:r w:rsidR="00ED0079" w:rsidRPr="00FA282D">
        <w:rPr>
          <w:noProof/>
          <w:sz w:val="22"/>
          <w:szCs w:val="22"/>
        </w:rPr>
        <w:instrText xml:space="preserve"> REF _Ref229039130 \h </w:instrText>
      </w:r>
      <w:r w:rsidR="00FA282D">
        <w:rPr>
          <w:noProof/>
          <w:sz w:val="22"/>
          <w:szCs w:val="22"/>
        </w:rPr>
        <w:instrText xml:space="preserve"> \* MERGEFORMAT </w:instrText>
      </w:r>
      <w:r w:rsidR="00ED0079" w:rsidRPr="00FA282D">
        <w:rPr>
          <w:noProof/>
          <w:sz w:val="22"/>
          <w:szCs w:val="22"/>
        </w:rPr>
      </w:r>
      <w:r w:rsidR="00ED0079" w:rsidRPr="00FA282D">
        <w:rPr>
          <w:noProof/>
          <w:sz w:val="22"/>
          <w:szCs w:val="22"/>
        </w:rPr>
        <w:fldChar w:fldCharType="separate"/>
      </w:r>
      <w:r w:rsidR="00ED0079" w:rsidRPr="00FA282D">
        <w:rPr>
          <w:noProof/>
          <w:sz w:val="22"/>
          <w:szCs w:val="22"/>
          <w:u w:val="single"/>
        </w:rPr>
        <w:t>Figure 2</w:t>
      </w:r>
      <w:r w:rsidR="00ED0079" w:rsidRPr="00FA282D">
        <w:rPr>
          <w:noProof/>
          <w:sz w:val="22"/>
          <w:szCs w:val="22"/>
        </w:rPr>
        <w:fldChar w:fldCharType="end"/>
      </w:r>
      <w:r w:rsidRPr="00FA282D">
        <w:rPr>
          <w:noProof/>
          <w:sz w:val="22"/>
          <w:szCs w:val="22"/>
        </w:rPr>
        <w:t xml:space="preserve">). </w:t>
      </w:r>
      <w:r w:rsidR="00A2373D" w:rsidRPr="00FA282D">
        <w:rPr>
          <w:noProof/>
          <w:sz w:val="22"/>
          <w:szCs w:val="22"/>
        </w:rPr>
        <w:t>A</w:t>
      </w:r>
      <w:r w:rsidRPr="00FA282D">
        <w:rPr>
          <w:noProof/>
          <w:sz w:val="22"/>
          <w:szCs w:val="22"/>
        </w:rPr>
        <w:t xml:space="preserve">dditional quantum computers </w:t>
      </w:r>
      <w:r w:rsidR="00A2373D" w:rsidRPr="00FA282D">
        <w:rPr>
          <w:noProof/>
          <w:sz w:val="22"/>
          <w:szCs w:val="22"/>
        </w:rPr>
        <w:t>are expected to</w:t>
      </w:r>
      <w:r w:rsidRPr="00FA282D">
        <w:rPr>
          <w:noProof/>
          <w:sz w:val="22"/>
          <w:szCs w:val="22"/>
        </w:rPr>
        <w:t xml:space="preserve"> be deployed </w:t>
      </w:r>
      <w:r w:rsidR="00A2373D" w:rsidRPr="00FA282D">
        <w:rPr>
          <w:noProof/>
          <w:sz w:val="22"/>
          <w:szCs w:val="22"/>
        </w:rPr>
        <w:t xml:space="preserve">before </w:t>
      </w:r>
      <w:r w:rsidRPr="00FA282D">
        <w:rPr>
          <w:noProof/>
          <w:sz w:val="22"/>
          <w:szCs w:val="22"/>
        </w:rPr>
        <w:t xml:space="preserve">the end of </w:t>
      </w:r>
      <w:r w:rsidR="00D8295B" w:rsidRPr="00FA282D">
        <w:rPr>
          <w:noProof/>
          <w:sz w:val="22"/>
          <w:szCs w:val="22"/>
        </w:rPr>
        <w:t xml:space="preserve">the </w:t>
      </w:r>
      <w:r w:rsidRPr="00FA282D">
        <w:rPr>
          <w:noProof/>
          <w:sz w:val="22"/>
          <w:szCs w:val="22"/>
        </w:rPr>
        <w:t>decade</w:t>
      </w:r>
      <w:r w:rsidR="00D8295B" w:rsidRPr="00FA282D">
        <w:rPr>
          <w:noProof/>
          <w:sz w:val="22"/>
          <w:szCs w:val="22"/>
        </w:rPr>
        <w:t>,</w:t>
      </w:r>
      <w:r w:rsidRPr="00FA282D">
        <w:rPr>
          <w:noProof/>
          <w:sz w:val="22"/>
          <w:szCs w:val="22"/>
        </w:rPr>
        <w:t xml:space="preserve"> as several procurements are currently ongoing. </w:t>
      </w:r>
      <w:r w:rsidR="00D8295B" w:rsidRPr="00FA282D">
        <w:rPr>
          <w:noProof/>
          <w:sz w:val="22"/>
          <w:szCs w:val="22"/>
        </w:rPr>
        <w:t>Given</w:t>
      </w:r>
      <w:r w:rsidRPr="00FA282D">
        <w:rPr>
          <w:noProof/>
          <w:sz w:val="22"/>
          <w:szCs w:val="22"/>
        </w:rPr>
        <w:t xml:space="preserve"> the specific</w:t>
      </w:r>
      <w:r w:rsidR="00D8295B" w:rsidRPr="00FA282D">
        <w:rPr>
          <w:noProof/>
          <w:sz w:val="22"/>
          <w:szCs w:val="22"/>
        </w:rPr>
        <w:t xml:space="preserve"> nature </w:t>
      </w:r>
      <w:r w:rsidRPr="00FA282D">
        <w:rPr>
          <w:noProof/>
          <w:sz w:val="22"/>
          <w:szCs w:val="22"/>
        </w:rPr>
        <w:t xml:space="preserve">of this target, no baseline trajectory </w:t>
      </w:r>
      <w:r w:rsidR="00456572" w:rsidRPr="00FA282D">
        <w:rPr>
          <w:noProof/>
          <w:sz w:val="22"/>
          <w:szCs w:val="22"/>
        </w:rPr>
        <w:t xml:space="preserve">has been </w:t>
      </w:r>
      <w:r w:rsidRPr="00FA282D">
        <w:rPr>
          <w:noProof/>
          <w:sz w:val="22"/>
          <w:szCs w:val="22"/>
        </w:rPr>
        <w:t>established.</w:t>
      </w:r>
    </w:p>
    <w:p w14:paraId="77B70579" w14:textId="6F3FEBDB" w:rsidR="002F53DC" w:rsidRPr="00417E18" w:rsidRDefault="2ADCCDB7" w:rsidP="0081697C">
      <w:pPr>
        <w:spacing w:before="0" w:after="160" w:line="259" w:lineRule="auto"/>
        <w:ind w:left="-142"/>
        <w:rPr>
          <w:noProof/>
          <w:sz w:val="22"/>
          <w:szCs w:val="22"/>
        </w:rPr>
      </w:pPr>
      <w:r w:rsidRPr="1F6B507D">
        <w:rPr>
          <w:noProof/>
          <w:sz w:val="22"/>
          <w:szCs w:val="22"/>
        </w:rPr>
        <w:t>In their National Roadmaps, Member States reported investing EUR 4.1 billion in quantum computing (1</w:t>
      </w:r>
      <w:r w:rsidR="232FB3DE" w:rsidRPr="1F6B507D">
        <w:rPr>
          <w:noProof/>
          <w:sz w:val="22"/>
          <w:szCs w:val="22"/>
        </w:rPr>
        <w:t>.4</w:t>
      </w:r>
      <w:r w:rsidRPr="1F6B507D">
        <w:rPr>
          <w:noProof/>
          <w:sz w:val="22"/>
          <w:szCs w:val="22"/>
        </w:rPr>
        <w:t xml:space="preserve">% of the total budget of the National Roadmaps), of which EUR </w:t>
      </w:r>
      <w:r w:rsidR="248BFA39" w:rsidRPr="1F6B507D">
        <w:rPr>
          <w:noProof/>
          <w:sz w:val="22"/>
          <w:szCs w:val="22"/>
        </w:rPr>
        <w:t>35</w:t>
      </w:r>
      <w:r w:rsidRPr="1F6B507D">
        <w:rPr>
          <w:noProof/>
          <w:sz w:val="22"/>
          <w:szCs w:val="22"/>
        </w:rPr>
        <w:t xml:space="preserve">8 </w:t>
      </w:r>
      <w:r w:rsidR="3C9DA93D" w:rsidRPr="1F6B507D">
        <w:rPr>
          <w:noProof/>
          <w:sz w:val="22"/>
          <w:szCs w:val="22"/>
        </w:rPr>
        <w:t>m</w:t>
      </w:r>
      <w:r w:rsidRPr="1F6B507D">
        <w:rPr>
          <w:noProof/>
          <w:sz w:val="22"/>
          <w:szCs w:val="22"/>
        </w:rPr>
        <w:t>illion come</w:t>
      </w:r>
      <w:r w:rsidR="50A7828D" w:rsidRPr="1F6B507D">
        <w:rPr>
          <w:noProof/>
          <w:sz w:val="22"/>
          <w:szCs w:val="22"/>
        </w:rPr>
        <w:t>s</w:t>
      </w:r>
      <w:r w:rsidRPr="1F6B507D">
        <w:rPr>
          <w:noProof/>
          <w:sz w:val="22"/>
          <w:szCs w:val="22"/>
        </w:rPr>
        <w:t xml:space="preserve"> from private sources. The 6</w:t>
      </w:r>
      <w:r w:rsidR="2896E02E" w:rsidRPr="1F6B507D">
        <w:rPr>
          <w:noProof/>
          <w:sz w:val="22"/>
          <w:szCs w:val="22"/>
        </w:rPr>
        <w:t>2</w:t>
      </w:r>
      <w:r w:rsidRPr="1F6B507D">
        <w:rPr>
          <w:noProof/>
          <w:sz w:val="22"/>
          <w:szCs w:val="22"/>
        </w:rPr>
        <w:t xml:space="preserve"> measures reported mainly focus on supporting R&amp;D and </w:t>
      </w:r>
      <w:r w:rsidR="38FA62A1" w:rsidRPr="1F6B507D">
        <w:rPr>
          <w:noProof/>
          <w:sz w:val="22"/>
          <w:szCs w:val="22"/>
        </w:rPr>
        <w:t xml:space="preserve">the </w:t>
      </w:r>
      <w:r w:rsidRPr="1F6B507D">
        <w:rPr>
          <w:noProof/>
          <w:sz w:val="22"/>
          <w:szCs w:val="22"/>
        </w:rPr>
        <w:t>deploy</w:t>
      </w:r>
      <w:r w:rsidR="38FA62A1" w:rsidRPr="1F6B507D">
        <w:rPr>
          <w:noProof/>
          <w:sz w:val="22"/>
          <w:szCs w:val="22"/>
        </w:rPr>
        <w:t>ment</w:t>
      </w:r>
      <w:r w:rsidR="0AFE9F5F" w:rsidRPr="1F6B507D">
        <w:rPr>
          <w:noProof/>
          <w:sz w:val="22"/>
          <w:szCs w:val="22"/>
        </w:rPr>
        <w:t xml:space="preserve"> of</w:t>
      </w:r>
      <w:r w:rsidRPr="1F6B507D">
        <w:rPr>
          <w:noProof/>
          <w:sz w:val="22"/>
          <w:szCs w:val="22"/>
        </w:rPr>
        <w:t xml:space="preserve"> quantum technologies, with roughly one third of the measures dedicated to each area. In their adjustments, Member States primarily focused on R&amp;D for quantum technologies.</w:t>
      </w:r>
    </w:p>
    <w:p w14:paraId="42700C8A" w14:textId="77777777" w:rsidR="00ED0079" w:rsidRDefault="0081697C" w:rsidP="00ED0079">
      <w:pPr>
        <w:keepNext/>
        <w:spacing w:after="120" w:line="240" w:lineRule="auto"/>
        <w:rPr>
          <w:noProof/>
        </w:rPr>
      </w:pPr>
      <w:r w:rsidRPr="00417E18">
        <w:rPr>
          <w:rFonts w:ascii="Times New Roman" w:eastAsia="Times New Roman" w:hAnsi="Times New Roman" w:cs="Times New Roman"/>
          <w:noProof/>
          <w:szCs w:val="20"/>
          <w:lang w:eastAsia="en-GB"/>
        </w:rPr>
        <w:drawing>
          <wp:inline distT="0" distB="0" distL="0" distR="0" wp14:anchorId="3110649D" wp14:editId="5CF097E0">
            <wp:extent cx="5943600" cy="3690620"/>
            <wp:effectExtent l="0" t="0" r="0" b="5080"/>
            <wp:docPr id="1368120090" name="Chart 1">
              <a:extLst xmlns:a="http://schemas.openxmlformats.org/drawingml/2006/main">
                <a:ext uri="{FF2B5EF4-FFF2-40B4-BE49-F238E27FC236}">
                  <a16:creationId xmlns:a16="http://schemas.microsoft.com/office/drawing/2014/main" id="{FEE9057F-2FD9-4A01-B7A9-797070BE51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BA07F2C" w14:textId="4561155D" w:rsidR="0081697C" w:rsidRPr="00417E18" w:rsidRDefault="00ED0079" w:rsidP="00ED0079">
      <w:pPr>
        <w:pStyle w:val="Caption"/>
        <w:rPr>
          <w:noProof/>
        </w:rPr>
      </w:pPr>
      <w:bookmarkStart w:id="23" w:name="_Ref229039130"/>
      <w:r w:rsidRPr="00ED0079">
        <w:rPr>
          <w:noProof/>
          <w:u w:val="single"/>
        </w:rPr>
        <w:t xml:space="preserve">Figure </w:t>
      </w:r>
      <w:r w:rsidRPr="00ED0079">
        <w:rPr>
          <w:noProof/>
          <w:u w:val="single"/>
        </w:rPr>
        <w:fldChar w:fldCharType="begin"/>
      </w:r>
      <w:r w:rsidRPr="00ED0079">
        <w:rPr>
          <w:noProof/>
          <w:u w:val="single"/>
        </w:rPr>
        <w:instrText xml:space="preserve"> SEQ Figure \* ARABIC </w:instrText>
      </w:r>
      <w:r w:rsidRPr="00ED0079">
        <w:rPr>
          <w:noProof/>
          <w:u w:val="single"/>
        </w:rPr>
        <w:fldChar w:fldCharType="separate"/>
      </w:r>
      <w:r>
        <w:rPr>
          <w:noProof/>
          <w:u w:val="single"/>
        </w:rPr>
        <w:t>2</w:t>
      </w:r>
      <w:r w:rsidRPr="00ED0079">
        <w:rPr>
          <w:noProof/>
          <w:u w:val="single"/>
        </w:rPr>
        <w:fldChar w:fldCharType="end"/>
      </w:r>
      <w:bookmarkEnd w:id="23"/>
      <w:r w:rsidR="007B6296">
        <w:rPr>
          <w:noProof/>
        </w:rPr>
        <w:t>:</w:t>
      </w:r>
      <w:r>
        <w:rPr>
          <w:noProof/>
        </w:rPr>
        <w:t xml:space="preserve"> </w:t>
      </w:r>
      <w:r w:rsidRPr="00D56705">
        <w:rPr>
          <w:noProof/>
        </w:rPr>
        <w:t>Number of quantum computers in the EU. Trajectory towards 2030</w:t>
      </w:r>
      <w:r w:rsidR="005B1E39">
        <w:rPr>
          <w:noProof/>
        </w:rPr>
        <w:t>.</w:t>
      </w:r>
    </w:p>
    <w:p w14:paraId="65E512CC" w14:textId="1296286E" w:rsidR="003A53C2" w:rsidRPr="00417E18" w:rsidRDefault="00B0539B" w:rsidP="1CBA57D8">
      <w:pPr>
        <w:spacing w:before="200" w:line="276" w:lineRule="auto"/>
        <w:rPr>
          <w:noProof/>
          <w:sz w:val="22"/>
          <w:szCs w:val="22"/>
        </w:rPr>
      </w:pPr>
      <w:r w:rsidRPr="00417E18">
        <w:rPr>
          <w:noProof/>
          <w:sz w:val="22"/>
          <w:szCs w:val="22"/>
        </w:rPr>
        <w:t>The target for the Quantum KPI has been reached and the KPI has currently a value of 6</w:t>
      </w:r>
      <w:r w:rsidR="008D1337" w:rsidRPr="00417E18">
        <w:rPr>
          <w:noProof/>
          <w:sz w:val="22"/>
          <w:szCs w:val="22"/>
        </w:rPr>
        <w:t xml:space="preserve">, expecting to reach 10 </w:t>
      </w:r>
      <w:r w:rsidR="003909F7" w:rsidRPr="00417E18">
        <w:rPr>
          <w:noProof/>
          <w:sz w:val="22"/>
          <w:szCs w:val="22"/>
        </w:rPr>
        <w:t>by the end of the decade.</w:t>
      </w:r>
    </w:p>
    <w:p w14:paraId="32AE5F78" w14:textId="5921AFF0" w:rsidR="000810E0" w:rsidRPr="00417E18" w:rsidRDefault="002550D9" w:rsidP="1CBA57D8">
      <w:pPr>
        <w:spacing w:before="200" w:line="276" w:lineRule="auto"/>
        <w:rPr>
          <w:noProof/>
          <w:sz w:val="22"/>
          <w:szCs w:val="22"/>
        </w:rPr>
      </w:pPr>
      <w:r w:rsidRPr="00417E18">
        <w:rPr>
          <w:noProof/>
          <w:sz w:val="22"/>
          <w:szCs w:val="22"/>
        </w:rPr>
        <w:t xml:space="preserve">The </w:t>
      </w:r>
      <w:r w:rsidR="00B12E5E" w:rsidRPr="00417E18">
        <w:rPr>
          <w:noProof/>
          <w:sz w:val="22"/>
          <w:szCs w:val="22"/>
        </w:rPr>
        <w:t xml:space="preserve">main challenge </w:t>
      </w:r>
      <w:r w:rsidR="009D65C5" w:rsidRPr="00417E18">
        <w:rPr>
          <w:noProof/>
          <w:sz w:val="22"/>
          <w:szCs w:val="22"/>
        </w:rPr>
        <w:t xml:space="preserve">for the EU in this area </w:t>
      </w:r>
      <w:r w:rsidR="00B12E5E" w:rsidRPr="00417E18">
        <w:rPr>
          <w:noProof/>
          <w:sz w:val="22"/>
          <w:szCs w:val="22"/>
        </w:rPr>
        <w:t xml:space="preserve">remains </w:t>
      </w:r>
      <w:r w:rsidR="0066776E" w:rsidRPr="00417E18">
        <w:rPr>
          <w:noProof/>
          <w:sz w:val="22"/>
          <w:szCs w:val="22"/>
        </w:rPr>
        <w:t>fragmentation</w:t>
      </w:r>
      <w:r w:rsidR="009D65C5" w:rsidRPr="00417E18">
        <w:rPr>
          <w:noProof/>
          <w:sz w:val="22"/>
          <w:szCs w:val="22"/>
        </w:rPr>
        <w:t xml:space="preserve">. </w:t>
      </w:r>
      <w:r w:rsidR="00594E1E" w:rsidRPr="00417E18">
        <w:rPr>
          <w:noProof/>
          <w:sz w:val="22"/>
          <w:szCs w:val="22"/>
        </w:rPr>
        <w:t>Globally</w:t>
      </w:r>
      <w:r w:rsidR="004A614C" w:rsidRPr="00417E18">
        <w:rPr>
          <w:noProof/>
          <w:sz w:val="22"/>
          <w:szCs w:val="22"/>
        </w:rPr>
        <w:t>, in 2025,</w:t>
      </w:r>
      <w:r w:rsidR="00594E1E" w:rsidRPr="00417E18">
        <w:rPr>
          <w:noProof/>
          <w:sz w:val="22"/>
          <w:szCs w:val="22"/>
        </w:rPr>
        <w:t xml:space="preserve"> </w:t>
      </w:r>
      <w:r w:rsidR="006F2BF0" w:rsidRPr="00417E18">
        <w:rPr>
          <w:noProof/>
          <w:sz w:val="22"/>
          <w:szCs w:val="22"/>
        </w:rPr>
        <w:t xml:space="preserve">it is estimated that </w:t>
      </w:r>
      <w:r w:rsidR="00594E1E" w:rsidRPr="00417E18">
        <w:rPr>
          <w:noProof/>
          <w:sz w:val="22"/>
          <w:szCs w:val="22"/>
        </w:rPr>
        <w:t xml:space="preserve">there </w:t>
      </w:r>
      <w:r w:rsidR="004A614C" w:rsidRPr="00417E18">
        <w:rPr>
          <w:noProof/>
          <w:sz w:val="22"/>
          <w:szCs w:val="22"/>
        </w:rPr>
        <w:t>were</w:t>
      </w:r>
      <w:r w:rsidR="00594E1E" w:rsidRPr="00417E18">
        <w:rPr>
          <w:noProof/>
          <w:sz w:val="22"/>
          <w:szCs w:val="22"/>
        </w:rPr>
        <w:t xml:space="preserve"> more than 100 quantum</w:t>
      </w:r>
      <w:r w:rsidR="004A614C" w:rsidRPr="00417E18">
        <w:rPr>
          <w:noProof/>
          <w:sz w:val="22"/>
          <w:szCs w:val="22"/>
        </w:rPr>
        <w:t xml:space="preserve"> computers</w:t>
      </w:r>
      <w:r w:rsidR="006F2BF0" w:rsidRPr="00417E18">
        <w:rPr>
          <w:rStyle w:val="FootnoteReference"/>
          <w:noProof/>
          <w:sz w:val="22"/>
          <w:szCs w:val="22"/>
        </w:rPr>
        <w:footnoteReference w:id="6"/>
      </w:r>
      <w:r w:rsidR="004A614C" w:rsidRPr="00417E18">
        <w:rPr>
          <w:noProof/>
          <w:sz w:val="22"/>
          <w:szCs w:val="22"/>
        </w:rPr>
        <w:t>.</w:t>
      </w:r>
      <w:r w:rsidR="00594E1E" w:rsidRPr="00417E18">
        <w:rPr>
          <w:noProof/>
          <w:sz w:val="22"/>
          <w:szCs w:val="22"/>
        </w:rPr>
        <w:t xml:space="preserve"> </w:t>
      </w:r>
      <w:r w:rsidR="00886719" w:rsidRPr="00417E18">
        <w:rPr>
          <w:noProof/>
          <w:sz w:val="22"/>
          <w:szCs w:val="22"/>
        </w:rPr>
        <w:t xml:space="preserve">Europe </w:t>
      </w:r>
      <w:r w:rsidR="00E04AA0">
        <w:rPr>
          <w:noProof/>
          <w:sz w:val="22"/>
          <w:szCs w:val="22"/>
        </w:rPr>
        <w:t>overall</w:t>
      </w:r>
      <w:r w:rsidR="00886719" w:rsidRPr="00417E18">
        <w:rPr>
          <w:noProof/>
          <w:sz w:val="22"/>
          <w:szCs w:val="22"/>
        </w:rPr>
        <w:t xml:space="preserve"> hosts </w:t>
      </w:r>
      <w:r w:rsidR="00341F45" w:rsidRPr="00417E18">
        <w:rPr>
          <w:noProof/>
          <w:sz w:val="22"/>
          <w:szCs w:val="22"/>
        </w:rPr>
        <w:t>around 40</w:t>
      </w:r>
      <w:r w:rsidR="001F7906">
        <w:rPr>
          <w:noProof/>
          <w:sz w:val="22"/>
          <w:szCs w:val="22"/>
        </w:rPr>
        <w:t>%</w:t>
      </w:r>
      <w:r w:rsidR="00341F45" w:rsidRPr="00417E18">
        <w:rPr>
          <w:noProof/>
          <w:sz w:val="22"/>
          <w:szCs w:val="22"/>
        </w:rPr>
        <w:t xml:space="preserve"> of these systems distributed across more than 20 vendors</w:t>
      </w:r>
      <w:r w:rsidR="008E19F8" w:rsidRPr="00417E18">
        <w:rPr>
          <w:noProof/>
          <w:sz w:val="22"/>
          <w:szCs w:val="22"/>
        </w:rPr>
        <w:t>.</w:t>
      </w:r>
      <w:r w:rsidR="000810E0" w:rsidRPr="00417E18">
        <w:rPr>
          <w:noProof/>
          <w:sz w:val="22"/>
          <w:szCs w:val="22"/>
        </w:rPr>
        <w:t xml:space="preserve"> </w:t>
      </w:r>
      <w:r w:rsidR="00A50FC7" w:rsidRPr="00417E18">
        <w:rPr>
          <w:noProof/>
          <w:sz w:val="22"/>
          <w:szCs w:val="22"/>
        </w:rPr>
        <w:t>However,</w:t>
      </w:r>
      <w:r w:rsidR="000810E0" w:rsidRPr="00417E18">
        <w:rPr>
          <w:noProof/>
          <w:sz w:val="22"/>
          <w:szCs w:val="22"/>
        </w:rPr>
        <w:t xml:space="preserve"> </w:t>
      </w:r>
      <w:r w:rsidR="00B80EF8" w:rsidRPr="00417E18">
        <w:rPr>
          <w:noProof/>
          <w:sz w:val="22"/>
          <w:szCs w:val="22"/>
        </w:rPr>
        <w:t xml:space="preserve">all these systems are </w:t>
      </w:r>
      <w:r w:rsidR="0037212D" w:rsidRPr="00417E18">
        <w:rPr>
          <w:b/>
          <w:bCs/>
          <w:noProof/>
          <w:sz w:val="22"/>
          <w:szCs w:val="22"/>
        </w:rPr>
        <w:t>Noisy intermediate-scale quantum (NISQ</w:t>
      </w:r>
      <w:r w:rsidR="0037212D" w:rsidRPr="00417E18">
        <w:rPr>
          <w:noProof/>
          <w:sz w:val="22"/>
          <w:szCs w:val="22"/>
        </w:rPr>
        <w:t>) </w:t>
      </w:r>
      <w:r w:rsidR="00934FC7" w:rsidRPr="00417E18">
        <w:rPr>
          <w:noProof/>
          <w:sz w:val="22"/>
          <w:szCs w:val="22"/>
        </w:rPr>
        <w:t>syst</w:t>
      </w:r>
      <w:r w:rsidR="00982BDA" w:rsidRPr="00417E18">
        <w:rPr>
          <w:noProof/>
          <w:sz w:val="22"/>
          <w:szCs w:val="22"/>
        </w:rPr>
        <w:t>e</w:t>
      </w:r>
      <w:r w:rsidR="00934FC7" w:rsidRPr="00417E18">
        <w:rPr>
          <w:noProof/>
          <w:sz w:val="22"/>
          <w:szCs w:val="22"/>
        </w:rPr>
        <w:t>m</w:t>
      </w:r>
      <w:r w:rsidR="00982BDA" w:rsidRPr="00417E18">
        <w:rPr>
          <w:noProof/>
          <w:sz w:val="22"/>
          <w:szCs w:val="22"/>
        </w:rPr>
        <w:t xml:space="preserve">s </w:t>
      </w:r>
      <w:r w:rsidR="006A7E70" w:rsidRPr="00417E18">
        <w:rPr>
          <w:noProof/>
          <w:sz w:val="22"/>
          <w:szCs w:val="22"/>
        </w:rPr>
        <w:t>with a low number of qubits (</w:t>
      </w:r>
      <w:r w:rsidR="007440CC" w:rsidRPr="00417E18">
        <w:rPr>
          <w:noProof/>
          <w:sz w:val="22"/>
          <w:szCs w:val="22"/>
        </w:rPr>
        <w:t xml:space="preserve">&lt; 1000) and </w:t>
      </w:r>
      <w:r w:rsidR="00EE0F0F" w:rsidRPr="00417E18">
        <w:rPr>
          <w:noProof/>
          <w:sz w:val="22"/>
          <w:szCs w:val="22"/>
        </w:rPr>
        <w:t xml:space="preserve">error rates </w:t>
      </w:r>
      <w:r w:rsidR="00CE3777">
        <w:rPr>
          <w:noProof/>
          <w:sz w:val="22"/>
          <w:szCs w:val="22"/>
        </w:rPr>
        <w:t>that</w:t>
      </w:r>
      <w:r w:rsidR="00CE3777" w:rsidRPr="00417E18">
        <w:rPr>
          <w:noProof/>
          <w:sz w:val="22"/>
          <w:szCs w:val="22"/>
        </w:rPr>
        <w:t xml:space="preserve"> </w:t>
      </w:r>
      <w:r w:rsidR="00EE0F0F" w:rsidRPr="00417E18">
        <w:rPr>
          <w:noProof/>
          <w:sz w:val="22"/>
          <w:szCs w:val="22"/>
        </w:rPr>
        <w:t xml:space="preserve">do not </w:t>
      </w:r>
      <w:r w:rsidR="00C8645A" w:rsidRPr="00417E18">
        <w:rPr>
          <w:noProof/>
          <w:sz w:val="22"/>
          <w:szCs w:val="22"/>
        </w:rPr>
        <w:t>allow</w:t>
      </w:r>
      <w:r w:rsidR="00EE0F0F" w:rsidRPr="00417E18">
        <w:rPr>
          <w:noProof/>
          <w:sz w:val="22"/>
          <w:szCs w:val="22"/>
        </w:rPr>
        <w:t xml:space="preserve"> </w:t>
      </w:r>
      <w:r w:rsidR="002A4E26" w:rsidRPr="00417E18">
        <w:rPr>
          <w:noProof/>
          <w:sz w:val="22"/>
          <w:szCs w:val="22"/>
        </w:rPr>
        <w:t xml:space="preserve">computations </w:t>
      </w:r>
      <w:r w:rsidR="00CE3777">
        <w:rPr>
          <w:noProof/>
          <w:sz w:val="22"/>
          <w:szCs w:val="22"/>
        </w:rPr>
        <w:t>demonstrating</w:t>
      </w:r>
      <w:r w:rsidR="004E4FD8">
        <w:rPr>
          <w:noProof/>
          <w:sz w:val="22"/>
          <w:szCs w:val="22"/>
        </w:rPr>
        <w:t xml:space="preserve"> a clear</w:t>
      </w:r>
      <w:r w:rsidR="002A4E26" w:rsidRPr="00417E18">
        <w:rPr>
          <w:noProof/>
          <w:sz w:val="22"/>
          <w:szCs w:val="22"/>
        </w:rPr>
        <w:t xml:space="preserve"> quantum advantage.</w:t>
      </w:r>
    </w:p>
    <w:p w14:paraId="20FF4BA3" w14:textId="01694B1B" w:rsidR="00126FF5" w:rsidRPr="00417E18" w:rsidRDefault="000810E0" w:rsidP="1CBA57D8">
      <w:pPr>
        <w:spacing w:before="200" w:line="276" w:lineRule="auto"/>
        <w:rPr>
          <w:noProof/>
          <w:sz w:val="22"/>
          <w:szCs w:val="22"/>
        </w:rPr>
      </w:pPr>
      <w:r w:rsidRPr="00417E18">
        <w:rPr>
          <w:noProof/>
          <w:sz w:val="22"/>
          <w:szCs w:val="22"/>
        </w:rPr>
        <w:t>For</w:t>
      </w:r>
      <w:r w:rsidR="001A4471" w:rsidRPr="00417E18">
        <w:rPr>
          <w:noProof/>
          <w:sz w:val="22"/>
          <w:szCs w:val="22"/>
        </w:rPr>
        <w:t xml:space="preserve"> the EU to lead </w:t>
      </w:r>
      <w:r w:rsidR="00562F33" w:rsidRPr="00417E18">
        <w:rPr>
          <w:noProof/>
          <w:sz w:val="22"/>
          <w:szCs w:val="22"/>
        </w:rPr>
        <w:t>in this field</w:t>
      </w:r>
      <w:r w:rsidR="002A7EBA" w:rsidRPr="00417E18">
        <w:rPr>
          <w:noProof/>
          <w:sz w:val="22"/>
          <w:szCs w:val="22"/>
        </w:rPr>
        <w:t xml:space="preserve">, </w:t>
      </w:r>
      <w:r w:rsidR="00B36BA2" w:rsidRPr="00417E18">
        <w:rPr>
          <w:noProof/>
          <w:sz w:val="22"/>
          <w:szCs w:val="22"/>
        </w:rPr>
        <w:t>M</w:t>
      </w:r>
      <w:r w:rsidR="001B3DAF" w:rsidRPr="00417E18">
        <w:rPr>
          <w:noProof/>
          <w:sz w:val="22"/>
          <w:szCs w:val="22"/>
        </w:rPr>
        <w:t xml:space="preserve">ember </w:t>
      </w:r>
      <w:r w:rsidR="00B36BA2" w:rsidRPr="00417E18">
        <w:rPr>
          <w:noProof/>
          <w:sz w:val="22"/>
          <w:szCs w:val="22"/>
        </w:rPr>
        <w:t>S</w:t>
      </w:r>
      <w:r w:rsidR="001B3DAF" w:rsidRPr="00417E18">
        <w:rPr>
          <w:noProof/>
          <w:sz w:val="22"/>
          <w:szCs w:val="22"/>
        </w:rPr>
        <w:t>tates</w:t>
      </w:r>
      <w:r w:rsidR="00B36BA2" w:rsidRPr="00417E18">
        <w:rPr>
          <w:noProof/>
          <w:sz w:val="22"/>
          <w:szCs w:val="22"/>
        </w:rPr>
        <w:t xml:space="preserve"> </w:t>
      </w:r>
      <w:r w:rsidR="00F93D5D">
        <w:rPr>
          <w:noProof/>
          <w:sz w:val="22"/>
          <w:szCs w:val="22"/>
        </w:rPr>
        <w:t xml:space="preserve">need to </w:t>
      </w:r>
      <w:r w:rsidR="00A50FC7" w:rsidRPr="00417E18">
        <w:rPr>
          <w:noProof/>
          <w:sz w:val="22"/>
          <w:szCs w:val="22"/>
        </w:rPr>
        <w:t>coordinate</w:t>
      </w:r>
      <w:r w:rsidR="00BE22A6" w:rsidRPr="00417E18">
        <w:rPr>
          <w:noProof/>
          <w:sz w:val="22"/>
          <w:szCs w:val="22"/>
        </w:rPr>
        <w:t xml:space="preserve"> their efforts and investments </w:t>
      </w:r>
      <w:r w:rsidR="00BE22A6" w:rsidRPr="00417E18" w:rsidDel="004F40E2">
        <w:rPr>
          <w:noProof/>
          <w:sz w:val="22"/>
          <w:szCs w:val="22"/>
        </w:rPr>
        <w:t xml:space="preserve">to </w:t>
      </w:r>
      <w:r w:rsidR="00A7311A">
        <w:rPr>
          <w:noProof/>
          <w:sz w:val="22"/>
          <w:szCs w:val="22"/>
        </w:rPr>
        <w:t xml:space="preserve">support the </w:t>
      </w:r>
      <w:r w:rsidR="009A7C4E" w:rsidRPr="00417E18">
        <w:rPr>
          <w:noProof/>
          <w:sz w:val="22"/>
          <w:szCs w:val="22"/>
        </w:rPr>
        <w:t>scaling up</w:t>
      </w:r>
      <w:r w:rsidR="00A7311A">
        <w:rPr>
          <w:noProof/>
          <w:sz w:val="22"/>
          <w:szCs w:val="22"/>
        </w:rPr>
        <w:t xml:space="preserve"> of</w:t>
      </w:r>
      <w:r w:rsidR="009A7C4E" w:rsidRPr="00417E18">
        <w:rPr>
          <w:noProof/>
          <w:sz w:val="22"/>
          <w:szCs w:val="22"/>
        </w:rPr>
        <w:t xml:space="preserve"> th</w:t>
      </w:r>
      <w:r w:rsidR="00A7311A">
        <w:rPr>
          <w:noProof/>
          <w:sz w:val="22"/>
          <w:szCs w:val="22"/>
        </w:rPr>
        <w:t>e</w:t>
      </w:r>
      <w:r w:rsidR="009A7C4E" w:rsidRPr="00417E18">
        <w:rPr>
          <w:noProof/>
          <w:sz w:val="22"/>
          <w:szCs w:val="22"/>
        </w:rPr>
        <w:t xml:space="preserve"> technology.</w:t>
      </w:r>
      <w:r w:rsidR="00F17581" w:rsidRPr="00417E18">
        <w:rPr>
          <w:noProof/>
          <w:sz w:val="22"/>
          <w:szCs w:val="22"/>
        </w:rPr>
        <w:t xml:space="preserve"> </w:t>
      </w:r>
      <w:r w:rsidR="006362D5">
        <w:rPr>
          <w:noProof/>
          <w:sz w:val="22"/>
          <w:szCs w:val="22"/>
        </w:rPr>
        <w:t>B</w:t>
      </w:r>
      <w:r w:rsidR="00F17581" w:rsidRPr="00417E18">
        <w:rPr>
          <w:noProof/>
          <w:sz w:val="22"/>
          <w:szCs w:val="22"/>
        </w:rPr>
        <w:t xml:space="preserve">uilding a </w:t>
      </w:r>
      <w:r w:rsidR="001447B0" w:rsidRPr="00417E18">
        <w:rPr>
          <w:noProof/>
          <w:sz w:val="22"/>
          <w:szCs w:val="22"/>
        </w:rPr>
        <w:t xml:space="preserve">fault-tolerant </w:t>
      </w:r>
      <w:r w:rsidR="00F17581" w:rsidRPr="00417E18">
        <w:rPr>
          <w:noProof/>
          <w:sz w:val="22"/>
          <w:szCs w:val="22"/>
        </w:rPr>
        <w:t xml:space="preserve">quantum computer </w:t>
      </w:r>
      <w:r w:rsidR="00C8645A" w:rsidRPr="00417E18">
        <w:rPr>
          <w:noProof/>
          <w:sz w:val="22"/>
          <w:szCs w:val="22"/>
        </w:rPr>
        <w:t>(FTQC)</w:t>
      </w:r>
      <w:r w:rsidR="004952C0" w:rsidRPr="00417E18">
        <w:rPr>
          <w:noProof/>
          <w:sz w:val="22"/>
          <w:szCs w:val="22"/>
        </w:rPr>
        <w:t>,</w:t>
      </w:r>
      <w:r w:rsidR="00461E72">
        <w:rPr>
          <w:noProof/>
          <w:sz w:val="22"/>
          <w:szCs w:val="22"/>
        </w:rPr>
        <w:t xml:space="preserve"> will require a very substantial investment by</w:t>
      </w:r>
      <w:r w:rsidR="004952C0" w:rsidRPr="00417E18">
        <w:rPr>
          <w:noProof/>
          <w:sz w:val="22"/>
          <w:szCs w:val="22"/>
        </w:rPr>
        <w:t xml:space="preserve"> the EU and </w:t>
      </w:r>
      <w:r w:rsidR="00461E72">
        <w:rPr>
          <w:noProof/>
          <w:sz w:val="22"/>
          <w:szCs w:val="22"/>
        </w:rPr>
        <w:t xml:space="preserve">the </w:t>
      </w:r>
      <w:r w:rsidR="004952C0" w:rsidRPr="00417E18">
        <w:rPr>
          <w:noProof/>
          <w:sz w:val="22"/>
          <w:szCs w:val="22"/>
        </w:rPr>
        <w:t>MS</w:t>
      </w:r>
      <w:r w:rsidR="00461E72">
        <w:rPr>
          <w:noProof/>
          <w:sz w:val="22"/>
          <w:szCs w:val="22"/>
        </w:rPr>
        <w:t>s</w:t>
      </w:r>
      <w:r w:rsidR="004952C0" w:rsidRPr="00417E18" w:rsidDel="00461E72">
        <w:rPr>
          <w:noProof/>
          <w:sz w:val="22"/>
          <w:szCs w:val="22"/>
        </w:rPr>
        <w:t xml:space="preserve"> </w:t>
      </w:r>
      <w:r w:rsidR="004952C0" w:rsidRPr="00417E18">
        <w:rPr>
          <w:noProof/>
          <w:sz w:val="22"/>
          <w:szCs w:val="22"/>
        </w:rPr>
        <w:t>(hundreds of millions EUR</w:t>
      </w:r>
      <w:r w:rsidR="005C38E7" w:rsidRPr="00417E18">
        <w:rPr>
          <w:rStyle w:val="FootnoteReference"/>
          <w:noProof/>
          <w:sz w:val="22"/>
          <w:szCs w:val="22"/>
        </w:rPr>
        <w:footnoteReference w:id="7"/>
      </w:r>
      <w:r w:rsidR="00925A09">
        <w:rPr>
          <w:noProof/>
          <w:sz w:val="22"/>
          <w:szCs w:val="22"/>
        </w:rPr>
        <w:t>)</w:t>
      </w:r>
      <w:r w:rsidR="00F54C4F">
        <w:rPr>
          <w:noProof/>
          <w:sz w:val="22"/>
          <w:szCs w:val="22"/>
        </w:rPr>
        <w:t>, together with</w:t>
      </w:r>
      <w:r w:rsidR="00A810AD">
        <w:rPr>
          <w:noProof/>
          <w:sz w:val="22"/>
          <w:szCs w:val="22"/>
        </w:rPr>
        <w:t xml:space="preserve"> </w:t>
      </w:r>
      <w:r w:rsidR="003F7B61">
        <w:rPr>
          <w:noProof/>
          <w:sz w:val="22"/>
          <w:szCs w:val="22"/>
        </w:rPr>
        <w:t xml:space="preserve">private </w:t>
      </w:r>
      <w:r w:rsidR="00A810AD">
        <w:rPr>
          <w:noProof/>
          <w:sz w:val="22"/>
          <w:szCs w:val="22"/>
        </w:rPr>
        <w:t xml:space="preserve">and </w:t>
      </w:r>
      <w:r w:rsidR="003F7B61">
        <w:rPr>
          <w:noProof/>
          <w:sz w:val="22"/>
          <w:szCs w:val="22"/>
        </w:rPr>
        <w:t>venture</w:t>
      </w:r>
      <w:r w:rsidR="00A810AD">
        <w:rPr>
          <w:noProof/>
          <w:sz w:val="22"/>
          <w:szCs w:val="22"/>
        </w:rPr>
        <w:t xml:space="preserve"> capital</w:t>
      </w:r>
      <w:r w:rsidR="3B8A83E5" w:rsidRPr="00417E18">
        <w:rPr>
          <w:noProof/>
          <w:sz w:val="22"/>
          <w:szCs w:val="22"/>
        </w:rPr>
        <w:t>.</w:t>
      </w:r>
      <w:r w:rsidR="00BC2F25">
        <w:rPr>
          <w:noProof/>
          <w:sz w:val="22"/>
          <w:szCs w:val="22"/>
        </w:rPr>
        <w:t xml:space="preserve"> </w:t>
      </w:r>
      <w:r w:rsidR="00EE4B94" w:rsidRPr="00417E18">
        <w:rPr>
          <w:noProof/>
          <w:sz w:val="22"/>
          <w:szCs w:val="22"/>
        </w:rPr>
        <w:t>Such a computer, operat</w:t>
      </w:r>
      <w:r w:rsidR="00BF5A23">
        <w:rPr>
          <w:noProof/>
          <w:sz w:val="22"/>
          <w:szCs w:val="22"/>
        </w:rPr>
        <w:t xml:space="preserve">ing </w:t>
      </w:r>
      <w:r w:rsidR="00EE4B94" w:rsidRPr="00417E18">
        <w:rPr>
          <w:noProof/>
          <w:sz w:val="22"/>
          <w:szCs w:val="22"/>
        </w:rPr>
        <w:t>with stable logical</w:t>
      </w:r>
      <w:r w:rsidR="002D231F" w:rsidRPr="00417E18">
        <w:rPr>
          <w:noProof/>
          <w:sz w:val="22"/>
          <w:szCs w:val="22"/>
        </w:rPr>
        <w:t xml:space="preserve"> qubits</w:t>
      </w:r>
      <w:r w:rsidR="00D634F1">
        <w:rPr>
          <w:noProof/>
          <w:sz w:val="22"/>
          <w:szCs w:val="22"/>
        </w:rPr>
        <w:t>,</w:t>
      </w:r>
      <w:r w:rsidR="002D231F" w:rsidRPr="00417E18">
        <w:rPr>
          <w:noProof/>
          <w:sz w:val="22"/>
          <w:szCs w:val="22"/>
        </w:rPr>
        <w:t xml:space="preserve"> will be capable of running algorithms that </w:t>
      </w:r>
      <w:r w:rsidR="008E36FC">
        <w:rPr>
          <w:noProof/>
          <w:sz w:val="22"/>
          <w:szCs w:val="22"/>
        </w:rPr>
        <w:t>demonstrate</w:t>
      </w:r>
      <w:r w:rsidR="008E36FC" w:rsidRPr="00417E18">
        <w:rPr>
          <w:noProof/>
          <w:sz w:val="22"/>
          <w:szCs w:val="22"/>
        </w:rPr>
        <w:t xml:space="preserve"> </w:t>
      </w:r>
      <w:r w:rsidR="002D231F" w:rsidRPr="00417E18">
        <w:rPr>
          <w:noProof/>
          <w:sz w:val="22"/>
          <w:szCs w:val="22"/>
        </w:rPr>
        <w:t xml:space="preserve">a quantum advantage. </w:t>
      </w:r>
    </w:p>
    <w:p w14:paraId="167E5139" w14:textId="633DC26D" w:rsidR="003909F7" w:rsidRPr="00417E18" w:rsidRDefault="00D11B0D" w:rsidP="1CBA57D8">
      <w:pPr>
        <w:spacing w:before="200" w:line="276" w:lineRule="auto"/>
        <w:rPr>
          <w:noProof/>
          <w:sz w:val="22"/>
          <w:szCs w:val="22"/>
        </w:rPr>
      </w:pPr>
      <w:r>
        <w:rPr>
          <w:noProof/>
          <w:sz w:val="22"/>
          <w:szCs w:val="22"/>
        </w:rPr>
        <w:t>Progress towards this stage will t</w:t>
      </w:r>
      <w:r w:rsidR="00FC7719" w:rsidRPr="00417E18">
        <w:rPr>
          <w:noProof/>
          <w:sz w:val="22"/>
          <w:szCs w:val="22"/>
        </w:rPr>
        <w:t>herefore</w:t>
      </w:r>
      <w:r>
        <w:rPr>
          <w:noProof/>
          <w:sz w:val="22"/>
          <w:szCs w:val="22"/>
        </w:rPr>
        <w:t xml:space="preserve"> depend on</w:t>
      </w:r>
      <w:r w:rsidR="00FC7719" w:rsidRPr="00417E18">
        <w:rPr>
          <w:noProof/>
          <w:sz w:val="22"/>
          <w:szCs w:val="22"/>
        </w:rPr>
        <w:t xml:space="preserve"> joint cooperation and </w:t>
      </w:r>
      <w:r>
        <w:rPr>
          <w:noProof/>
          <w:sz w:val="22"/>
          <w:szCs w:val="22"/>
        </w:rPr>
        <w:t xml:space="preserve">sustained </w:t>
      </w:r>
      <w:r w:rsidR="00FC7719" w:rsidRPr="00417E18">
        <w:rPr>
          <w:noProof/>
          <w:sz w:val="22"/>
          <w:szCs w:val="22"/>
        </w:rPr>
        <w:t xml:space="preserve">investment </w:t>
      </w:r>
      <w:r w:rsidR="005440F5">
        <w:rPr>
          <w:noProof/>
          <w:sz w:val="22"/>
          <w:szCs w:val="22"/>
        </w:rPr>
        <w:t xml:space="preserve">focused </w:t>
      </w:r>
      <w:r w:rsidR="00FC7719" w:rsidRPr="00417E18">
        <w:rPr>
          <w:noProof/>
          <w:sz w:val="22"/>
          <w:szCs w:val="22"/>
        </w:rPr>
        <w:t xml:space="preserve">on </w:t>
      </w:r>
      <w:r w:rsidR="00C55C06" w:rsidRPr="00417E18">
        <w:rPr>
          <w:noProof/>
          <w:sz w:val="22"/>
          <w:szCs w:val="22"/>
        </w:rPr>
        <w:t>carefully selected technolog</w:t>
      </w:r>
      <w:r w:rsidR="005440F5">
        <w:rPr>
          <w:noProof/>
          <w:sz w:val="22"/>
          <w:szCs w:val="22"/>
        </w:rPr>
        <w:t>ical priorities</w:t>
      </w:r>
      <w:r w:rsidR="004F5B33" w:rsidRPr="00417E18">
        <w:rPr>
          <w:noProof/>
          <w:sz w:val="22"/>
          <w:szCs w:val="22"/>
        </w:rPr>
        <w:t>.</w:t>
      </w:r>
      <w:r w:rsidR="00CB5A70" w:rsidRPr="00417E18">
        <w:rPr>
          <w:noProof/>
          <w:sz w:val="22"/>
          <w:szCs w:val="22"/>
        </w:rPr>
        <w:t xml:space="preserve"> Other countries, </w:t>
      </w:r>
      <w:r w:rsidR="005440F5">
        <w:rPr>
          <w:noProof/>
          <w:sz w:val="22"/>
          <w:szCs w:val="22"/>
        </w:rPr>
        <w:t xml:space="preserve">notably </w:t>
      </w:r>
      <w:r w:rsidR="00CB5A70" w:rsidRPr="00417E18">
        <w:rPr>
          <w:noProof/>
          <w:sz w:val="22"/>
          <w:szCs w:val="22"/>
        </w:rPr>
        <w:t xml:space="preserve">the United States </w:t>
      </w:r>
      <w:r w:rsidR="00071418">
        <w:rPr>
          <w:noProof/>
          <w:sz w:val="22"/>
          <w:szCs w:val="22"/>
        </w:rPr>
        <w:t xml:space="preserve">have </w:t>
      </w:r>
      <w:r w:rsidR="00CB5A70" w:rsidRPr="00417E18">
        <w:rPr>
          <w:noProof/>
          <w:sz w:val="22"/>
          <w:szCs w:val="22"/>
        </w:rPr>
        <w:t xml:space="preserve">launched </w:t>
      </w:r>
      <w:r w:rsidR="007A3184">
        <w:rPr>
          <w:noProof/>
          <w:sz w:val="22"/>
          <w:szCs w:val="22"/>
        </w:rPr>
        <w:t xml:space="preserve">such </w:t>
      </w:r>
      <w:r w:rsidR="00CB5A70" w:rsidRPr="00417E18">
        <w:rPr>
          <w:noProof/>
          <w:sz w:val="22"/>
          <w:szCs w:val="22"/>
        </w:rPr>
        <w:t>initiatives</w:t>
      </w:r>
      <w:r w:rsidR="00CB5A70" w:rsidRPr="00417E18">
        <w:rPr>
          <w:rStyle w:val="FootnoteReference"/>
          <w:noProof/>
          <w:sz w:val="22"/>
          <w:szCs w:val="22"/>
        </w:rPr>
        <w:footnoteReference w:id="8"/>
      </w:r>
      <w:r w:rsidR="00CB5A70" w:rsidRPr="00417E18">
        <w:rPr>
          <w:noProof/>
          <w:sz w:val="22"/>
          <w:szCs w:val="22"/>
        </w:rPr>
        <w:t xml:space="preserve"> </w:t>
      </w:r>
      <w:r w:rsidR="00EF6722">
        <w:rPr>
          <w:noProof/>
          <w:sz w:val="22"/>
          <w:szCs w:val="22"/>
        </w:rPr>
        <w:t xml:space="preserve">including ones that are </w:t>
      </w:r>
      <w:r w:rsidR="00DE03B4">
        <w:rPr>
          <w:noProof/>
          <w:sz w:val="22"/>
          <w:szCs w:val="22"/>
        </w:rPr>
        <w:t xml:space="preserve">also </w:t>
      </w:r>
      <w:r w:rsidR="00CB5A70" w:rsidRPr="00417E18">
        <w:rPr>
          <w:noProof/>
          <w:sz w:val="22"/>
          <w:szCs w:val="22"/>
        </w:rPr>
        <w:t>open</w:t>
      </w:r>
      <w:r w:rsidR="00DE03B4">
        <w:rPr>
          <w:noProof/>
          <w:sz w:val="22"/>
          <w:szCs w:val="22"/>
        </w:rPr>
        <w:t xml:space="preserve"> </w:t>
      </w:r>
      <w:r w:rsidR="00CB5A70" w:rsidRPr="00417E18">
        <w:rPr>
          <w:noProof/>
          <w:sz w:val="22"/>
          <w:szCs w:val="22"/>
        </w:rPr>
        <w:t xml:space="preserve">to foreign companies. </w:t>
      </w:r>
      <w:r w:rsidR="00DE03B4">
        <w:rPr>
          <w:noProof/>
          <w:sz w:val="22"/>
          <w:szCs w:val="22"/>
        </w:rPr>
        <w:t>I</w:t>
      </w:r>
      <w:r w:rsidR="00CB5A70" w:rsidRPr="00417E18">
        <w:rPr>
          <w:noProof/>
          <w:sz w:val="22"/>
          <w:szCs w:val="22"/>
        </w:rPr>
        <w:t xml:space="preserve">f </w:t>
      </w:r>
      <w:r w:rsidR="00FA506B" w:rsidRPr="00417E18">
        <w:rPr>
          <w:noProof/>
          <w:sz w:val="22"/>
          <w:szCs w:val="22"/>
        </w:rPr>
        <w:t>the EU</w:t>
      </w:r>
      <w:r w:rsidR="00CB5A70" w:rsidRPr="00417E18">
        <w:rPr>
          <w:noProof/>
          <w:sz w:val="22"/>
          <w:szCs w:val="22"/>
        </w:rPr>
        <w:t xml:space="preserve"> do</w:t>
      </w:r>
      <w:r w:rsidR="00FA506B" w:rsidRPr="00417E18">
        <w:rPr>
          <w:noProof/>
          <w:sz w:val="22"/>
          <w:szCs w:val="22"/>
        </w:rPr>
        <w:t>es</w:t>
      </w:r>
      <w:r w:rsidR="00CB5A70" w:rsidRPr="00417E18">
        <w:rPr>
          <w:noProof/>
          <w:sz w:val="22"/>
          <w:szCs w:val="22"/>
        </w:rPr>
        <w:t xml:space="preserve"> not act </w:t>
      </w:r>
      <w:r w:rsidR="00DE03B4">
        <w:rPr>
          <w:noProof/>
          <w:sz w:val="22"/>
          <w:szCs w:val="22"/>
        </w:rPr>
        <w:t>in time</w:t>
      </w:r>
      <w:r w:rsidR="00CB5A70" w:rsidRPr="00417E18">
        <w:rPr>
          <w:noProof/>
          <w:sz w:val="22"/>
          <w:szCs w:val="22"/>
        </w:rPr>
        <w:t xml:space="preserve">, </w:t>
      </w:r>
      <w:r w:rsidR="00C87CFF">
        <w:rPr>
          <w:noProof/>
          <w:sz w:val="22"/>
          <w:szCs w:val="22"/>
        </w:rPr>
        <w:t xml:space="preserve">there </w:t>
      </w:r>
      <w:r w:rsidR="00CB5A70" w:rsidRPr="00417E18">
        <w:rPr>
          <w:noProof/>
          <w:sz w:val="22"/>
          <w:szCs w:val="22"/>
        </w:rPr>
        <w:t>is</w:t>
      </w:r>
      <w:r w:rsidR="00C87CFF">
        <w:rPr>
          <w:noProof/>
          <w:sz w:val="22"/>
          <w:szCs w:val="22"/>
        </w:rPr>
        <w:t xml:space="preserve"> a risk</w:t>
      </w:r>
      <w:r w:rsidR="00CB5A70" w:rsidRPr="00417E18">
        <w:rPr>
          <w:noProof/>
          <w:sz w:val="22"/>
          <w:szCs w:val="22"/>
        </w:rPr>
        <w:t xml:space="preserve"> that </w:t>
      </w:r>
      <w:r w:rsidR="00EC1C5F">
        <w:rPr>
          <w:noProof/>
          <w:sz w:val="22"/>
          <w:szCs w:val="22"/>
        </w:rPr>
        <w:t>European</w:t>
      </w:r>
      <w:r w:rsidR="002A66E6" w:rsidRPr="00417E18">
        <w:rPr>
          <w:noProof/>
          <w:sz w:val="22"/>
          <w:szCs w:val="22"/>
        </w:rPr>
        <w:t xml:space="preserve"> </w:t>
      </w:r>
      <w:r w:rsidR="00CB5A70" w:rsidRPr="00417E18">
        <w:rPr>
          <w:noProof/>
          <w:sz w:val="22"/>
          <w:szCs w:val="22"/>
        </w:rPr>
        <w:t xml:space="preserve">companies will develop and </w:t>
      </w:r>
      <w:r w:rsidR="00C87CFF">
        <w:rPr>
          <w:noProof/>
          <w:sz w:val="22"/>
          <w:szCs w:val="22"/>
        </w:rPr>
        <w:t>commercialise</w:t>
      </w:r>
      <w:r w:rsidR="00CB5A70" w:rsidRPr="00417E18">
        <w:rPr>
          <w:noProof/>
          <w:sz w:val="22"/>
          <w:szCs w:val="22"/>
        </w:rPr>
        <w:t xml:space="preserve"> their technologies </w:t>
      </w:r>
      <w:r w:rsidR="005635B3">
        <w:rPr>
          <w:noProof/>
          <w:sz w:val="22"/>
          <w:szCs w:val="22"/>
        </w:rPr>
        <w:t xml:space="preserve">outside the Union </w:t>
      </w:r>
      <w:r w:rsidR="00CB5A70" w:rsidRPr="00417E18">
        <w:rPr>
          <w:noProof/>
          <w:sz w:val="22"/>
          <w:szCs w:val="22"/>
        </w:rPr>
        <w:t>or</w:t>
      </w:r>
      <w:r w:rsidR="00CB5A70" w:rsidRPr="00417E18" w:rsidDel="00012BB2">
        <w:rPr>
          <w:noProof/>
          <w:sz w:val="22"/>
          <w:szCs w:val="22"/>
        </w:rPr>
        <w:t xml:space="preserve"> </w:t>
      </w:r>
      <w:r w:rsidR="00CB5A70" w:rsidRPr="00417E18">
        <w:rPr>
          <w:noProof/>
          <w:sz w:val="22"/>
          <w:szCs w:val="22"/>
        </w:rPr>
        <w:t>be acquired by foreign competitors</w:t>
      </w:r>
      <w:r w:rsidR="00012BB2">
        <w:rPr>
          <w:noProof/>
          <w:sz w:val="22"/>
          <w:szCs w:val="22"/>
        </w:rPr>
        <w:t xml:space="preserve">, </w:t>
      </w:r>
      <w:r w:rsidR="00850725">
        <w:rPr>
          <w:noProof/>
          <w:sz w:val="22"/>
          <w:szCs w:val="22"/>
        </w:rPr>
        <w:t xml:space="preserve">with the related </w:t>
      </w:r>
      <w:r w:rsidR="00C176CB" w:rsidRPr="00417E18">
        <w:rPr>
          <w:noProof/>
          <w:sz w:val="22"/>
          <w:szCs w:val="22"/>
        </w:rPr>
        <w:t xml:space="preserve">technology and </w:t>
      </w:r>
      <w:r w:rsidR="002A66E6">
        <w:rPr>
          <w:noProof/>
          <w:sz w:val="22"/>
          <w:szCs w:val="22"/>
        </w:rPr>
        <w:t>intellectual property subsequently developed</w:t>
      </w:r>
      <w:r w:rsidR="00C176CB" w:rsidRPr="00417E18">
        <w:rPr>
          <w:noProof/>
          <w:sz w:val="22"/>
          <w:szCs w:val="22"/>
        </w:rPr>
        <w:t xml:space="preserve"> outside the EU.</w:t>
      </w:r>
    </w:p>
    <w:p w14:paraId="2459989D" w14:textId="49F0E925" w:rsidR="00A5436E" w:rsidRPr="00417E18" w:rsidRDefault="004F5B33" w:rsidP="00DA1251">
      <w:pPr>
        <w:spacing w:before="200" w:line="276" w:lineRule="auto"/>
        <w:rPr>
          <w:noProof/>
          <w:sz w:val="22"/>
          <w:szCs w:val="22"/>
        </w:rPr>
      </w:pPr>
      <w:r w:rsidRPr="00417E18">
        <w:rPr>
          <w:noProof/>
          <w:sz w:val="22"/>
          <w:szCs w:val="22"/>
        </w:rPr>
        <w:t xml:space="preserve">The </w:t>
      </w:r>
      <w:r w:rsidR="000B78E3" w:rsidRPr="00417E18">
        <w:rPr>
          <w:noProof/>
          <w:sz w:val="22"/>
          <w:szCs w:val="22"/>
        </w:rPr>
        <w:t>recently published Quantum Europe Strategy</w:t>
      </w:r>
      <w:r w:rsidR="00002345" w:rsidRPr="00417E18">
        <w:rPr>
          <w:rStyle w:val="FootnoteReference"/>
          <w:noProof/>
          <w:sz w:val="22"/>
          <w:szCs w:val="22"/>
        </w:rPr>
        <w:footnoteReference w:id="9"/>
      </w:r>
      <w:r w:rsidR="000B78E3" w:rsidRPr="00417E18">
        <w:rPr>
          <w:noProof/>
          <w:sz w:val="22"/>
          <w:szCs w:val="22"/>
        </w:rPr>
        <w:t xml:space="preserve"> </w:t>
      </w:r>
      <w:r w:rsidR="00213E59" w:rsidRPr="00417E18">
        <w:rPr>
          <w:noProof/>
          <w:sz w:val="22"/>
          <w:szCs w:val="22"/>
        </w:rPr>
        <w:t>s</w:t>
      </w:r>
      <w:r w:rsidR="00EA042B" w:rsidRPr="00417E18">
        <w:rPr>
          <w:noProof/>
          <w:sz w:val="22"/>
          <w:szCs w:val="22"/>
        </w:rPr>
        <w:t>et</w:t>
      </w:r>
      <w:r w:rsidR="00A26423">
        <w:rPr>
          <w:noProof/>
          <w:sz w:val="22"/>
          <w:szCs w:val="22"/>
        </w:rPr>
        <w:t>s</w:t>
      </w:r>
      <w:r w:rsidR="00EA042B" w:rsidRPr="00417E18">
        <w:rPr>
          <w:noProof/>
          <w:sz w:val="22"/>
          <w:szCs w:val="22"/>
        </w:rPr>
        <w:t xml:space="preserve"> out the objectives </w:t>
      </w:r>
      <w:r w:rsidR="002B16D0" w:rsidRPr="00417E18">
        <w:rPr>
          <w:noProof/>
          <w:sz w:val="22"/>
          <w:szCs w:val="22"/>
        </w:rPr>
        <w:t xml:space="preserve">in this area </w:t>
      </w:r>
      <w:r w:rsidR="00A26423">
        <w:rPr>
          <w:noProof/>
          <w:sz w:val="22"/>
          <w:szCs w:val="22"/>
        </w:rPr>
        <w:t>while</w:t>
      </w:r>
      <w:r w:rsidR="00A26423" w:rsidRPr="00417E18">
        <w:rPr>
          <w:noProof/>
          <w:sz w:val="22"/>
          <w:szCs w:val="22"/>
        </w:rPr>
        <w:t xml:space="preserve"> </w:t>
      </w:r>
      <w:r w:rsidR="000B78E3" w:rsidRPr="00417E18">
        <w:rPr>
          <w:noProof/>
          <w:sz w:val="22"/>
          <w:szCs w:val="22"/>
        </w:rPr>
        <w:t xml:space="preserve">the upcoming Quantum Act </w:t>
      </w:r>
      <w:r w:rsidR="002A6FD9" w:rsidRPr="00417E18">
        <w:rPr>
          <w:noProof/>
          <w:sz w:val="22"/>
          <w:szCs w:val="22"/>
        </w:rPr>
        <w:t xml:space="preserve">will </w:t>
      </w:r>
      <w:r w:rsidR="001D7AED" w:rsidRPr="00417E18">
        <w:rPr>
          <w:noProof/>
          <w:sz w:val="22"/>
          <w:szCs w:val="22"/>
        </w:rPr>
        <w:t xml:space="preserve">provide </w:t>
      </w:r>
      <w:r w:rsidR="002A6FD9" w:rsidRPr="00417E18">
        <w:rPr>
          <w:noProof/>
          <w:sz w:val="22"/>
          <w:szCs w:val="22"/>
        </w:rPr>
        <w:t xml:space="preserve">the legal and budgetary framework for </w:t>
      </w:r>
      <w:r w:rsidR="008F27C2" w:rsidRPr="00417E18">
        <w:rPr>
          <w:noProof/>
          <w:sz w:val="22"/>
          <w:szCs w:val="22"/>
        </w:rPr>
        <w:t>reaching them.</w:t>
      </w:r>
    </w:p>
    <w:p w14:paraId="159406E1" w14:textId="3F730B8C" w:rsidR="00056438" w:rsidRPr="00415204" w:rsidRDefault="00056438" w:rsidP="00DA1251">
      <w:pPr>
        <w:spacing w:before="200" w:line="276" w:lineRule="auto"/>
        <w:rPr>
          <w:noProof/>
          <w:sz w:val="22"/>
          <w:szCs w:val="22"/>
        </w:rPr>
      </w:pPr>
      <w:r w:rsidRPr="00417E18">
        <w:rPr>
          <w:noProof/>
          <w:sz w:val="22"/>
          <w:szCs w:val="22"/>
        </w:rPr>
        <w:t>Finally, Europe</w:t>
      </w:r>
      <w:r w:rsidR="00FD57A7">
        <w:rPr>
          <w:noProof/>
          <w:sz w:val="22"/>
          <w:szCs w:val="22"/>
        </w:rPr>
        <w:t xml:space="preserve"> also</w:t>
      </w:r>
      <w:r w:rsidRPr="00417E18">
        <w:rPr>
          <w:noProof/>
          <w:sz w:val="22"/>
          <w:szCs w:val="22"/>
        </w:rPr>
        <w:t xml:space="preserve"> needs to increase </w:t>
      </w:r>
      <w:r w:rsidR="00922C4E" w:rsidRPr="00417E18">
        <w:rPr>
          <w:noProof/>
          <w:sz w:val="22"/>
          <w:szCs w:val="22"/>
        </w:rPr>
        <w:t xml:space="preserve">its share of private </w:t>
      </w:r>
      <w:r w:rsidR="00CD416D" w:rsidRPr="00417E18">
        <w:rPr>
          <w:noProof/>
          <w:sz w:val="22"/>
          <w:szCs w:val="22"/>
        </w:rPr>
        <w:t xml:space="preserve">investment in quantum technologies. While </w:t>
      </w:r>
      <w:r w:rsidR="00180183" w:rsidRPr="00417E18">
        <w:rPr>
          <w:noProof/>
          <w:sz w:val="22"/>
          <w:szCs w:val="22"/>
        </w:rPr>
        <w:t>the EU</w:t>
      </w:r>
      <w:r w:rsidR="00CD416D" w:rsidRPr="00417E18">
        <w:rPr>
          <w:noProof/>
          <w:sz w:val="22"/>
          <w:szCs w:val="22"/>
        </w:rPr>
        <w:t xml:space="preserve"> still lead</w:t>
      </w:r>
      <w:r w:rsidR="00FD57A7">
        <w:rPr>
          <w:noProof/>
          <w:sz w:val="22"/>
          <w:szCs w:val="22"/>
        </w:rPr>
        <w:t>s</w:t>
      </w:r>
      <w:r w:rsidR="00CD416D" w:rsidRPr="00417E18">
        <w:rPr>
          <w:noProof/>
          <w:sz w:val="22"/>
          <w:szCs w:val="22"/>
        </w:rPr>
        <w:t xml:space="preserve"> in t</w:t>
      </w:r>
      <w:r w:rsidR="00624E6B" w:rsidRPr="00417E18">
        <w:rPr>
          <w:noProof/>
          <w:sz w:val="22"/>
          <w:szCs w:val="22"/>
        </w:rPr>
        <w:t>erms of th</w:t>
      </w:r>
      <w:r w:rsidR="00D5240C" w:rsidRPr="00417E18">
        <w:rPr>
          <w:noProof/>
          <w:sz w:val="22"/>
          <w:szCs w:val="22"/>
        </w:rPr>
        <w:t xml:space="preserve">e number of </w:t>
      </w:r>
      <w:r w:rsidR="001635CB" w:rsidRPr="00417E18">
        <w:rPr>
          <w:noProof/>
          <w:sz w:val="22"/>
          <w:szCs w:val="22"/>
        </w:rPr>
        <w:t>inve</w:t>
      </w:r>
      <w:r w:rsidR="006118F3" w:rsidRPr="00417E18">
        <w:rPr>
          <w:noProof/>
          <w:sz w:val="22"/>
          <w:szCs w:val="22"/>
        </w:rPr>
        <w:t>stments</w:t>
      </w:r>
      <w:r w:rsidR="006118F3" w:rsidRPr="00415204">
        <w:rPr>
          <w:noProof/>
          <w:sz w:val="22"/>
          <w:szCs w:val="22"/>
        </w:rPr>
        <w:t xml:space="preserve">, </w:t>
      </w:r>
      <w:r w:rsidR="00D605E0" w:rsidRPr="00415204">
        <w:rPr>
          <w:noProof/>
          <w:sz w:val="22"/>
          <w:szCs w:val="22"/>
        </w:rPr>
        <w:t xml:space="preserve">in 2025, </w:t>
      </w:r>
      <w:r w:rsidR="000358B4" w:rsidRPr="00415204">
        <w:rPr>
          <w:noProof/>
          <w:sz w:val="22"/>
          <w:szCs w:val="22"/>
        </w:rPr>
        <w:t xml:space="preserve">out of the </w:t>
      </w:r>
      <w:r w:rsidR="00A945E3">
        <w:rPr>
          <w:noProof/>
          <w:sz w:val="22"/>
          <w:szCs w:val="22"/>
        </w:rPr>
        <w:t xml:space="preserve">USD </w:t>
      </w:r>
      <w:r w:rsidR="004D67B5" w:rsidRPr="00415204">
        <w:rPr>
          <w:noProof/>
          <w:sz w:val="22"/>
          <w:szCs w:val="22"/>
        </w:rPr>
        <w:t>4.36 b</w:t>
      </w:r>
      <w:r w:rsidR="00B8120D" w:rsidRPr="00415204">
        <w:rPr>
          <w:noProof/>
          <w:sz w:val="22"/>
          <w:szCs w:val="22"/>
        </w:rPr>
        <w:t>illio</w:t>
      </w:r>
      <w:r w:rsidR="007E56A0" w:rsidRPr="00415204">
        <w:rPr>
          <w:noProof/>
          <w:sz w:val="22"/>
          <w:szCs w:val="22"/>
        </w:rPr>
        <w:t xml:space="preserve">n invested globally in quantum technologies, </w:t>
      </w:r>
      <w:r w:rsidR="00001BBF" w:rsidRPr="00415204">
        <w:rPr>
          <w:noProof/>
          <w:sz w:val="22"/>
          <w:szCs w:val="22"/>
        </w:rPr>
        <w:t xml:space="preserve">companies in </w:t>
      </w:r>
      <w:r w:rsidR="00AE599C" w:rsidRPr="00415204">
        <w:rPr>
          <w:noProof/>
          <w:sz w:val="22"/>
          <w:szCs w:val="22"/>
        </w:rPr>
        <w:t xml:space="preserve">Europe </w:t>
      </w:r>
      <w:r w:rsidR="00BB6D19" w:rsidRPr="00415204">
        <w:rPr>
          <w:noProof/>
          <w:sz w:val="22"/>
          <w:szCs w:val="22"/>
        </w:rPr>
        <w:t xml:space="preserve">attracted </w:t>
      </w:r>
      <w:r w:rsidR="00283D87" w:rsidRPr="00415204">
        <w:rPr>
          <w:noProof/>
          <w:sz w:val="22"/>
          <w:szCs w:val="22"/>
        </w:rPr>
        <w:t xml:space="preserve">only </w:t>
      </w:r>
      <w:r w:rsidR="00C04D7E" w:rsidRPr="00415204">
        <w:rPr>
          <w:noProof/>
          <w:sz w:val="22"/>
          <w:szCs w:val="22"/>
        </w:rPr>
        <w:t>23% of the global amount</w:t>
      </w:r>
      <w:r w:rsidR="00C04D7E" w:rsidRPr="00415204" w:rsidDel="00283D87">
        <w:rPr>
          <w:noProof/>
          <w:sz w:val="22"/>
          <w:szCs w:val="22"/>
        </w:rPr>
        <w:t xml:space="preserve"> </w:t>
      </w:r>
      <w:r w:rsidR="00C04D7E" w:rsidRPr="00415204">
        <w:rPr>
          <w:noProof/>
          <w:sz w:val="22"/>
          <w:szCs w:val="22"/>
        </w:rPr>
        <w:t>invest</w:t>
      </w:r>
      <w:r w:rsidR="00283D87" w:rsidRPr="00415204">
        <w:rPr>
          <w:noProof/>
          <w:sz w:val="22"/>
          <w:szCs w:val="22"/>
        </w:rPr>
        <w:t>ed</w:t>
      </w:r>
      <w:r w:rsidR="00C04D7E" w:rsidRPr="00415204">
        <w:rPr>
          <w:noProof/>
          <w:sz w:val="22"/>
          <w:szCs w:val="22"/>
        </w:rPr>
        <w:t xml:space="preserve"> </w:t>
      </w:r>
      <w:r w:rsidR="1118AFCE" w:rsidRPr="00415204">
        <w:rPr>
          <w:noProof/>
          <w:sz w:val="22"/>
          <w:szCs w:val="22"/>
        </w:rPr>
        <w:t>(</w:t>
      </w:r>
      <w:r w:rsidR="00A945E3">
        <w:rPr>
          <w:noProof/>
          <w:sz w:val="22"/>
          <w:szCs w:val="22"/>
        </w:rPr>
        <w:t xml:space="preserve">USD </w:t>
      </w:r>
      <w:r w:rsidR="1118AFCE" w:rsidRPr="00415204">
        <w:rPr>
          <w:noProof/>
          <w:sz w:val="22"/>
          <w:szCs w:val="22"/>
        </w:rPr>
        <w:t>1.014 billion)</w:t>
      </w:r>
      <w:r w:rsidR="00180183" w:rsidRPr="00415204">
        <w:rPr>
          <w:noProof/>
          <w:sz w:val="22"/>
          <w:szCs w:val="22"/>
        </w:rPr>
        <w:t>,</w:t>
      </w:r>
      <w:r w:rsidR="00C04D7E" w:rsidRPr="00415204">
        <w:rPr>
          <w:noProof/>
          <w:sz w:val="22"/>
          <w:szCs w:val="22"/>
        </w:rPr>
        <w:t xml:space="preserve"> compared to </w:t>
      </w:r>
      <w:r w:rsidR="00BC50E5" w:rsidRPr="00415204">
        <w:rPr>
          <w:noProof/>
          <w:sz w:val="22"/>
          <w:szCs w:val="22"/>
        </w:rPr>
        <w:t xml:space="preserve">64% </w:t>
      </w:r>
      <w:r w:rsidR="00317244" w:rsidRPr="00415204">
        <w:rPr>
          <w:noProof/>
          <w:sz w:val="22"/>
          <w:szCs w:val="22"/>
        </w:rPr>
        <w:t xml:space="preserve">attracted by </w:t>
      </w:r>
      <w:r w:rsidR="00806DAD" w:rsidRPr="00415204">
        <w:rPr>
          <w:noProof/>
          <w:sz w:val="22"/>
          <w:szCs w:val="22"/>
        </w:rPr>
        <w:t xml:space="preserve">companies </w:t>
      </w:r>
      <w:r w:rsidR="009F1E7C" w:rsidRPr="00415204">
        <w:rPr>
          <w:noProof/>
          <w:sz w:val="22"/>
          <w:szCs w:val="22"/>
        </w:rPr>
        <w:t xml:space="preserve">based in </w:t>
      </w:r>
      <w:r w:rsidR="00F173EE" w:rsidRPr="00415204">
        <w:rPr>
          <w:noProof/>
          <w:sz w:val="22"/>
          <w:szCs w:val="22"/>
        </w:rPr>
        <w:t>the United States</w:t>
      </w:r>
      <w:r w:rsidR="00D52494" w:rsidRPr="00415204">
        <w:rPr>
          <w:rStyle w:val="FootnoteReference"/>
          <w:noProof/>
          <w:sz w:val="22"/>
          <w:szCs w:val="22"/>
        </w:rPr>
        <w:footnoteReference w:id="10"/>
      </w:r>
      <w:r w:rsidR="0585E0DF" w:rsidRPr="00415204">
        <w:rPr>
          <w:noProof/>
          <w:sz w:val="22"/>
          <w:szCs w:val="22"/>
        </w:rPr>
        <w:t>.</w:t>
      </w:r>
      <w:r w:rsidR="00B81229">
        <w:rPr>
          <w:noProof/>
          <w:sz w:val="22"/>
          <w:szCs w:val="22"/>
        </w:rPr>
        <w:t xml:space="preserve"> Moreover, </w:t>
      </w:r>
      <w:r w:rsidR="00C67E98">
        <w:rPr>
          <w:noProof/>
          <w:sz w:val="22"/>
          <w:szCs w:val="22"/>
        </w:rPr>
        <w:t xml:space="preserve">these </w:t>
      </w:r>
      <w:r w:rsidR="00560E28">
        <w:rPr>
          <w:noProof/>
          <w:sz w:val="22"/>
          <w:szCs w:val="22"/>
        </w:rPr>
        <w:t xml:space="preserve">private </w:t>
      </w:r>
      <w:r w:rsidR="00DE0937">
        <w:rPr>
          <w:noProof/>
          <w:sz w:val="22"/>
          <w:szCs w:val="22"/>
        </w:rPr>
        <w:t xml:space="preserve">investments in the EU </w:t>
      </w:r>
      <w:r w:rsidR="00753E07">
        <w:rPr>
          <w:noProof/>
          <w:sz w:val="22"/>
          <w:szCs w:val="22"/>
        </w:rPr>
        <w:t xml:space="preserve">represent </w:t>
      </w:r>
      <w:r w:rsidR="00C67E98">
        <w:rPr>
          <w:noProof/>
          <w:sz w:val="22"/>
          <w:szCs w:val="22"/>
        </w:rPr>
        <w:t>only</w:t>
      </w:r>
      <w:r w:rsidR="00753E07">
        <w:rPr>
          <w:noProof/>
          <w:sz w:val="22"/>
          <w:szCs w:val="22"/>
        </w:rPr>
        <w:t xml:space="preserve"> 10</w:t>
      </w:r>
      <w:r w:rsidR="00B84812">
        <w:rPr>
          <w:noProof/>
          <w:sz w:val="22"/>
          <w:szCs w:val="22"/>
        </w:rPr>
        <w:t xml:space="preserve">% of the </w:t>
      </w:r>
      <w:r w:rsidR="00D351E5">
        <w:rPr>
          <w:noProof/>
          <w:sz w:val="22"/>
          <w:szCs w:val="22"/>
        </w:rPr>
        <w:t xml:space="preserve">total </w:t>
      </w:r>
      <w:r w:rsidR="00B84812">
        <w:rPr>
          <w:noProof/>
          <w:sz w:val="22"/>
          <w:szCs w:val="22"/>
        </w:rPr>
        <w:t>publ</w:t>
      </w:r>
      <w:r w:rsidR="00F67D45">
        <w:rPr>
          <w:noProof/>
          <w:sz w:val="22"/>
          <w:szCs w:val="22"/>
        </w:rPr>
        <w:t xml:space="preserve">ic investments (MS and </w:t>
      </w:r>
      <w:r w:rsidR="001C5433">
        <w:rPr>
          <w:noProof/>
          <w:sz w:val="22"/>
          <w:szCs w:val="22"/>
        </w:rPr>
        <w:t>the EU</w:t>
      </w:r>
      <w:r w:rsidR="00D06BCC">
        <w:rPr>
          <w:noProof/>
          <w:sz w:val="22"/>
          <w:szCs w:val="22"/>
        </w:rPr>
        <w:t xml:space="preserve"> combined</w:t>
      </w:r>
      <w:r w:rsidR="001C5433">
        <w:rPr>
          <w:noProof/>
          <w:sz w:val="22"/>
          <w:szCs w:val="22"/>
        </w:rPr>
        <w:t>)</w:t>
      </w:r>
      <w:r w:rsidR="00B4600F">
        <w:rPr>
          <w:rStyle w:val="FootnoteReference"/>
          <w:noProof/>
          <w:sz w:val="22"/>
          <w:szCs w:val="22"/>
        </w:rPr>
        <w:footnoteReference w:id="11"/>
      </w:r>
      <w:r w:rsidR="001C5433">
        <w:rPr>
          <w:noProof/>
          <w:sz w:val="22"/>
          <w:szCs w:val="22"/>
        </w:rPr>
        <w:t>.</w:t>
      </w:r>
    </w:p>
    <w:p w14:paraId="3513CEA5" w14:textId="2E1B91B4" w:rsidR="6BC8FE8B" w:rsidRPr="00415204" w:rsidRDefault="402227B5" w:rsidP="23A2ED3F">
      <w:pPr>
        <w:spacing w:before="200" w:line="276" w:lineRule="auto"/>
        <w:rPr>
          <w:noProof/>
          <w:sz w:val="22"/>
          <w:szCs w:val="22"/>
        </w:rPr>
      </w:pPr>
      <w:r w:rsidRPr="00415204">
        <w:rPr>
          <w:noProof/>
          <w:sz w:val="22"/>
          <w:szCs w:val="22"/>
        </w:rPr>
        <w:t xml:space="preserve">In the domain of quantum communications, the global leader is China with </w:t>
      </w:r>
      <w:r w:rsidR="0E6A048D" w:rsidRPr="00415204">
        <w:rPr>
          <w:noProof/>
          <w:sz w:val="22"/>
          <w:szCs w:val="22"/>
        </w:rPr>
        <w:t>rapidly expanding ground optical quantum networks as well as multiple quantum communication</w:t>
      </w:r>
      <w:r w:rsidR="3DF1542E" w:rsidRPr="00415204">
        <w:rPr>
          <w:noProof/>
          <w:sz w:val="22"/>
          <w:szCs w:val="22"/>
        </w:rPr>
        <w:t xml:space="preserve"> satellites. </w:t>
      </w:r>
      <w:r w:rsidR="63C60C90" w:rsidRPr="4D23A098">
        <w:rPr>
          <w:noProof/>
          <w:sz w:val="22"/>
          <w:szCs w:val="22"/>
        </w:rPr>
        <w:t>The EuroQCI</w:t>
      </w:r>
      <w:r w:rsidRPr="4D23A098">
        <w:rPr>
          <w:rStyle w:val="FootnoteReference"/>
          <w:rFonts w:asciiTheme="minorHAnsi" w:hAnsiTheme="minorHAnsi"/>
          <w:noProof/>
          <w:sz w:val="22"/>
          <w:szCs w:val="22"/>
        </w:rPr>
        <w:footnoteReference w:id="12"/>
      </w:r>
      <w:r w:rsidR="3DF1542E" w:rsidRPr="00415204">
        <w:rPr>
          <w:noProof/>
          <w:sz w:val="22"/>
          <w:szCs w:val="22"/>
        </w:rPr>
        <w:t xml:space="preserve"> initiative </w:t>
      </w:r>
      <w:r w:rsidR="7C128198" w:rsidRPr="4D23A098">
        <w:rPr>
          <w:noProof/>
          <w:sz w:val="22"/>
          <w:szCs w:val="22"/>
        </w:rPr>
        <w:t xml:space="preserve">aiming at deploying a secure quantum communication infrastructure across Europe </w:t>
      </w:r>
      <w:r w:rsidR="3DF1542E" w:rsidRPr="00415204">
        <w:rPr>
          <w:noProof/>
          <w:sz w:val="22"/>
          <w:szCs w:val="22"/>
        </w:rPr>
        <w:t xml:space="preserve">is </w:t>
      </w:r>
      <w:r w:rsidR="008C13DB" w:rsidRPr="00415204">
        <w:rPr>
          <w:noProof/>
          <w:sz w:val="22"/>
          <w:szCs w:val="22"/>
        </w:rPr>
        <w:t xml:space="preserve">an </w:t>
      </w:r>
      <w:r w:rsidR="3DF1542E" w:rsidRPr="00415204">
        <w:rPr>
          <w:noProof/>
          <w:sz w:val="22"/>
          <w:szCs w:val="22"/>
        </w:rPr>
        <w:t xml:space="preserve">ambitious </w:t>
      </w:r>
      <w:r w:rsidR="5552278C" w:rsidRPr="4D23A098">
        <w:rPr>
          <w:noProof/>
          <w:sz w:val="22"/>
          <w:szCs w:val="22"/>
        </w:rPr>
        <w:t xml:space="preserve">European </w:t>
      </w:r>
      <w:r w:rsidR="3DF1542E" w:rsidRPr="00415204">
        <w:rPr>
          <w:noProof/>
          <w:sz w:val="22"/>
          <w:szCs w:val="22"/>
        </w:rPr>
        <w:t>response</w:t>
      </w:r>
      <w:r w:rsidR="008C13DB" w:rsidRPr="00415204">
        <w:rPr>
          <w:noProof/>
          <w:sz w:val="22"/>
          <w:szCs w:val="22"/>
        </w:rPr>
        <w:t>,</w:t>
      </w:r>
      <w:r w:rsidR="3DF1542E" w:rsidRPr="00415204">
        <w:rPr>
          <w:noProof/>
          <w:sz w:val="22"/>
          <w:szCs w:val="22"/>
        </w:rPr>
        <w:t xml:space="preserve"> </w:t>
      </w:r>
      <w:r w:rsidR="5625BA13" w:rsidRPr="00415204">
        <w:rPr>
          <w:noProof/>
          <w:sz w:val="22"/>
          <w:szCs w:val="22"/>
        </w:rPr>
        <w:t>encompassed in the IRIS</w:t>
      </w:r>
      <w:r w:rsidR="5625BA13" w:rsidRPr="00415204">
        <w:rPr>
          <w:noProof/>
          <w:sz w:val="22"/>
          <w:szCs w:val="22"/>
          <w:vertAlign w:val="superscript"/>
        </w:rPr>
        <w:t>2</w:t>
      </w:r>
      <w:r w:rsidR="5625BA13" w:rsidRPr="00415204">
        <w:rPr>
          <w:noProof/>
          <w:sz w:val="22"/>
          <w:szCs w:val="22"/>
        </w:rPr>
        <w:t xml:space="preserve"> </w:t>
      </w:r>
      <w:r w:rsidR="6B2CD971" w:rsidRPr="4D23A098">
        <w:rPr>
          <w:noProof/>
          <w:sz w:val="22"/>
          <w:szCs w:val="22"/>
        </w:rPr>
        <w:t xml:space="preserve">Secure Connectivity </w:t>
      </w:r>
      <w:r w:rsidR="13D060FE" w:rsidRPr="00415204">
        <w:rPr>
          <w:noProof/>
          <w:sz w:val="22"/>
          <w:szCs w:val="22"/>
        </w:rPr>
        <w:t>regulation.</w:t>
      </w:r>
    </w:p>
    <w:tbl>
      <w:tblPr>
        <w:tblStyle w:val="TableGrid"/>
        <w:tblW w:w="0" w:type="auto"/>
        <w:tblLook w:val="06A0" w:firstRow="1" w:lastRow="0" w:firstColumn="1" w:lastColumn="0" w:noHBand="1" w:noVBand="1"/>
      </w:tblPr>
      <w:tblGrid>
        <w:gridCol w:w="9350"/>
      </w:tblGrid>
      <w:tr w:rsidR="00A5436E" w:rsidRPr="00415204" w14:paraId="2D1E6DDC" w14:textId="77777777" w:rsidTr="468C9DB1">
        <w:trPr>
          <w:trHeight w:val="300"/>
        </w:trPr>
        <w:tc>
          <w:tcPr>
            <w:tcW w:w="9360" w:type="dxa"/>
            <w:shd w:val="clear" w:color="auto" w:fill="D4F1EE"/>
          </w:tcPr>
          <w:p w14:paraId="52CB5021" w14:textId="53A4BD88" w:rsidR="00637356" w:rsidRPr="00415204" w:rsidRDefault="45CC2F3B" w:rsidP="468C9DB1">
            <w:pPr>
              <w:rPr>
                <w:b/>
                <w:bCs/>
                <w:noProof/>
              </w:rPr>
            </w:pPr>
            <w:r w:rsidRPr="468C9DB1">
              <w:rPr>
                <w:b/>
                <w:bCs/>
                <w:noProof/>
              </w:rPr>
              <w:t xml:space="preserve">Recommendation: </w:t>
            </w:r>
          </w:p>
          <w:p w14:paraId="4FFF906D" w14:textId="6AFEEE33" w:rsidR="00A5436E" w:rsidRPr="002F3453" w:rsidRDefault="3CC3682F" w:rsidP="109DB379">
            <w:pPr>
              <w:spacing w:before="0" w:after="0" w:line="278" w:lineRule="auto"/>
              <w:rPr>
                <w:rFonts w:eastAsia="Calibri" w:cs="Calibri"/>
                <w:noProof/>
              </w:rPr>
            </w:pPr>
            <w:r w:rsidRPr="002F3453">
              <w:rPr>
                <w:rFonts w:eastAsia="Calibri" w:cs="Calibri"/>
                <w:noProof/>
              </w:rPr>
              <w:t xml:space="preserve">Member States should strengthen their investments and support in quantum technologies, in line with the Quantum Europe Strategy and the forthcoming Quantum Act, by: </w:t>
            </w:r>
          </w:p>
          <w:p w14:paraId="77402219" w14:textId="62E6CC08" w:rsidR="00A5436E" w:rsidRPr="002F3453" w:rsidRDefault="3CC3682F" w:rsidP="109DB379">
            <w:pPr>
              <w:pStyle w:val="ListParagraph"/>
              <w:numPr>
                <w:ilvl w:val="0"/>
                <w:numId w:val="4"/>
              </w:numPr>
              <w:spacing w:before="0" w:after="0" w:line="278" w:lineRule="auto"/>
              <w:rPr>
                <w:rFonts w:eastAsia="Calibri" w:cs="Calibri"/>
                <w:noProof/>
              </w:rPr>
            </w:pPr>
            <w:r w:rsidRPr="002F3453">
              <w:rPr>
                <w:rFonts w:eastAsia="Calibri" w:cs="Calibri"/>
                <w:noProof/>
              </w:rPr>
              <w:t xml:space="preserve">aligning and coordinating national quantum strategies and Roadmaps with the EU quantum roadmap </w:t>
            </w:r>
          </w:p>
          <w:p w14:paraId="3EFF0030" w14:textId="642DCA3D" w:rsidR="00A5436E" w:rsidRPr="002F3453" w:rsidRDefault="3CC3682F" w:rsidP="109DB379">
            <w:pPr>
              <w:pStyle w:val="ListParagraph"/>
              <w:numPr>
                <w:ilvl w:val="0"/>
                <w:numId w:val="4"/>
              </w:numPr>
              <w:spacing w:before="0" w:after="0" w:line="278" w:lineRule="auto"/>
              <w:rPr>
                <w:rFonts w:eastAsia="Calibri" w:cs="Calibri"/>
                <w:noProof/>
              </w:rPr>
            </w:pPr>
            <w:r w:rsidRPr="002F3453">
              <w:rPr>
                <w:rFonts w:eastAsia="Calibri" w:cs="Calibri"/>
                <w:noProof/>
              </w:rPr>
              <w:t xml:space="preserve">supporting the scale-up and deployment of critical quantum infrastructures, such as quantum computers and simulators, quantum chip pilot lines and design facilities, EuroQCI terrestrial and space secure communication networks, quantum internet testbeds and quantum sensing/PNT (positioning, navigation and timing) capabilities; </w:t>
            </w:r>
          </w:p>
          <w:p w14:paraId="3F3D2F00" w14:textId="2D8CEAA6" w:rsidR="00A5436E" w:rsidRPr="002F3453" w:rsidRDefault="176D69CE" w:rsidP="109DB379">
            <w:pPr>
              <w:pStyle w:val="ListParagraph"/>
              <w:numPr>
                <w:ilvl w:val="0"/>
                <w:numId w:val="4"/>
              </w:numPr>
              <w:spacing w:before="0" w:after="0" w:line="278" w:lineRule="auto"/>
              <w:rPr>
                <w:rFonts w:eastAsia="Calibri" w:cs="Calibri"/>
                <w:noProof/>
              </w:rPr>
            </w:pPr>
            <w:r w:rsidRPr="002F3453">
              <w:rPr>
                <w:rFonts w:eastAsia="Calibri" w:cs="Calibri"/>
                <w:noProof/>
              </w:rPr>
              <w:t xml:space="preserve">strengthening the quantum ecosystem, by supporting the further development of national and regional competence centres, promoting innovation procurement in favour of start-ups, scale-ups, adopting public-sector first buyer measures, and fostering standards, benchmarking, and trusted quantum supply chains and </w:t>
            </w:r>
          </w:p>
          <w:p w14:paraId="0B0DACCD" w14:textId="6ADF8005" w:rsidR="00A5436E" w:rsidRPr="002F3453" w:rsidRDefault="3CC3682F" w:rsidP="109DB379">
            <w:pPr>
              <w:pStyle w:val="ListParagraph"/>
              <w:numPr>
                <w:ilvl w:val="0"/>
                <w:numId w:val="4"/>
              </w:numPr>
              <w:spacing w:before="0" w:after="0" w:line="278" w:lineRule="auto"/>
              <w:rPr>
                <w:rFonts w:eastAsia="Calibri" w:cs="Calibri"/>
                <w:noProof/>
              </w:rPr>
            </w:pPr>
            <w:r w:rsidRPr="002F3453">
              <w:rPr>
                <w:rFonts w:eastAsia="Calibri" w:cs="Calibri"/>
                <w:noProof/>
              </w:rPr>
              <w:t>developing the corresponding talent pool in quantum in coordination with the future European Quantum Skills Academy.</w:t>
            </w:r>
          </w:p>
          <w:p w14:paraId="70FCCBAC" w14:textId="7536A028" w:rsidR="00A5436E" w:rsidRPr="00415204" w:rsidRDefault="00A5436E" w:rsidP="109DB379">
            <w:pPr>
              <w:pStyle w:val="ListParagraph"/>
              <w:spacing w:before="0" w:after="0" w:line="278" w:lineRule="auto"/>
              <w:rPr>
                <w:rFonts w:ascii="Aptos" w:eastAsia="Aptos" w:hAnsi="Aptos" w:cs="Aptos"/>
                <w:noProof/>
                <w:sz w:val="24"/>
                <w:szCs w:val="24"/>
              </w:rPr>
            </w:pPr>
          </w:p>
        </w:tc>
      </w:tr>
    </w:tbl>
    <w:p w14:paraId="2CB286BF" w14:textId="4B764DB7" w:rsidR="00D8012E" w:rsidRPr="00417E18" w:rsidRDefault="1A6250F1" w:rsidP="00C57A6C">
      <w:pPr>
        <w:pStyle w:val="Heading3"/>
        <w:rPr>
          <w:noProof/>
        </w:rPr>
      </w:pPr>
      <w:bookmarkStart w:id="24" w:name="_Toc2031772790"/>
      <w:bookmarkStart w:id="25" w:name="_Toc1756885277"/>
      <w:bookmarkStart w:id="26" w:name="_Toc231830054"/>
      <w:r w:rsidRPr="00417E18">
        <w:rPr>
          <w:noProof/>
        </w:rPr>
        <w:t>2.</w:t>
      </w:r>
      <w:r w:rsidR="00D77B57">
        <w:rPr>
          <w:noProof/>
        </w:rPr>
        <w:t>1</w:t>
      </w:r>
      <w:r w:rsidRPr="00417E18">
        <w:rPr>
          <w:noProof/>
        </w:rPr>
        <w:t xml:space="preserve">.3 </w:t>
      </w:r>
      <w:bookmarkEnd w:id="24"/>
      <w:r w:rsidR="00DF5FA8" w:rsidRPr="00417E18">
        <w:rPr>
          <w:noProof/>
        </w:rPr>
        <w:t>High-performance computing</w:t>
      </w:r>
      <w:r w:rsidR="00DA64F5" w:rsidRPr="00417E18">
        <w:rPr>
          <w:noProof/>
        </w:rPr>
        <w:t>, AI Factories and</w:t>
      </w:r>
      <w:r w:rsidR="00DF5FA8" w:rsidRPr="00417E18">
        <w:rPr>
          <w:noProof/>
        </w:rPr>
        <w:t xml:space="preserve"> AI Gigafactories</w:t>
      </w:r>
      <w:bookmarkEnd w:id="25"/>
      <w:bookmarkEnd w:id="26"/>
    </w:p>
    <w:p w14:paraId="6F6714DF" w14:textId="5D4E14FD" w:rsidR="0045171C" w:rsidRPr="00417E18" w:rsidRDefault="00F960F0" w:rsidP="00F60A40">
      <w:pPr>
        <w:spacing w:before="200" w:line="276" w:lineRule="auto"/>
        <w:rPr>
          <w:noProof/>
          <w:sz w:val="22"/>
          <w:szCs w:val="22"/>
        </w:rPr>
      </w:pPr>
      <w:r w:rsidRPr="00417E18">
        <w:rPr>
          <w:noProof/>
          <w:sz w:val="22"/>
          <w:szCs w:val="22"/>
        </w:rPr>
        <w:t xml:space="preserve">Since its establishment in 2018, </w:t>
      </w:r>
      <w:r w:rsidR="00F60A40" w:rsidRPr="00417E18">
        <w:rPr>
          <w:noProof/>
          <w:sz w:val="22"/>
          <w:szCs w:val="22"/>
        </w:rPr>
        <w:t xml:space="preserve">the </w:t>
      </w:r>
      <w:r w:rsidRPr="00417E18">
        <w:rPr>
          <w:noProof/>
          <w:sz w:val="22"/>
          <w:szCs w:val="22"/>
        </w:rPr>
        <w:t xml:space="preserve">EuroHPC </w:t>
      </w:r>
      <w:r w:rsidR="00F60A40" w:rsidRPr="00417E18">
        <w:rPr>
          <w:noProof/>
          <w:sz w:val="22"/>
          <w:szCs w:val="22"/>
        </w:rPr>
        <w:t>Joint Undertaking</w:t>
      </w:r>
      <w:r w:rsidRPr="00417E18">
        <w:rPr>
          <w:noProof/>
          <w:sz w:val="22"/>
          <w:szCs w:val="22"/>
        </w:rPr>
        <w:t xml:space="preserve"> </w:t>
      </w:r>
      <w:r w:rsidR="00EE1750" w:rsidRPr="00417E18">
        <w:rPr>
          <w:noProof/>
          <w:sz w:val="22"/>
          <w:szCs w:val="22"/>
        </w:rPr>
        <w:t xml:space="preserve">(EuroHPC) has built one of </w:t>
      </w:r>
      <w:r w:rsidRPr="00417E18">
        <w:rPr>
          <w:noProof/>
          <w:sz w:val="22"/>
          <w:szCs w:val="22"/>
        </w:rPr>
        <w:t xml:space="preserve">the </w:t>
      </w:r>
      <w:r w:rsidR="00EE1750" w:rsidRPr="00417E18">
        <w:rPr>
          <w:noProof/>
          <w:sz w:val="22"/>
          <w:szCs w:val="22"/>
        </w:rPr>
        <w:t xml:space="preserve">most powerful infrastructures for </w:t>
      </w:r>
      <w:r w:rsidR="00454695" w:rsidRPr="00417E18">
        <w:rPr>
          <w:noProof/>
          <w:sz w:val="22"/>
          <w:szCs w:val="22"/>
        </w:rPr>
        <w:t>high-</w:t>
      </w:r>
      <w:r w:rsidR="0C7966B5" w:rsidRPr="00417E18">
        <w:rPr>
          <w:noProof/>
          <w:sz w:val="22"/>
          <w:szCs w:val="22"/>
        </w:rPr>
        <w:t>performance</w:t>
      </w:r>
      <w:r w:rsidR="00454695" w:rsidRPr="00417E18">
        <w:rPr>
          <w:noProof/>
          <w:sz w:val="22"/>
          <w:szCs w:val="22"/>
        </w:rPr>
        <w:t xml:space="preserve"> computing (HPC) and </w:t>
      </w:r>
      <w:r w:rsidR="001F5734" w:rsidRPr="00417E18">
        <w:rPr>
          <w:noProof/>
          <w:sz w:val="22"/>
          <w:szCs w:val="22"/>
        </w:rPr>
        <w:t>a</w:t>
      </w:r>
      <w:r w:rsidR="00EE1750" w:rsidRPr="00417E18">
        <w:rPr>
          <w:noProof/>
          <w:sz w:val="22"/>
          <w:szCs w:val="22"/>
        </w:rPr>
        <w:t>r</w:t>
      </w:r>
      <w:r w:rsidR="001F5734" w:rsidRPr="00417E18">
        <w:rPr>
          <w:rFonts w:cs="Calibri"/>
          <w:noProof/>
          <w:sz w:val="22"/>
          <w:szCs w:val="22"/>
        </w:rPr>
        <w:t>t</w:t>
      </w:r>
      <w:r w:rsidR="00A85A9B" w:rsidRPr="00417E18">
        <w:rPr>
          <w:rFonts w:cs="Calibri"/>
          <w:noProof/>
          <w:sz w:val="22"/>
          <w:szCs w:val="22"/>
        </w:rPr>
        <w:t>i</w:t>
      </w:r>
      <w:r w:rsidR="00EE1750" w:rsidRPr="00417E18">
        <w:rPr>
          <w:noProof/>
          <w:sz w:val="22"/>
          <w:szCs w:val="22"/>
        </w:rPr>
        <w:t>ficial Intelligence (AI)</w:t>
      </w:r>
      <w:r w:rsidR="00A85A9B" w:rsidRPr="00417E18">
        <w:rPr>
          <w:noProof/>
          <w:sz w:val="22"/>
          <w:szCs w:val="22"/>
        </w:rPr>
        <w:t xml:space="preserve"> worldwide.</w:t>
      </w:r>
      <w:r w:rsidRPr="00417E18">
        <w:rPr>
          <w:noProof/>
          <w:sz w:val="22"/>
          <w:szCs w:val="22"/>
        </w:rPr>
        <w:t xml:space="preserve"> </w:t>
      </w:r>
      <w:r w:rsidR="000532C2" w:rsidRPr="00417E18">
        <w:rPr>
          <w:noProof/>
          <w:sz w:val="22"/>
          <w:szCs w:val="22"/>
        </w:rPr>
        <w:t>Together with</w:t>
      </w:r>
      <w:r w:rsidR="00C41A35" w:rsidRPr="00417E18">
        <w:rPr>
          <w:noProof/>
          <w:sz w:val="22"/>
          <w:szCs w:val="22"/>
        </w:rPr>
        <w:t xml:space="preserve"> its participating states</w:t>
      </w:r>
      <w:r w:rsidR="000532C2" w:rsidRPr="00417E18">
        <w:rPr>
          <w:noProof/>
          <w:sz w:val="22"/>
          <w:szCs w:val="22"/>
        </w:rPr>
        <w:t xml:space="preserve">, </w:t>
      </w:r>
      <w:r w:rsidR="00192D1A" w:rsidRPr="00417E18">
        <w:rPr>
          <w:noProof/>
          <w:sz w:val="22"/>
          <w:szCs w:val="22"/>
        </w:rPr>
        <w:t xml:space="preserve">the </w:t>
      </w:r>
      <w:r w:rsidR="000532C2" w:rsidRPr="00417E18">
        <w:rPr>
          <w:noProof/>
          <w:sz w:val="22"/>
          <w:szCs w:val="22"/>
        </w:rPr>
        <w:t>EuroHPC has</w:t>
      </w:r>
      <w:r w:rsidR="00C41A35" w:rsidRPr="00417E18">
        <w:rPr>
          <w:noProof/>
          <w:sz w:val="22"/>
          <w:szCs w:val="22"/>
        </w:rPr>
        <w:t xml:space="preserve"> acquired</w:t>
      </w:r>
      <w:r w:rsidRPr="00417E18">
        <w:rPr>
          <w:noProof/>
          <w:sz w:val="22"/>
          <w:szCs w:val="22"/>
        </w:rPr>
        <w:t xml:space="preserve"> </w:t>
      </w:r>
      <w:r w:rsidR="009B59A7" w:rsidRPr="00417E18">
        <w:rPr>
          <w:noProof/>
          <w:sz w:val="22"/>
          <w:szCs w:val="22"/>
        </w:rPr>
        <w:t>nine</w:t>
      </w:r>
      <w:r w:rsidRPr="00417E18">
        <w:rPr>
          <w:noProof/>
          <w:sz w:val="22"/>
          <w:szCs w:val="22"/>
        </w:rPr>
        <w:t xml:space="preserve"> supercomputers</w:t>
      </w:r>
      <w:r w:rsidR="00192D1A" w:rsidRPr="00417E18">
        <w:rPr>
          <w:noProof/>
          <w:sz w:val="22"/>
          <w:szCs w:val="22"/>
        </w:rPr>
        <w:t xml:space="preserve">, </w:t>
      </w:r>
      <w:r w:rsidRPr="00417E18">
        <w:rPr>
          <w:noProof/>
          <w:sz w:val="22"/>
          <w:szCs w:val="22"/>
        </w:rPr>
        <w:t xml:space="preserve">including </w:t>
      </w:r>
      <w:r w:rsidR="1934190B" w:rsidRPr="00417E18">
        <w:rPr>
          <w:noProof/>
          <w:sz w:val="22"/>
          <w:szCs w:val="22"/>
        </w:rPr>
        <w:t>three systems</w:t>
      </w:r>
      <w:r w:rsidR="00097BA5">
        <w:rPr>
          <w:noProof/>
          <w:sz w:val="22"/>
          <w:szCs w:val="22"/>
        </w:rPr>
        <w:t>-</w:t>
      </w:r>
      <w:r w:rsidR="000E1126" w:rsidRPr="00417E18">
        <w:rPr>
          <w:noProof/>
          <w:sz w:val="22"/>
          <w:szCs w:val="22"/>
        </w:rPr>
        <w:t xml:space="preserve">JUPITER </w:t>
      </w:r>
      <w:r w:rsidR="000532C2" w:rsidRPr="00417E18">
        <w:rPr>
          <w:noProof/>
          <w:sz w:val="22"/>
          <w:szCs w:val="22"/>
        </w:rPr>
        <w:t>(#</w:t>
      </w:r>
      <w:r w:rsidR="000E1126" w:rsidRPr="00417E18">
        <w:rPr>
          <w:noProof/>
          <w:sz w:val="22"/>
          <w:szCs w:val="22"/>
        </w:rPr>
        <w:t xml:space="preserve">4), LUMI (#9), </w:t>
      </w:r>
      <w:r w:rsidR="000532C2" w:rsidRPr="00417E18">
        <w:rPr>
          <w:noProof/>
          <w:sz w:val="22"/>
          <w:szCs w:val="22"/>
        </w:rPr>
        <w:t xml:space="preserve">and </w:t>
      </w:r>
      <w:r w:rsidR="00F1197A" w:rsidRPr="00417E18">
        <w:rPr>
          <w:noProof/>
          <w:sz w:val="22"/>
          <w:szCs w:val="22"/>
        </w:rPr>
        <w:t>LEONARDO</w:t>
      </w:r>
      <w:r w:rsidR="000E1126" w:rsidRPr="00417E18">
        <w:rPr>
          <w:noProof/>
          <w:sz w:val="22"/>
          <w:szCs w:val="22"/>
        </w:rPr>
        <w:t xml:space="preserve"> (#10</w:t>
      </w:r>
      <w:r w:rsidR="000532C2" w:rsidRPr="00417E18">
        <w:rPr>
          <w:noProof/>
          <w:sz w:val="22"/>
          <w:szCs w:val="22"/>
        </w:rPr>
        <w:t>)</w:t>
      </w:r>
      <w:r w:rsidR="00097BA5">
        <w:rPr>
          <w:noProof/>
          <w:sz w:val="22"/>
          <w:szCs w:val="22"/>
        </w:rPr>
        <w:t>-</w:t>
      </w:r>
      <w:r w:rsidR="002D2342" w:rsidRPr="00417E18">
        <w:rPr>
          <w:noProof/>
          <w:sz w:val="22"/>
          <w:szCs w:val="22"/>
        </w:rPr>
        <w:t>ranked among</w:t>
      </w:r>
      <w:r w:rsidRPr="00417E18">
        <w:rPr>
          <w:noProof/>
          <w:sz w:val="22"/>
          <w:szCs w:val="22"/>
        </w:rPr>
        <w:t xml:space="preserve"> the </w:t>
      </w:r>
      <w:r w:rsidR="72E5BF30" w:rsidRPr="00417E18">
        <w:rPr>
          <w:noProof/>
          <w:sz w:val="22"/>
          <w:szCs w:val="22"/>
        </w:rPr>
        <w:t xml:space="preserve">ten </w:t>
      </w:r>
      <w:r w:rsidRPr="00417E18">
        <w:rPr>
          <w:noProof/>
          <w:sz w:val="22"/>
          <w:szCs w:val="22"/>
        </w:rPr>
        <w:t xml:space="preserve">most powerful </w:t>
      </w:r>
      <w:r w:rsidR="002D2342" w:rsidRPr="00417E18">
        <w:rPr>
          <w:noProof/>
          <w:sz w:val="22"/>
          <w:szCs w:val="22"/>
        </w:rPr>
        <w:t>supercomputers</w:t>
      </w:r>
      <w:r w:rsidR="000532C2" w:rsidRPr="00417E18">
        <w:rPr>
          <w:noProof/>
          <w:sz w:val="22"/>
          <w:szCs w:val="22"/>
        </w:rPr>
        <w:t xml:space="preserve"> </w:t>
      </w:r>
      <w:r w:rsidRPr="00417E18">
        <w:rPr>
          <w:noProof/>
          <w:sz w:val="22"/>
          <w:szCs w:val="22"/>
        </w:rPr>
        <w:t>in the world.</w:t>
      </w:r>
      <w:r w:rsidR="002E5554" w:rsidRPr="00417E18">
        <w:rPr>
          <w:noProof/>
          <w:sz w:val="22"/>
          <w:szCs w:val="22"/>
        </w:rPr>
        <w:t xml:space="preserve"> </w:t>
      </w:r>
      <w:r w:rsidR="00047B3A" w:rsidRPr="00417E18">
        <w:rPr>
          <w:noProof/>
          <w:sz w:val="22"/>
          <w:szCs w:val="22"/>
        </w:rPr>
        <w:t xml:space="preserve">In </w:t>
      </w:r>
      <w:r w:rsidR="387EB80E" w:rsidRPr="00417E18">
        <w:rPr>
          <w:noProof/>
          <w:sz w:val="22"/>
          <w:szCs w:val="22"/>
        </w:rPr>
        <w:t xml:space="preserve">September </w:t>
      </w:r>
      <w:r w:rsidR="00047B3A" w:rsidRPr="00417E18">
        <w:rPr>
          <w:noProof/>
          <w:sz w:val="22"/>
          <w:szCs w:val="22"/>
        </w:rPr>
        <w:t>2025</w:t>
      </w:r>
      <w:r w:rsidR="42CC000D" w:rsidRPr="00417E18">
        <w:rPr>
          <w:noProof/>
          <w:sz w:val="22"/>
          <w:szCs w:val="22"/>
        </w:rPr>
        <w:t>,</w:t>
      </w:r>
      <w:r w:rsidR="00047B3A" w:rsidRPr="00417E18">
        <w:rPr>
          <w:noProof/>
          <w:sz w:val="22"/>
          <w:szCs w:val="22"/>
        </w:rPr>
        <w:t xml:space="preserve"> </w:t>
      </w:r>
      <w:r w:rsidR="0045171C" w:rsidRPr="00417E18">
        <w:rPr>
          <w:noProof/>
          <w:sz w:val="22"/>
          <w:szCs w:val="22"/>
        </w:rPr>
        <w:t>JUPITER</w:t>
      </w:r>
      <w:r w:rsidR="72A8A1DD" w:rsidRPr="00417E18">
        <w:rPr>
          <w:noProof/>
          <w:sz w:val="22"/>
          <w:szCs w:val="22"/>
        </w:rPr>
        <w:t xml:space="preserve">, the </w:t>
      </w:r>
      <w:r w:rsidR="0045171C" w:rsidRPr="00417E18">
        <w:rPr>
          <w:noProof/>
          <w:sz w:val="22"/>
          <w:szCs w:val="22"/>
        </w:rPr>
        <w:t xml:space="preserve">first </w:t>
      </w:r>
      <w:r w:rsidR="72A8A1DD" w:rsidRPr="00417E18">
        <w:rPr>
          <w:noProof/>
          <w:sz w:val="22"/>
          <w:szCs w:val="22"/>
        </w:rPr>
        <w:t xml:space="preserve">European </w:t>
      </w:r>
      <w:r w:rsidR="0045171C" w:rsidRPr="00417E18">
        <w:rPr>
          <w:noProof/>
          <w:sz w:val="22"/>
          <w:szCs w:val="22"/>
        </w:rPr>
        <w:t>supercomputer</w:t>
      </w:r>
      <w:r w:rsidR="000411AB" w:rsidRPr="00417E18">
        <w:rPr>
          <w:noProof/>
          <w:sz w:val="22"/>
          <w:szCs w:val="22"/>
        </w:rPr>
        <w:t xml:space="preserve"> to reach the exascale frontier</w:t>
      </w:r>
      <w:r w:rsidR="026AA23C" w:rsidRPr="00417E18">
        <w:rPr>
          <w:noProof/>
          <w:sz w:val="22"/>
          <w:szCs w:val="22"/>
        </w:rPr>
        <w:t xml:space="preserve">, </w:t>
      </w:r>
      <w:r w:rsidR="5971366A" w:rsidRPr="00417E18">
        <w:rPr>
          <w:noProof/>
          <w:sz w:val="22"/>
          <w:szCs w:val="22"/>
        </w:rPr>
        <w:t>was inaugurated</w:t>
      </w:r>
      <w:r w:rsidR="11B78984" w:rsidRPr="00417E18">
        <w:rPr>
          <w:noProof/>
          <w:sz w:val="22"/>
          <w:szCs w:val="22"/>
        </w:rPr>
        <w:t>.</w:t>
      </w:r>
      <w:r w:rsidR="00BF7F99" w:rsidRPr="00417E18">
        <w:rPr>
          <w:noProof/>
          <w:sz w:val="22"/>
          <w:szCs w:val="22"/>
        </w:rPr>
        <w:t xml:space="preserve"> A second exascale supercomputer (Alice Recoque) is to be </w:t>
      </w:r>
      <w:r w:rsidR="00D117E4" w:rsidRPr="00417E18">
        <w:rPr>
          <w:noProof/>
          <w:sz w:val="22"/>
          <w:szCs w:val="22"/>
        </w:rPr>
        <w:t>deployed</w:t>
      </w:r>
      <w:r w:rsidR="00BF7F99" w:rsidRPr="00417E18">
        <w:rPr>
          <w:noProof/>
          <w:sz w:val="22"/>
          <w:szCs w:val="22"/>
        </w:rPr>
        <w:t xml:space="preserve"> within </w:t>
      </w:r>
      <w:r w:rsidR="2E72A9E0" w:rsidRPr="00417E18">
        <w:rPr>
          <w:noProof/>
          <w:sz w:val="22"/>
          <w:szCs w:val="22"/>
        </w:rPr>
        <w:t>2027</w:t>
      </w:r>
      <w:r w:rsidR="003247B0" w:rsidRPr="00417E18">
        <w:rPr>
          <w:noProof/>
          <w:sz w:val="22"/>
          <w:szCs w:val="22"/>
        </w:rPr>
        <w:t>. S</w:t>
      </w:r>
      <w:r w:rsidR="001626B6" w:rsidRPr="00417E18">
        <w:rPr>
          <w:noProof/>
          <w:sz w:val="22"/>
          <w:szCs w:val="22"/>
        </w:rPr>
        <w:t>everal</w:t>
      </w:r>
      <w:r w:rsidR="006F23BA" w:rsidRPr="00417E18">
        <w:rPr>
          <w:noProof/>
          <w:sz w:val="22"/>
          <w:szCs w:val="22"/>
        </w:rPr>
        <w:t xml:space="preserve"> additional mid-range EuroHPC systems </w:t>
      </w:r>
      <w:r w:rsidR="00C348BC" w:rsidRPr="00417E18">
        <w:rPr>
          <w:noProof/>
          <w:sz w:val="22"/>
          <w:szCs w:val="22"/>
        </w:rPr>
        <w:t xml:space="preserve">are </w:t>
      </w:r>
      <w:r w:rsidR="00106C9B" w:rsidRPr="00417E18">
        <w:rPr>
          <w:noProof/>
          <w:sz w:val="22"/>
          <w:szCs w:val="22"/>
        </w:rPr>
        <w:t xml:space="preserve">currently </w:t>
      </w:r>
      <w:r w:rsidR="00C348BC" w:rsidRPr="00417E18">
        <w:rPr>
          <w:noProof/>
          <w:sz w:val="22"/>
          <w:szCs w:val="22"/>
        </w:rPr>
        <w:t xml:space="preserve">being </w:t>
      </w:r>
      <w:r w:rsidR="00106C9B" w:rsidRPr="00417E18">
        <w:rPr>
          <w:noProof/>
          <w:sz w:val="22"/>
          <w:szCs w:val="22"/>
        </w:rPr>
        <w:t>installed.</w:t>
      </w:r>
      <w:r w:rsidR="005C4A34" w:rsidRPr="00417E18">
        <w:rPr>
          <w:noProof/>
          <w:sz w:val="22"/>
          <w:szCs w:val="22"/>
        </w:rPr>
        <w:t xml:space="preserve"> These efforts have contributed to </w:t>
      </w:r>
      <w:r w:rsidR="003C7822">
        <w:rPr>
          <w:noProof/>
          <w:sz w:val="22"/>
          <w:szCs w:val="22"/>
        </w:rPr>
        <w:t xml:space="preserve">the </w:t>
      </w:r>
      <w:r w:rsidR="003C7822" w:rsidRPr="07868930">
        <w:rPr>
          <w:noProof/>
          <w:sz w:val="22"/>
          <w:szCs w:val="22"/>
        </w:rPr>
        <w:t>development</w:t>
      </w:r>
      <w:r w:rsidR="003C7822">
        <w:rPr>
          <w:noProof/>
          <w:sz w:val="22"/>
          <w:szCs w:val="22"/>
        </w:rPr>
        <w:t xml:space="preserve"> of</w:t>
      </w:r>
      <w:r w:rsidR="005C4A34" w:rsidRPr="00417E18" w:rsidDel="003C7822">
        <w:rPr>
          <w:noProof/>
          <w:sz w:val="22"/>
          <w:szCs w:val="22"/>
        </w:rPr>
        <w:t xml:space="preserve"> </w:t>
      </w:r>
      <w:r w:rsidR="005C4A34" w:rsidRPr="00417E18">
        <w:rPr>
          <w:noProof/>
          <w:sz w:val="22"/>
          <w:szCs w:val="22"/>
        </w:rPr>
        <w:t xml:space="preserve">a world-leading, secure, and interconnected supercomputing ecosystem, broadening HPC </w:t>
      </w:r>
      <w:r w:rsidR="005C4A34" w:rsidRPr="07868930">
        <w:rPr>
          <w:noProof/>
          <w:sz w:val="22"/>
          <w:szCs w:val="22"/>
        </w:rPr>
        <w:t>use</w:t>
      </w:r>
      <w:r w:rsidR="005C4A34" w:rsidRPr="00417E18">
        <w:rPr>
          <w:noProof/>
          <w:sz w:val="22"/>
          <w:szCs w:val="22"/>
        </w:rPr>
        <w:t xml:space="preserve">, and </w:t>
      </w:r>
      <w:r w:rsidR="00EA07D8" w:rsidRPr="07868930">
        <w:rPr>
          <w:noProof/>
          <w:sz w:val="22"/>
          <w:szCs w:val="22"/>
        </w:rPr>
        <w:t>strengthened</w:t>
      </w:r>
      <w:r w:rsidR="007111E0">
        <w:rPr>
          <w:noProof/>
          <w:sz w:val="22"/>
          <w:szCs w:val="22"/>
        </w:rPr>
        <w:t xml:space="preserve"> the</w:t>
      </w:r>
      <w:r w:rsidR="005C4A34" w:rsidRPr="00417E18">
        <w:rPr>
          <w:noProof/>
          <w:sz w:val="22"/>
          <w:szCs w:val="22"/>
        </w:rPr>
        <w:t xml:space="preserve"> skills</w:t>
      </w:r>
      <w:r w:rsidR="007111E0">
        <w:rPr>
          <w:noProof/>
          <w:sz w:val="22"/>
          <w:szCs w:val="22"/>
        </w:rPr>
        <w:t xml:space="preserve"> base</w:t>
      </w:r>
      <w:r w:rsidR="005C4A34" w:rsidRPr="00417E18">
        <w:rPr>
          <w:noProof/>
          <w:sz w:val="22"/>
          <w:szCs w:val="22"/>
        </w:rPr>
        <w:t xml:space="preserve"> for European science and industry.</w:t>
      </w:r>
    </w:p>
    <w:p w14:paraId="419BD6E6" w14:textId="74AA6580" w:rsidR="00E7211F" w:rsidRPr="00417E18" w:rsidRDefault="002D2342" w:rsidP="00F60A40">
      <w:pPr>
        <w:spacing w:before="200" w:line="276" w:lineRule="auto"/>
        <w:rPr>
          <w:noProof/>
          <w:sz w:val="22"/>
          <w:szCs w:val="22"/>
        </w:rPr>
      </w:pPr>
      <w:r w:rsidRPr="00417E18">
        <w:rPr>
          <w:noProof/>
          <w:sz w:val="22"/>
          <w:szCs w:val="22"/>
        </w:rPr>
        <w:t xml:space="preserve">The EuroHPC Joint Undertaking is rolling out 19 AI Factories and 13 Antennas across Europe, </w:t>
      </w:r>
      <w:r w:rsidR="004816BB" w:rsidRPr="00417E18">
        <w:rPr>
          <w:noProof/>
          <w:sz w:val="22"/>
          <w:szCs w:val="22"/>
        </w:rPr>
        <w:t xml:space="preserve">with an overall investment </w:t>
      </w:r>
      <w:r w:rsidR="005404EC" w:rsidRPr="00417E18">
        <w:rPr>
          <w:noProof/>
          <w:sz w:val="22"/>
          <w:szCs w:val="22"/>
        </w:rPr>
        <w:t xml:space="preserve">of </w:t>
      </w:r>
      <w:r w:rsidR="0053030A" w:rsidRPr="00417E18">
        <w:rPr>
          <w:noProof/>
          <w:sz w:val="22"/>
          <w:szCs w:val="22"/>
        </w:rPr>
        <w:t xml:space="preserve">around </w:t>
      </w:r>
      <w:r w:rsidR="00D472B0" w:rsidRPr="006022C0">
        <w:rPr>
          <w:noProof/>
          <w:sz w:val="22"/>
          <w:szCs w:val="22"/>
        </w:rPr>
        <w:t xml:space="preserve">EUR </w:t>
      </w:r>
      <w:r w:rsidR="005C7581" w:rsidRPr="00417E18">
        <w:rPr>
          <w:noProof/>
          <w:sz w:val="22"/>
          <w:szCs w:val="22"/>
        </w:rPr>
        <w:t>2.6 billion</w:t>
      </w:r>
      <w:r w:rsidRPr="00417E18">
        <w:rPr>
          <w:noProof/>
          <w:sz w:val="22"/>
          <w:szCs w:val="22"/>
        </w:rPr>
        <w:t xml:space="preserve">. This </w:t>
      </w:r>
      <w:r w:rsidR="007C485A" w:rsidRPr="00417E18">
        <w:rPr>
          <w:noProof/>
          <w:sz w:val="22"/>
          <w:szCs w:val="22"/>
        </w:rPr>
        <w:t>involves the procurement of</w:t>
      </w:r>
      <w:r w:rsidRPr="00417E18">
        <w:rPr>
          <w:noProof/>
          <w:sz w:val="22"/>
          <w:szCs w:val="22"/>
        </w:rPr>
        <w:t xml:space="preserve"> 15 new AI-optimised supercomputers, increasing Europe’s AI computing power fivefold</w:t>
      </w:r>
      <w:r w:rsidR="009468C6" w:rsidRPr="00417E18">
        <w:rPr>
          <w:noProof/>
          <w:sz w:val="22"/>
          <w:szCs w:val="22"/>
        </w:rPr>
        <w:t xml:space="preserve">. </w:t>
      </w:r>
      <w:r w:rsidR="00ED4BBE" w:rsidRPr="00417E18">
        <w:rPr>
          <w:noProof/>
          <w:sz w:val="22"/>
          <w:szCs w:val="22"/>
        </w:rPr>
        <w:t xml:space="preserve">AI Factories and Antennas will cooperate as a federated network ensuring seamless </w:t>
      </w:r>
      <w:r w:rsidR="3C59E7D4" w:rsidRPr="00417E18">
        <w:rPr>
          <w:noProof/>
          <w:sz w:val="22"/>
          <w:szCs w:val="22"/>
        </w:rPr>
        <w:t>integration</w:t>
      </w:r>
      <w:r w:rsidR="00ED4BBE" w:rsidRPr="00417E18">
        <w:rPr>
          <w:noProof/>
          <w:sz w:val="22"/>
          <w:szCs w:val="22"/>
        </w:rPr>
        <w:t>, efficient resource sharing, and secure cross</w:t>
      </w:r>
      <w:r w:rsidR="00736137" w:rsidRPr="00417E18">
        <w:rPr>
          <w:noProof/>
          <w:sz w:val="22"/>
          <w:szCs w:val="22"/>
        </w:rPr>
        <w:t>-</w:t>
      </w:r>
      <w:r w:rsidR="00ED4BBE" w:rsidRPr="00417E18">
        <w:rPr>
          <w:noProof/>
          <w:sz w:val="22"/>
          <w:szCs w:val="22"/>
        </w:rPr>
        <w:t xml:space="preserve">border access, </w:t>
      </w:r>
      <w:r w:rsidR="00AF7AB1">
        <w:rPr>
          <w:noProof/>
          <w:sz w:val="22"/>
          <w:szCs w:val="22"/>
        </w:rPr>
        <w:t xml:space="preserve">thereby </w:t>
      </w:r>
      <w:r w:rsidR="00ED4BBE" w:rsidRPr="00417E18">
        <w:rPr>
          <w:noProof/>
          <w:sz w:val="22"/>
          <w:szCs w:val="22"/>
        </w:rPr>
        <w:t>advancing Europe</w:t>
      </w:r>
      <w:r w:rsidR="00ED4BBE" w:rsidRPr="00417E18">
        <w:rPr>
          <w:rFonts w:cs="Calibri"/>
          <w:noProof/>
          <w:sz w:val="22"/>
          <w:szCs w:val="22"/>
        </w:rPr>
        <w:t>’</w:t>
      </w:r>
      <w:r w:rsidR="00ED4BBE" w:rsidRPr="00417E18">
        <w:rPr>
          <w:noProof/>
          <w:sz w:val="22"/>
          <w:szCs w:val="22"/>
        </w:rPr>
        <w:t>s strategic autonomy in critical digital capabilities.</w:t>
      </w:r>
    </w:p>
    <w:p w14:paraId="4ED2C5EB" w14:textId="0CD8285C" w:rsidR="00C4445C" w:rsidRPr="00417E18" w:rsidRDefault="00C4445C" w:rsidP="00F60A40">
      <w:pPr>
        <w:spacing w:before="200" w:line="276" w:lineRule="auto"/>
        <w:rPr>
          <w:noProof/>
          <w:sz w:val="22"/>
          <w:szCs w:val="22"/>
        </w:rPr>
      </w:pPr>
      <w:r w:rsidRPr="00417E18">
        <w:rPr>
          <w:noProof/>
          <w:sz w:val="22"/>
          <w:szCs w:val="22"/>
        </w:rPr>
        <w:t xml:space="preserve">A major scientific success story of 2025 was the advancement of the Destination Earth initiative, </w:t>
      </w:r>
      <w:r w:rsidR="00E2779C">
        <w:rPr>
          <w:noProof/>
          <w:sz w:val="22"/>
          <w:szCs w:val="22"/>
        </w:rPr>
        <w:t xml:space="preserve">which </w:t>
      </w:r>
      <w:r w:rsidR="00CB5EE4" w:rsidRPr="00417E18">
        <w:rPr>
          <w:noProof/>
          <w:sz w:val="22"/>
          <w:szCs w:val="22"/>
        </w:rPr>
        <w:t>perform</w:t>
      </w:r>
      <w:r w:rsidR="00E2779C">
        <w:rPr>
          <w:noProof/>
          <w:sz w:val="22"/>
          <w:szCs w:val="22"/>
        </w:rPr>
        <w:t xml:space="preserve">ed </w:t>
      </w:r>
      <w:r w:rsidR="00FD7B61" w:rsidRPr="00417E18">
        <w:rPr>
          <w:noProof/>
          <w:sz w:val="22"/>
          <w:szCs w:val="22"/>
        </w:rPr>
        <w:t>frontier</w:t>
      </w:r>
      <w:r w:rsidR="008A436D" w:rsidRPr="00417E18" w:rsidDel="00ED4510">
        <w:rPr>
          <w:noProof/>
          <w:sz w:val="22"/>
          <w:szCs w:val="22"/>
        </w:rPr>
        <w:t xml:space="preserve"> </w:t>
      </w:r>
      <w:r w:rsidR="00B512A5" w:rsidRPr="00417E18">
        <w:rPr>
          <w:noProof/>
          <w:sz w:val="22"/>
          <w:szCs w:val="22"/>
        </w:rPr>
        <w:t>high</w:t>
      </w:r>
      <w:r w:rsidR="008A436D" w:rsidRPr="00417E18">
        <w:rPr>
          <w:noProof/>
          <w:sz w:val="22"/>
          <w:szCs w:val="22"/>
        </w:rPr>
        <w:t xml:space="preserve"> </w:t>
      </w:r>
      <w:r w:rsidR="008A436D" w:rsidRPr="00417E18" w:rsidDel="00ED4510">
        <w:rPr>
          <w:noProof/>
          <w:sz w:val="22"/>
          <w:szCs w:val="22"/>
        </w:rPr>
        <w:t xml:space="preserve">resolution </w:t>
      </w:r>
      <w:r w:rsidR="00ED4510">
        <w:rPr>
          <w:noProof/>
          <w:sz w:val="22"/>
          <w:szCs w:val="22"/>
        </w:rPr>
        <w:t xml:space="preserve">climate simulations </w:t>
      </w:r>
      <w:r w:rsidR="005F1200">
        <w:rPr>
          <w:noProof/>
          <w:sz w:val="22"/>
          <w:szCs w:val="22"/>
        </w:rPr>
        <w:t xml:space="preserve">primarily </w:t>
      </w:r>
      <w:r w:rsidRPr="00417E18">
        <w:rPr>
          <w:noProof/>
          <w:sz w:val="22"/>
          <w:szCs w:val="22"/>
        </w:rPr>
        <w:t>using the LUMI supercomputer and its new AI Factory capabilities.</w:t>
      </w:r>
    </w:p>
    <w:p w14:paraId="28609D87" w14:textId="1B36B888" w:rsidR="00EA680F" w:rsidRPr="00417E18" w:rsidRDefault="00A41497" w:rsidP="00F60A40">
      <w:pPr>
        <w:spacing w:before="200" w:line="276" w:lineRule="auto"/>
        <w:rPr>
          <w:noProof/>
          <w:sz w:val="22"/>
          <w:szCs w:val="22"/>
        </w:rPr>
      </w:pPr>
      <w:r w:rsidRPr="00417E18">
        <w:rPr>
          <w:noProof/>
          <w:sz w:val="22"/>
          <w:szCs w:val="22"/>
        </w:rPr>
        <w:t xml:space="preserve">Europe stands at a pivotal moment to convert recent progress in HPC and AI into durable leadership, technological sovereignty, and broad-based impact. </w:t>
      </w:r>
      <w:r w:rsidR="00960758" w:rsidRPr="00417E18">
        <w:rPr>
          <w:noProof/>
          <w:sz w:val="22"/>
          <w:szCs w:val="22"/>
        </w:rPr>
        <w:t>Expanding AI computing capacity within the EU remains a top-tier strategic priority</w:t>
      </w:r>
      <w:r w:rsidR="00790915" w:rsidRPr="00417E18">
        <w:rPr>
          <w:noProof/>
          <w:sz w:val="22"/>
          <w:szCs w:val="22"/>
        </w:rPr>
        <w:t xml:space="preserve"> to </w:t>
      </w:r>
      <w:r w:rsidR="001C4E57">
        <w:rPr>
          <w:noProof/>
          <w:sz w:val="22"/>
          <w:szCs w:val="22"/>
        </w:rPr>
        <w:t>strengthen</w:t>
      </w:r>
      <w:r w:rsidR="001C4E57" w:rsidRPr="00417E18">
        <w:rPr>
          <w:noProof/>
          <w:sz w:val="22"/>
          <w:szCs w:val="22"/>
        </w:rPr>
        <w:t xml:space="preserve"> </w:t>
      </w:r>
      <w:r w:rsidR="001C4E57" w:rsidRPr="07868930">
        <w:rPr>
          <w:noProof/>
          <w:sz w:val="22"/>
          <w:szCs w:val="22"/>
        </w:rPr>
        <w:t>competitiveness</w:t>
      </w:r>
      <w:r w:rsidR="00790915" w:rsidRPr="00417E18" w:rsidDel="001C4E57">
        <w:rPr>
          <w:noProof/>
          <w:sz w:val="22"/>
          <w:szCs w:val="22"/>
        </w:rPr>
        <w:t xml:space="preserve"> </w:t>
      </w:r>
      <w:r w:rsidR="00790915" w:rsidRPr="00417E18">
        <w:rPr>
          <w:noProof/>
          <w:sz w:val="22"/>
          <w:szCs w:val="22"/>
        </w:rPr>
        <w:t>and technological sovereignty</w:t>
      </w:r>
      <w:r w:rsidR="00960758" w:rsidRPr="00417E18">
        <w:rPr>
          <w:noProof/>
          <w:sz w:val="22"/>
          <w:szCs w:val="22"/>
        </w:rPr>
        <w:t xml:space="preserve">. </w:t>
      </w:r>
      <w:r w:rsidR="003778AD" w:rsidRPr="00417E18">
        <w:rPr>
          <w:noProof/>
          <w:sz w:val="22"/>
          <w:szCs w:val="22"/>
        </w:rPr>
        <w:t xml:space="preserve">Building on the concept of AI Factories, AI Gigafactories </w:t>
      </w:r>
      <w:r w:rsidR="000E58E7" w:rsidRPr="07868930">
        <w:rPr>
          <w:noProof/>
          <w:sz w:val="22"/>
          <w:szCs w:val="22"/>
        </w:rPr>
        <w:t>are</w:t>
      </w:r>
      <w:r w:rsidR="000E58E7">
        <w:rPr>
          <w:noProof/>
          <w:sz w:val="22"/>
          <w:szCs w:val="22"/>
        </w:rPr>
        <w:t xml:space="preserve"> intended to take this a step further</w:t>
      </w:r>
      <w:r w:rsidR="003778AD" w:rsidRPr="00417E18">
        <w:rPr>
          <w:noProof/>
          <w:sz w:val="22"/>
          <w:szCs w:val="22"/>
        </w:rPr>
        <w:t xml:space="preserve"> by integrating massive computing power</w:t>
      </w:r>
      <w:r w:rsidR="00F3417C" w:rsidRPr="00417E18">
        <w:rPr>
          <w:noProof/>
          <w:sz w:val="22"/>
          <w:szCs w:val="22"/>
        </w:rPr>
        <w:t xml:space="preserve"> in </w:t>
      </w:r>
      <w:r w:rsidR="008E6B70" w:rsidRPr="07868930">
        <w:rPr>
          <w:noProof/>
          <w:sz w:val="22"/>
          <w:szCs w:val="22"/>
        </w:rPr>
        <w:t>l</w:t>
      </w:r>
      <w:r w:rsidR="00890841" w:rsidRPr="07868930">
        <w:rPr>
          <w:noProof/>
          <w:sz w:val="22"/>
          <w:szCs w:val="22"/>
        </w:rPr>
        <w:t>arge</w:t>
      </w:r>
      <w:r w:rsidR="00890841" w:rsidRPr="00417E18">
        <w:rPr>
          <w:noProof/>
          <w:sz w:val="22"/>
          <w:szCs w:val="22"/>
        </w:rPr>
        <w:t xml:space="preserve">-scale facilities designed to develop, train, and deploy the next generation </w:t>
      </w:r>
      <w:r w:rsidR="008E6B70">
        <w:rPr>
          <w:noProof/>
          <w:sz w:val="22"/>
          <w:szCs w:val="22"/>
        </w:rPr>
        <w:t xml:space="preserve">of the </w:t>
      </w:r>
      <w:r w:rsidR="00890841" w:rsidRPr="00417E18">
        <w:rPr>
          <w:noProof/>
          <w:sz w:val="22"/>
          <w:szCs w:val="22"/>
        </w:rPr>
        <w:t>most complex AI models at an unprecedented scale</w:t>
      </w:r>
      <w:r w:rsidR="00813AE6" w:rsidRPr="00417E18">
        <w:rPr>
          <w:noProof/>
          <w:sz w:val="22"/>
          <w:szCs w:val="22"/>
        </w:rPr>
        <w:t>.</w:t>
      </w:r>
    </w:p>
    <w:p w14:paraId="18835E9F" w14:textId="6D71B503" w:rsidR="003778AD" w:rsidRPr="00417E18" w:rsidRDefault="00EA680F" w:rsidP="00F60A40">
      <w:pPr>
        <w:spacing w:before="200" w:line="276" w:lineRule="auto"/>
        <w:rPr>
          <w:noProof/>
          <w:sz w:val="22"/>
          <w:szCs w:val="22"/>
        </w:rPr>
      </w:pPr>
      <w:r w:rsidRPr="00417E18">
        <w:rPr>
          <w:noProof/>
          <w:sz w:val="22"/>
          <w:szCs w:val="22"/>
        </w:rPr>
        <w:t>AI Gigafactories will be selected through an official Call</w:t>
      </w:r>
      <w:r w:rsidR="005951F0">
        <w:rPr>
          <w:noProof/>
          <w:sz w:val="22"/>
          <w:szCs w:val="22"/>
        </w:rPr>
        <w:t xml:space="preserve">, </w:t>
      </w:r>
      <w:r w:rsidRPr="00417E18">
        <w:rPr>
          <w:noProof/>
          <w:sz w:val="22"/>
          <w:szCs w:val="22"/>
        </w:rPr>
        <w:t xml:space="preserve">based on joint procurement between EuroHPC and </w:t>
      </w:r>
      <w:r w:rsidR="000D3495" w:rsidRPr="00417E18">
        <w:rPr>
          <w:noProof/>
          <w:sz w:val="22"/>
          <w:szCs w:val="22"/>
        </w:rPr>
        <w:t>its participating states</w:t>
      </w:r>
      <w:r w:rsidRPr="00417E18">
        <w:rPr>
          <w:noProof/>
          <w:sz w:val="22"/>
          <w:szCs w:val="22"/>
        </w:rPr>
        <w:t>.</w:t>
      </w:r>
      <w:r w:rsidR="00602B97" w:rsidRPr="00417E18">
        <w:rPr>
          <w:noProof/>
          <w:sz w:val="22"/>
          <w:szCs w:val="22"/>
        </w:rPr>
        <w:t xml:space="preserve"> </w:t>
      </w:r>
      <w:r w:rsidR="00813AE6" w:rsidRPr="00417E18">
        <w:rPr>
          <w:noProof/>
          <w:sz w:val="22"/>
          <w:szCs w:val="22"/>
        </w:rPr>
        <w:t xml:space="preserve">These </w:t>
      </w:r>
      <w:r w:rsidR="0072529F" w:rsidRPr="00417E18">
        <w:rPr>
          <w:noProof/>
          <w:sz w:val="22"/>
          <w:szCs w:val="22"/>
        </w:rPr>
        <w:t xml:space="preserve">infrastructures are essential </w:t>
      </w:r>
      <w:r w:rsidR="005476E4">
        <w:rPr>
          <w:noProof/>
          <w:sz w:val="22"/>
          <w:szCs w:val="22"/>
        </w:rPr>
        <w:t>if</w:t>
      </w:r>
      <w:r w:rsidR="005476E4" w:rsidRPr="00417E18">
        <w:rPr>
          <w:noProof/>
          <w:sz w:val="22"/>
          <w:szCs w:val="22"/>
        </w:rPr>
        <w:t xml:space="preserve"> </w:t>
      </w:r>
      <w:r w:rsidR="00FF2BE2" w:rsidRPr="00417E18">
        <w:rPr>
          <w:noProof/>
          <w:sz w:val="22"/>
          <w:szCs w:val="22"/>
        </w:rPr>
        <w:t xml:space="preserve">Europe </w:t>
      </w:r>
      <w:r w:rsidR="005476E4">
        <w:rPr>
          <w:noProof/>
          <w:sz w:val="22"/>
          <w:szCs w:val="22"/>
        </w:rPr>
        <w:t xml:space="preserve">is </w:t>
      </w:r>
      <w:r w:rsidR="00FF2BE2" w:rsidRPr="00417E18" w:rsidDel="00956972">
        <w:rPr>
          <w:noProof/>
          <w:sz w:val="22"/>
          <w:szCs w:val="22"/>
        </w:rPr>
        <w:t xml:space="preserve">to </w:t>
      </w:r>
      <w:r w:rsidR="00FF2BE2" w:rsidRPr="00417E18">
        <w:rPr>
          <w:noProof/>
          <w:sz w:val="22"/>
          <w:szCs w:val="22"/>
        </w:rPr>
        <w:t xml:space="preserve">compete </w:t>
      </w:r>
      <w:r w:rsidR="7A43C934" w:rsidRPr="5FCDC78E">
        <w:rPr>
          <w:noProof/>
          <w:sz w:val="22"/>
          <w:szCs w:val="22"/>
        </w:rPr>
        <w:t>at</w:t>
      </w:r>
      <w:r w:rsidR="00FF2BE2" w:rsidRPr="00417E18">
        <w:rPr>
          <w:noProof/>
          <w:sz w:val="22"/>
          <w:szCs w:val="22"/>
        </w:rPr>
        <w:t xml:space="preserve"> the global level and </w:t>
      </w:r>
      <w:r w:rsidR="00956972">
        <w:rPr>
          <w:noProof/>
          <w:sz w:val="22"/>
          <w:szCs w:val="22"/>
        </w:rPr>
        <w:t>strengthen</w:t>
      </w:r>
      <w:r w:rsidR="00956972" w:rsidRPr="00417E18">
        <w:rPr>
          <w:noProof/>
          <w:sz w:val="22"/>
          <w:szCs w:val="22"/>
        </w:rPr>
        <w:t xml:space="preserve"> </w:t>
      </w:r>
      <w:r w:rsidR="00FF2BE2" w:rsidRPr="00417E18">
        <w:rPr>
          <w:noProof/>
          <w:sz w:val="22"/>
          <w:szCs w:val="22"/>
        </w:rPr>
        <w:t>its strategic autonomy in science and in critical industrial sectors.</w:t>
      </w:r>
      <w:r w:rsidR="00F12785" w:rsidRPr="00417E18">
        <w:rPr>
          <w:noProof/>
          <w:sz w:val="22"/>
          <w:szCs w:val="22"/>
        </w:rPr>
        <w:t xml:space="preserve"> </w:t>
      </w:r>
      <w:r w:rsidR="00A6570E" w:rsidRPr="00417E18">
        <w:rPr>
          <w:noProof/>
          <w:sz w:val="22"/>
          <w:szCs w:val="22"/>
        </w:rPr>
        <w:t xml:space="preserve">Given the </w:t>
      </w:r>
      <w:r w:rsidR="0084604D">
        <w:rPr>
          <w:noProof/>
          <w:sz w:val="22"/>
          <w:szCs w:val="22"/>
        </w:rPr>
        <w:t>scale</w:t>
      </w:r>
      <w:r w:rsidR="0084604D" w:rsidRPr="00417E18">
        <w:rPr>
          <w:noProof/>
          <w:sz w:val="22"/>
          <w:szCs w:val="22"/>
        </w:rPr>
        <w:t xml:space="preserve"> </w:t>
      </w:r>
      <w:r w:rsidR="00A6570E" w:rsidRPr="00417E18">
        <w:rPr>
          <w:noProof/>
          <w:sz w:val="22"/>
          <w:szCs w:val="22"/>
        </w:rPr>
        <w:t>of investment</w:t>
      </w:r>
      <w:r w:rsidR="0084604D">
        <w:rPr>
          <w:noProof/>
          <w:sz w:val="22"/>
          <w:szCs w:val="22"/>
        </w:rPr>
        <w:t xml:space="preserve"> required</w:t>
      </w:r>
      <w:r w:rsidR="00A6570E" w:rsidRPr="00417E18">
        <w:rPr>
          <w:noProof/>
          <w:sz w:val="22"/>
          <w:szCs w:val="22"/>
        </w:rPr>
        <w:t xml:space="preserve">, AI Gigafactories </w:t>
      </w:r>
      <w:r w:rsidR="00E95ABE">
        <w:rPr>
          <w:noProof/>
          <w:sz w:val="22"/>
          <w:szCs w:val="22"/>
        </w:rPr>
        <w:t xml:space="preserve">are expected </w:t>
      </w:r>
      <w:r w:rsidR="6206BD00" w:rsidRPr="5FCDC78E">
        <w:rPr>
          <w:noProof/>
          <w:sz w:val="22"/>
          <w:szCs w:val="22"/>
        </w:rPr>
        <w:t>to</w:t>
      </w:r>
      <w:r w:rsidR="00A6570E" w:rsidRPr="00417E18">
        <w:rPr>
          <w:noProof/>
          <w:sz w:val="22"/>
          <w:szCs w:val="22"/>
        </w:rPr>
        <w:t xml:space="preserve"> be implemented through public-private partnerships.</w:t>
      </w:r>
      <w:r w:rsidR="00256A0F" w:rsidRPr="00417E18">
        <w:rPr>
          <w:noProof/>
          <w:sz w:val="22"/>
          <w:szCs w:val="22"/>
        </w:rPr>
        <w:t xml:space="preserve"> </w:t>
      </w:r>
    </w:p>
    <w:p w14:paraId="162BD0AD" w14:textId="33009BF8" w:rsidR="00CB689F" w:rsidRPr="00417E18" w:rsidRDefault="00B82FB5" w:rsidP="00F53198">
      <w:pPr>
        <w:spacing w:before="200" w:line="276" w:lineRule="auto"/>
        <w:rPr>
          <w:noProof/>
          <w:sz w:val="22"/>
          <w:szCs w:val="22"/>
        </w:rPr>
      </w:pPr>
      <w:r w:rsidRPr="00417E18">
        <w:rPr>
          <w:noProof/>
          <w:sz w:val="22"/>
          <w:szCs w:val="22"/>
        </w:rPr>
        <w:t xml:space="preserve">A critical factor in the HPC/AI ecosystem </w:t>
      </w:r>
      <w:r w:rsidR="00A31E6F">
        <w:rPr>
          <w:noProof/>
          <w:sz w:val="22"/>
          <w:szCs w:val="22"/>
        </w:rPr>
        <w:t>remains</w:t>
      </w:r>
      <w:r w:rsidR="00A31E6F" w:rsidRPr="00417E18">
        <w:rPr>
          <w:noProof/>
          <w:sz w:val="22"/>
          <w:szCs w:val="22"/>
        </w:rPr>
        <w:t xml:space="preserve"> </w:t>
      </w:r>
      <w:r w:rsidRPr="00417E18">
        <w:rPr>
          <w:noProof/>
          <w:sz w:val="22"/>
          <w:szCs w:val="22"/>
        </w:rPr>
        <w:t xml:space="preserve">the </w:t>
      </w:r>
      <w:r w:rsidR="007F6596" w:rsidRPr="00417E18">
        <w:rPr>
          <w:noProof/>
          <w:sz w:val="22"/>
          <w:szCs w:val="22"/>
        </w:rPr>
        <w:t>strong</w:t>
      </w:r>
      <w:r w:rsidRPr="00417E18">
        <w:rPr>
          <w:noProof/>
          <w:sz w:val="22"/>
          <w:szCs w:val="22"/>
        </w:rPr>
        <w:t xml:space="preserve"> dependence on third-party </w:t>
      </w:r>
      <w:r w:rsidR="00FB5A8D" w:rsidRPr="00417E18">
        <w:rPr>
          <w:noProof/>
          <w:sz w:val="22"/>
          <w:szCs w:val="22"/>
        </w:rPr>
        <w:t>sources</w:t>
      </w:r>
      <w:r w:rsidR="00D10167" w:rsidRPr="00417E18">
        <w:rPr>
          <w:noProof/>
          <w:sz w:val="22"/>
          <w:szCs w:val="22"/>
        </w:rPr>
        <w:t xml:space="preserve">, notably </w:t>
      </w:r>
      <w:r w:rsidR="00A31E6F">
        <w:rPr>
          <w:noProof/>
          <w:sz w:val="22"/>
          <w:szCs w:val="22"/>
        </w:rPr>
        <w:t>for</w:t>
      </w:r>
      <w:r w:rsidR="00A31E6F" w:rsidRPr="00417E18">
        <w:rPr>
          <w:noProof/>
          <w:sz w:val="22"/>
          <w:szCs w:val="22"/>
        </w:rPr>
        <w:t xml:space="preserve"> </w:t>
      </w:r>
      <w:r w:rsidR="00D10167" w:rsidRPr="00417E18">
        <w:rPr>
          <w:noProof/>
          <w:sz w:val="22"/>
          <w:szCs w:val="22"/>
        </w:rPr>
        <w:t>HPC and AI chips</w:t>
      </w:r>
      <w:r w:rsidRPr="00417E18">
        <w:rPr>
          <w:noProof/>
          <w:sz w:val="22"/>
          <w:szCs w:val="22"/>
        </w:rPr>
        <w:t xml:space="preserve">. </w:t>
      </w:r>
      <w:r w:rsidR="003001A3" w:rsidRPr="00417E18">
        <w:rPr>
          <w:noProof/>
          <w:sz w:val="22"/>
          <w:szCs w:val="22"/>
        </w:rPr>
        <w:t xml:space="preserve">For </w:t>
      </w:r>
      <w:r w:rsidR="007F6596" w:rsidRPr="00417E18">
        <w:rPr>
          <w:noProof/>
          <w:sz w:val="22"/>
          <w:szCs w:val="22"/>
        </w:rPr>
        <w:t>a</w:t>
      </w:r>
      <w:r w:rsidR="00F9177C" w:rsidRPr="00417E18">
        <w:rPr>
          <w:noProof/>
          <w:sz w:val="22"/>
          <w:szCs w:val="22"/>
        </w:rPr>
        <w:t xml:space="preserve"> sovereign ecosystem to </w:t>
      </w:r>
      <w:r w:rsidR="007B17B5" w:rsidRPr="00417E18">
        <w:rPr>
          <w:noProof/>
          <w:sz w:val="22"/>
          <w:szCs w:val="22"/>
        </w:rPr>
        <w:t xml:space="preserve">thrive, </w:t>
      </w:r>
      <w:r w:rsidR="0034518A" w:rsidRPr="00417E18">
        <w:rPr>
          <w:noProof/>
          <w:sz w:val="22"/>
          <w:szCs w:val="22"/>
        </w:rPr>
        <w:t xml:space="preserve">the EU </w:t>
      </w:r>
      <w:r w:rsidR="00E66321" w:rsidRPr="00417E18">
        <w:rPr>
          <w:noProof/>
          <w:sz w:val="22"/>
          <w:szCs w:val="22"/>
        </w:rPr>
        <w:t xml:space="preserve">must develop </w:t>
      </w:r>
      <w:r w:rsidR="00F739C9" w:rsidRPr="00417E18">
        <w:rPr>
          <w:noProof/>
          <w:sz w:val="22"/>
          <w:szCs w:val="22"/>
        </w:rPr>
        <w:t xml:space="preserve">indigenous </w:t>
      </w:r>
      <w:r w:rsidR="005E74B9" w:rsidRPr="00417E18">
        <w:rPr>
          <w:noProof/>
          <w:sz w:val="22"/>
          <w:szCs w:val="22"/>
        </w:rPr>
        <w:t>building blocks</w:t>
      </w:r>
      <w:r w:rsidR="00C60BA0" w:rsidRPr="00417E18">
        <w:rPr>
          <w:noProof/>
          <w:sz w:val="22"/>
          <w:szCs w:val="22"/>
        </w:rPr>
        <w:t xml:space="preserve"> </w:t>
      </w:r>
      <w:r w:rsidR="00C9222F" w:rsidRPr="00417E18">
        <w:rPr>
          <w:noProof/>
          <w:sz w:val="22"/>
          <w:szCs w:val="22"/>
        </w:rPr>
        <w:t>(</w:t>
      </w:r>
      <w:r w:rsidR="00C60BA0" w:rsidRPr="00417E18">
        <w:rPr>
          <w:noProof/>
          <w:sz w:val="22"/>
          <w:szCs w:val="22"/>
        </w:rPr>
        <w:t>i.e.,</w:t>
      </w:r>
      <w:r w:rsidRPr="00417E18">
        <w:rPr>
          <w:noProof/>
          <w:sz w:val="22"/>
          <w:szCs w:val="22"/>
        </w:rPr>
        <w:t xml:space="preserve"> the necessary hardware and software)</w:t>
      </w:r>
      <w:r w:rsidR="00C9222F" w:rsidRPr="00417E18">
        <w:rPr>
          <w:noProof/>
          <w:sz w:val="22"/>
          <w:szCs w:val="22"/>
        </w:rPr>
        <w:t xml:space="preserve"> to</w:t>
      </w:r>
      <w:r w:rsidR="00A126C2" w:rsidRPr="00417E18">
        <w:rPr>
          <w:noProof/>
          <w:sz w:val="22"/>
          <w:szCs w:val="22"/>
        </w:rPr>
        <w:t xml:space="preserve"> power these supercomputing infrastructures.</w:t>
      </w:r>
      <w:r w:rsidR="00D30CD7" w:rsidRPr="00417E18">
        <w:rPr>
          <w:noProof/>
          <w:sz w:val="22"/>
          <w:szCs w:val="22"/>
        </w:rPr>
        <w:t xml:space="preserve"> </w:t>
      </w:r>
      <w:r w:rsidR="00875132" w:rsidRPr="07868930">
        <w:rPr>
          <w:noProof/>
          <w:sz w:val="22"/>
          <w:szCs w:val="22"/>
        </w:rPr>
        <w:t xml:space="preserve">Europe </w:t>
      </w:r>
      <w:r w:rsidR="00AD3520" w:rsidRPr="07868930">
        <w:rPr>
          <w:noProof/>
          <w:sz w:val="22"/>
          <w:szCs w:val="22"/>
        </w:rPr>
        <w:t>has</w:t>
      </w:r>
      <w:r w:rsidR="00AD3520">
        <w:rPr>
          <w:noProof/>
          <w:sz w:val="22"/>
          <w:szCs w:val="22"/>
        </w:rPr>
        <w:t xml:space="preserve"> strong</w:t>
      </w:r>
      <w:r w:rsidR="00875132" w:rsidRPr="00417E18" w:rsidDel="00AD3520">
        <w:rPr>
          <w:noProof/>
          <w:sz w:val="22"/>
          <w:szCs w:val="22"/>
        </w:rPr>
        <w:t xml:space="preserve"> </w:t>
      </w:r>
      <w:r w:rsidR="00967BB6" w:rsidRPr="00417E18">
        <w:rPr>
          <w:noProof/>
          <w:sz w:val="22"/>
          <w:szCs w:val="22"/>
        </w:rPr>
        <w:t xml:space="preserve">engineering </w:t>
      </w:r>
      <w:r w:rsidR="00875132" w:rsidRPr="00417E18">
        <w:rPr>
          <w:noProof/>
          <w:sz w:val="22"/>
          <w:szCs w:val="22"/>
        </w:rPr>
        <w:t xml:space="preserve">talent in the field, </w:t>
      </w:r>
      <w:r w:rsidR="003F7DB1" w:rsidRPr="07868930">
        <w:rPr>
          <w:noProof/>
          <w:sz w:val="22"/>
          <w:szCs w:val="22"/>
        </w:rPr>
        <w:t>but producing</w:t>
      </w:r>
      <w:r w:rsidR="00696C55" w:rsidRPr="00417E18">
        <w:rPr>
          <w:noProof/>
          <w:sz w:val="22"/>
          <w:szCs w:val="22"/>
        </w:rPr>
        <w:t xml:space="preserve"> competitive European alternatives</w:t>
      </w:r>
      <w:r w:rsidR="00097BA5">
        <w:rPr>
          <w:noProof/>
          <w:sz w:val="22"/>
          <w:szCs w:val="22"/>
        </w:rPr>
        <w:t>-</w:t>
      </w:r>
      <w:r w:rsidR="00696C55" w:rsidRPr="00417E18">
        <w:rPr>
          <w:noProof/>
          <w:sz w:val="22"/>
          <w:szCs w:val="22"/>
        </w:rPr>
        <w:t>spanning semiconductor design, packaging, integration, and optimised software stacks</w:t>
      </w:r>
      <w:r w:rsidR="00097BA5">
        <w:rPr>
          <w:noProof/>
          <w:sz w:val="22"/>
          <w:szCs w:val="22"/>
        </w:rPr>
        <w:t>-</w:t>
      </w:r>
      <w:r w:rsidR="006C7170">
        <w:rPr>
          <w:noProof/>
          <w:sz w:val="22"/>
          <w:szCs w:val="22"/>
        </w:rPr>
        <w:t xml:space="preserve">will require sustained </w:t>
      </w:r>
      <w:r w:rsidR="00696C55" w:rsidRPr="00417E18">
        <w:rPr>
          <w:noProof/>
          <w:sz w:val="22"/>
          <w:szCs w:val="22"/>
        </w:rPr>
        <w:t>funding and industry partnerships</w:t>
      </w:r>
      <w:r w:rsidR="00D25242">
        <w:rPr>
          <w:noProof/>
          <w:sz w:val="22"/>
          <w:szCs w:val="22"/>
        </w:rPr>
        <w:t xml:space="preserve"> well placed</w:t>
      </w:r>
      <w:r w:rsidR="00696C55" w:rsidRPr="00417E18">
        <w:rPr>
          <w:noProof/>
          <w:sz w:val="22"/>
          <w:szCs w:val="22"/>
        </w:rPr>
        <w:t xml:space="preserve"> to bring these capabilities from prototype to volume deployment.</w:t>
      </w:r>
    </w:p>
    <w:tbl>
      <w:tblPr>
        <w:tblStyle w:val="TableGrid"/>
        <w:tblW w:w="0" w:type="auto"/>
        <w:tblLook w:val="06A0" w:firstRow="1" w:lastRow="0" w:firstColumn="1" w:lastColumn="0" w:noHBand="1" w:noVBand="1"/>
      </w:tblPr>
      <w:tblGrid>
        <w:gridCol w:w="9350"/>
      </w:tblGrid>
      <w:tr w:rsidR="00D8012E" w:rsidRPr="00417E18" w14:paraId="433F061C" w14:textId="77777777" w:rsidTr="468C9DB1">
        <w:trPr>
          <w:trHeight w:val="300"/>
        </w:trPr>
        <w:tc>
          <w:tcPr>
            <w:tcW w:w="9360" w:type="dxa"/>
            <w:shd w:val="clear" w:color="auto" w:fill="D4F1EE"/>
          </w:tcPr>
          <w:p w14:paraId="48493D29" w14:textId="1DB6B2F0" w:rsidR="00D8012E" w:rsidRPr="00417E18" w:rsidRDefault="2AD4D4CF" w:rsidP="00D8012E">
            <w:pPr>
              <w:rPr>
                <w:noProof/>
              </w:rPr>
            </w:pPr>
            <w:r w:rsidRPr="468C9DB1">
              <w:rPr>
                <w:b/>
                <w:bCs/>
                <w:noProof/>
              </w:rPr>
              <w:t xml:space="preserve">Recommendation: </w:t>
            </w:r>
          </w:p>
          <w:p w14:paraId="4567257B" w14:textId="6F4A182C" w:rsidR="00D8012E" w:rsidRPr="002F3453" w:rsidRDefault="4C133028" w:rsidP="65BA843D">
            <w:pPr>
              <w:rPr>
                <w:rFonts w:eastAsia="Calibri" w:cs="Calibri"/>
                <w:noProof/>
              </w:rPr>
            </w:pPr>
            <w:r w:rsidRPr="002F3453">
              <w:rPr>
                <w:rFonts w:eastAsia="Calibri" w:cs="Calibri"/>
                <w:noProof/>
              </w:rPr>
              <w:t>Member States should reinforce their HPC and AI infrastructure investments to ensure that businesses, researchers and public administrations have access to the computing resources required for serving their AI developments and services, including the specific needs of model fine-tuning and inferencing, notably by:</w:t>
            </w:r>
          </w:p>
          <w:p w14:paraId="538416B7" w14:textId="48E31466" w:rsidR="00D8012E" w:rsidRPr="002F3453" w:rsidRDefault="4C133028" w:rsidP="0048672E">
            <w:pPr>
              <w:pStyle w:val="ListParagraph"/>
              <w:numPr>
                <w:ilvl w:val="0"/>
                <w:numId w:val="44"/>
              </w:numPr>
              <w:spacing w:before="0" w:after="0" w:line="278" w:lineRule="auto"/>
              <w:rPr>
                <w:rFonts w:eastAsia="Calibri" w:cs="Calibri"/>
                <w:noProof/>
              </w:rPr>
            </w:pPr>
            <w:r w:rsidRPr="002F3453">
              <w:rPr>
                <w:rFonts w:eastAsia="Calibri" w:cs="Calibri"/>
                <w:noProof/>
              </w:rPr>
              <w:t xml:space="preserve"> leveraging the network of AI Factories and Antennas fostering services –including Data Labs– which target the specific needs of their national AI developers and innovators; </w:t>
            </w:r>
          </w:p>
          <w:p w14:paraId="2E061895" w14:textId="4F0227F1" w:rsidR="00D8012E" w:rsidRPr="002F3453" w:rsidRDefault="4C133028" w:rsidP="0048672E">
            <w:pPr>
              <w:pStyle w:val="ListParagraph"/>
              <w:numPr>
                <w:ilvl w:val="0"/>
                <w:numId w:val="44"/>
              </w:numPr>
              <w:spacing w:before="0" w:after="0" w:line="278" w:lineRule="auto"/>
              <w:rPr>
                <w:rFonts w:eastAsia="Calibri" w:cs="Calibri"/>
                <w:noProof/>
              </w:rPr>
            </w:pPr>
            <w:r w:rsidRPr="002F3453">
              <w:rPr>
                <w:rFonts w:eastAsia="Calibri" w:cs="Calibri"/>
                <w:noProof/>
              </w:rPr>
              <w:t xml:space="preserve">supporting and promoting the development, deployment and operation of AI Gigafactories; </w:t>
            </w:r>
          </w:p>
          <w:p w14:paraId="37A8E347" w14:textId="011611C7" w:rsidR="00D8012E" w:rsidRPr="002F3453" w:rsidRDefault="4C133028" w:rsidP="0048672E">
            <w:pPr>
              <w:pStyle w:val="ListParagraph"/>
              <w:numPr>
                <w:ilvl w:val="0"/>
                <w:numId w:val="44"/>
              </w:numPr>
              <w:spacing w:before="0" w:after="0" w:line="278" w:lineRule="auto"/>
              <w:rPr>
                <w:rFonts w:eastAsia="Calibri" w:cs="Calibri"/>
                <w:noProof/>
              </w:rPr>
            </w:pPr>
            <w:r w:rsidRPr="002F3453">
              <w:rPr>
                <w:rFonts w:eastAsia="Calibri" w:cs="Calibri"/>
                <w:noProof/>
              </w:rPr>
              <w:t xml:space="preserve">developing quantum-enhanced machine learning applications; </w:t>
            </w:r>
          </w:p>
          <w:p w14:paraId="0DFD96DB" w14:textId="5A2E5587" w:rsidR="00D8012E" w:rsidRPr="002F3453" w:rsidRDefault="4C133028" w:rsidP="0048672E">
            <w:pPr>
              <w:pStyle w:val="ListParagraph"/>
              <w:numPr>
                <w:ilvl w:val="0"/>
                <w:numId w:val="44"/>
              </w:numPr>
              <w:spacing w:before="0" w:after="0" w:line="278" w:lineRule="auto"/>
              <w:rPr>
                <w:rFonts w:eastAsia="Calibri" w:cs="Calibri"/>
                <w:noProof/>
              </w:rPr>
            </w:pPr>
            <w:r w:rsidRPr="002F3453">
              <w:rPr>
                <w:rFonts w:eastAsia="Calibri" w:cs="Calibri"/>
                <w:noProof/>
              </w:rPr>
              <w:t xml:space="preserve">investing in EU-sourced HPC and AI hardware and software to attain strategic autonomy and guarantee public and industrial security; </w:t>
            </w:r>
          </w:p>
          <w:p w14:paraId="36ED28B2" w14:textId="78590FA5" w:rsidR="00D8012E" w:rsidRPr="00417E18" w:rsidRDefault="1C7AEDD3" w:rsidP="0048672E">
            <w:pPr>
              <w:pStyle w:val="ListParagraph"/>
              <w:numPr>
                <w:ilvl w:val="0"/>
                <w:numId w:val="44"/>
              </w:numPr>
              <w:spacing w:before="0" w:after="0" w:line="278" w:lineRule="auto"/>
              <w:rPr>
                <w:rFonts w:eastAsia="Calibri" w:cs="Calibri"/>
                <w:noProof/>
                <w:sz w:val="24"/>
                <w:szCs w:val="24"/>
              </w:rPr>
            </w:pPr>
            <w:r w:rsidRPr="002F3453">
              <w:rPr>
                <w:rFonts w:eastAsia="Calibri" w:cs="Calibri"/>
                <w:noProof/>
              </w:rPr>
              <w:t>developing the corresponding talent pool in HPC and AI, in coordination with the EU Digital Skills Academies.</w:t>
            </w:r>
          </w:p>
        </w:tc>
      </w:tr>
    </w:tbl>
    <w:p w14:paraId="62CE2C25" w14:textId="77777777" w:rsidR="003A53C2" w:rsidRPr="00417E18" w:rsidRDefault="003A53C2">
      <w:pPr>
        <w:spacing w:before="0" w:after="160"/>
        <w:jc w:val="left"/>
        <w:rPr>
          <w:noProof/>
        </w:rPr>
      </w:pPr>
    </w:p>
    <w:p w14:paraId="17423255" w14:textId="73EB70CF" w:rsidR="003A53C2" w:rsidRPr="00417E18" w:rsidRDefault="42F61521" w:rsidP="00C57A6C">
      <w:pPr>
        <w:pStyle w:val="Heading3"/>
        <w:rPr>
          <w:noProof/>
        </w:rPr>
      </w:pPr>
      <w:bookmarkStart w:id="27" w:name="_Toc226710896"/>
      <w:bookmarkStart w:id="28" w:name="_Toc524252116"/>
      <w:bookmarkStart w:id="29" w:name="_Toc1433435159"/>
      <w:bookmarkStart w:id="30" w:name="_Toc231830055"/>
      <w:r w:rsidRPr="00417E18">
        <w:rPr>
          <w:noProof/>
        </w:rPr>
        <w:t>2.</w:t>
      </w:r>
      <w:r w:rsidR="2C17C71A" w:rsidRPr="6E0CA051">
        <w:rPr>
          <w:noProof/>
        </w:rPr>
        <w:t>1</w:t>
      </w:r>
      <w:r w:rsidR="7C86F038" w:rsidRPr="6E0CA051">
        <w:rPr>
          <w:noProof/>
        </w:rPr>
        <w:t>.</w:t>
      </w:r>
      <w:r w:rsidR="2C17C71A" w:rsidRPr="6E0CA051">
        <w:rPr>
          <w:noProof/>
        </w:rPr>
        <w:t>4</w:t>
      </w:r>
      <w:r w:rsidRPr="00417E18">
        <w:rPr>
          <w:noProof/>
        </w:rPr>
        <w:t xml:space="preserve"> </w:t>
      </w:r>
      <w:r w:rsidR="4DB62358" w:rsidRPr="00417E18">
        <w:rPr>
          <w:noProof/>
        </w:rPr>
        <w:t>Edge nodes</w:t>
      </w:r>
      <w:r w:rsidR="2ACEEE06" w:rsidRPr="00417E18">
        <w:rPr>
          <w:noProof/>
        </w:rPr>
        <w:t xml:space="preserve"> and computing capacity</w:t>
      </w:r>
      <w:r w:rsidR="00A10A9F" w:rsidRPr="00417E18">
        <w:rPr>
          <w:noProof/>
        </w:rPr>
        <w:t xml:space="preserve"> deployment</w:t>
      </w:r>
      <w:bookmarkEnd w:id="27"/>
      <w:bookmarkEnd w:id="28"/>
      <w:bookmarkEnd w:id="29"/>
      <w:bookmarkEnd w:id="30"/>
    </w:p>
    <w:p w14:paraId="61549F5B" w14:textId="72BD91D2" w:rsidR="00596FE4" w:rsidRPr="00596FE4" w:rsidRDefault="54B520D8" w:rsidP="331E198E">
      <w:pPr>
        <w:keepNext/>
        <w:rPr>
          <w:rFonts w:eastAsia="MS Mincho" w:cs="Arial"/>
          <w:noProof/>
          <w:color w:val="000000" w:themeColor="text1"/>
          <w:sz w:val="22"/>
          <w:szCs w:val="22"/>
          <w:lang w:val="en-IE"/>
        </w:rPr>
      </w:pPr>
      <w:r w:rsidRPr="6E0CA051">
        <w:rPr>
          <w:rFonts w:eastAsia="MS Mincho" w:cs="Arial"/>
          <w:noProof/>
          <w:color w:val="000000" w:themeColor="text1"/>
          <w:sz w:val="22"/>
          <w:szCs w:val="22"/>
          <w:lang w:val="en-IE"/>
        </w:rPr>
        <w:t>Edge computing is emerging as a critical complement to traditional cloud infrastructure. While the current wave of artificial intelligence</w:t>
      </w:r>
      <w:r w:rsidR="4EBA4EC2" w:rsidRPr="6E0CA051">
        <w:rPr>
          <w:rFonts w:eastAsia="MS Mincho" w:cs="Arial"/>
          <w:noProof/>
          <w:color w:val="000000" w:themeColor="text1"/>
          <w:sz w:val="22"/>
          <w:szCs w:val="22"/>
          <w:lang w:val="en-IE"/>
        </w:rPr>
        <w:t>-</w:t>
      </w:r>
      <w:r w:rsidRPr="6E0CA051">
        <w:rPr>
          <w:rFonts w:eastAsia="MS Mincho" w:cs="Arial"/>
          <w:noProof/>
          <w:color w:val="000000" w:themeColor="text1"/>
          <w:sz w:val="22"/>
          <w:szCs w:val="22"/>
          <w:lang w:val="en-IE"/>
        </w:rPr>
        <w:t>particularly generative AI</w:t>
      </w:r>
      <w:r w:rsidR="4EBA4EC2" w:rsidRPr="6E0CA051">
        <w:rPr>
          <w:rFonts w:eastAsia="MS Mincho" w:cs="Arial"/>
          <w:noProof/>
          <w:color w:val="000000" w:themeColor="text1"/>
          <w:sz w:val="22"/>
          <w:szCs w:val="22"/>
          <w:lang w:val="en-IE"/>
        </w:rPr>
        <w:t>-</w:t>
      </w:r>
      <w:r w:rsidRPr="6E0CA051">
        <w:rPr>
          <w:rFonts w:eastAsia="MS Mincho" w:cs="Arial"/>
          <w:noProof/>
          <w:color w:val="000000" w:themeColor="text1"/>
          <w:sz w:val="22"/>
          <w:szCs w:val="22"/>
          <w:lang w:val="en-IE"/>
        </w:rPr>
        <w:t>relies heavily on centralised, high-performance computing resources hosted in hyperscale cloud environments and High-Performance Computing (HPC) centres, an increasing share of data processing is shifting closer to where data is generated. Edge nodes enable low-latency processing, real-time analytics, and more efficient data handling by reducing the need to transmit large volumes of data to distant cloud facilities. In this architecture, cloud and edge operate in tandem: the cloud provides the large-scale computational power required for training and orchestrating AI models, while edge infrastructure supports inference and time-sensitive applications at or near the end user.</w:t>
      </w:r>
      <w:r w:rsidR="1C735E6A" w:rsidRPr="6E0CA051">
        <w:rPr>
          <w:rFonts w:eastAsia="MS Mincho" w:cs="Arial"/>
          <w:noProof/>
          <w:color w:val="000000" w:themeColor="text1"/>
          <w:sz w:val="22"/>
          <w:szCs w:val="22"/>
          <w:lang w:val="en-IE"/>
        </w:rPr>
        <w:t xml:space="preserve"> </w:t>
      </w:r>
      <w:r w:rsidRPr="6E0CA051">
        <w:rPr>
          <w:rFonts w:eastAsia="MS Mincho" w:cs="Arial"/>
          <w:noProof/>
          <w:color w:val="000000" w:themeColor="text1"/>
          <w:sz w:val="22"/>
          <w:szCs w:val="22"/>
          <w:lang w:val="en-IE"/>
        </w:rPr>
        <w:t>Beyond incremental optimisation, there is a</w:t>
      </w:r>
      <w:r w:rsidR="1C735E6A" w:rsidRPr="6E0CA051">
        <w:rPr>
          <w:rFonts w:eastAsia="MS Mincho" w:cs="Arial"/>
          <w:noProof/>
          <w:color w:val="000000" w:themeColor="text1"/>
          <w:sz w:val="22"/>
          <w:szCs w:val="22"/>
          <w:lang w:val="en-IE"/>
        </w:rPr>
        <w:t>lso an evolution</w:t>
      </w:r>
      <w:r w:rsidRPr="6E0CA051">
        <w:rPr>
          <w:rFonts w:eastAsia="MS Mincho" w:cs="Arial"/>
          <w:noProof/>
          <w:color w:val="000000" w:themeColor="text1"/>
          <w:sz w:val="22"/>
          <w:szCs w:val="22"/>
          <w:lang w:val="en-IE"/>
        </w:rPr>
        <w:t xml:space="preserve"> towards “native AI,” which requires embedding AI directly into system design rather than layering it onto existing architectures. Although more complex, this approach unlocks significantly greater performance gains</w:t>
      </w:r>
      <w:r w:rsidR="4EBA4EC2" w:rsidRPr="6E0CA051">
        <w:rPr>
          <w:rFonts w:eastAsia="MS Mincho" w:cs="Arial"/>
          <w:noProof/>
          <w:color w:val="000000" w:themeColor="text1"/>
          <w:sz w:val="22"/>
          <w:szCs w:val="22"/>
          <w:lang w:val="en-IE"/>
        </w:rPr>
        <w:t>-</w:t>
      </w:r>
      <w:r w:rsidRPr="6E0CA051">
        <w:rPr>
          <w:rFonts w:eastAsia="MS Mincho" w:cs="Arial"/>
          <w:noProof/>
          <w:color w:val="000000" w:themeColor="text1"/>
          <w:sz w:val="22"/>
          <w:szCs w:val="22"/>
          <w:lang w:val="en-IE"/>
        </w:rPr>
        <w:t>much like 5G standalone delivers far higher capabilities than non-standalone 5G despite sharing the same label.</w:t>
      </w:r>
    </w:p>
    <w:p w14:paraId="43C4FF21" w14:textId="79ED3B9F" w:rsidR="331E198E" w:rsidRPr="005C4231" w:rsidRDefault="7C6AC501" w:rsidP="005C4231">
      <w:pPr>
        <w:keepNext/>
        <w:rPr>
          <w:rFonts w:eastAsia="MS Mincho" w:cs="Arial"/>
          <w:noProof/>
          <w:color w:val="000000" w:themeColor="text1"/>
          <w:sz w:val="22"/>
          <w:szCs w:val="22"/>
        </w:rPr>
      </w:pPr>
      <w:r w:rsidRPr="00417E18">
        <w:rPr>
          <w:rFonts w:eastAsia="MS Mincho" w:cs="Arial"/>
          <w:noProof/>
          <w:color w:val="000000" w:themeColor="text1"/>
          <w:sz w:val="22"/>
          <w:szCs w:val="22"/>
        </w:rPr>
        <w:t xml:space="preserve">In 2025 the Edge Observatory methodology has been significantly improved based on the lessons learnt in the previous years of the analysis. The updated methodology is based on a Computer-Assisted Telephone Interviewing - CATI - survey of more than 430 validated respondents across all the EU Member States. The respondents are selected amongst IT infrastructure decision-makers surveyed in their local language. The stratified sample is selected according to geographical distribution, type of industry (according to </w:t>
      </w:r>
      <w:hyperlink r:id="rId22" w:history="1">
        <w:r w:rsidRPr="00D8682E">
          <w:rPr>
            <w:rStyle w:val="Hyperlink"/>
            <w:rFonts w:eastAsia="MS Mincho" w:cs="Arial"/>
            <w:noProof/>
            <w:sz w:val="22"/>
            <w:szCs w:val="22"/>
          </w:rPr>
          <w:t>Eurostat’s official classifications NACE Rev. 2</w:t>
        </w:r>
      </w:hyperlink>
      <w:r w:rsidRPr="00417E18">
        <w:rPr>
          <w:rFonts w:eastAsia="MS Mincho" w:cs="Arial"/>
          <w:noProof/>
          <w:color w:val="000000" w:themeColor="text1"/>
          <w:sz w:val="22"/>
          <w:szCs w:val="22"/>
        </w:rPr>
        <w:t xml:space="preserve">), and company size. The platform </w:t>
      </w:r>
      <w:r w:rsidRPr="00417E18">
        <w:rPr>
          <w:rFonts w:eastAsia="MS Mincho" w:cs="Arial"/>
          <w:i/>
          <w:iCs/>
          <w:noProof/>
          <w:color w:val="000000" w:themeColor="text1"/>
          <w:sz w:val="22"/>
          <w:szCs w:val="22"/>
        </w:rPr>
        <w:t>DataCentreMap</w:t>
      </w:r>
      <w:r w:rsidR="00CB689F">
        <w:rPr>
          <w:rStyle w:val="FootnoteReference"/>
          <w:rFonts w:eastAsia="MS Mincho" w:cs="Arial"/>
          <w:i/>
          <w:iCs/>
          <w:noProof/>
          <w:color w:val="000000" w:themeColor="text1"/>
          <w:sz w:val="22"/>
          <w:szCs w:val="22"/>
        </w:rPr>
        <w:footnoteReference w:id="13"/>
      </w:r>
      <w:r w:rsidRPr="00417E18">
        <w:rPr>
          <w:rFonts w:eastAsia="MS Mincho" w:cs="Arial"/>
          <w:noProof/>
          <w:color w:val="000000" w:themeColor="text1"/>
          <w:sz w:val="22"/>
          <w:szCs w:val="22"/>
        </w:rPr>
        <w:t xml:space="preserve"> is used to monitor public edge nodes. On-premise node figures, limited to enterprises with 250+ employees, are derived on the basis of Eurostat’s enterprise statistics combined with site-to-node ratios by the Germany's Federal Statistical Office, used as a proxy in the absence of equivalent EU-wide data. A series of validation interviews with both CATI respondents and external experts are carried out to cross-check the results, supported by multi-source triangulation and outlier disqualification to ensure statistical robustness.</w:t>
      </w:r>
      <w:r w:rsidR="00CC2FFA">
        <w:rPr>
          <w:rFonts w:eastAsia="MS Mincho" w:cs="Arial"/>
          <w:noProof/>
          <w:color w:val="000000" w:themeColor="text1"/>
          <w:sz w:val="22"/>
          <w:szCs w:val="22"/>
        </w:rPr>
        <w:t xml:space="preserve"> </w:t>
      </w:r>
      <w:r w:rsidRPr="00417E18">
        <w:rPr>
          <w:rFonts w:eastAsia="MS Mincho" w:cs="Arial"/>
          <w:noProof/>
          <w:color w:val="000000" w:themeColor="text1"/>
          <w:sz w:val="22"/>
          <w:szCs w:val="22"/>
        </w:rPr>
        <w:t>For these reasons</w:t>
      </w:r>
      <w:r w:rsidR="005D5AAC">
        <w:rPr>
          <w:rFonts w:eastAsia="MS Mincho" w:cs="Arial"/>
          <w:noProof/>
          <w:color w:val="000000" w:themeColor="text1"/>
          <w:sz w:val="22"/>
          <w:szCs w:val="22"/>
        </w:rPr>
        <w:t>,</w:t>
      </w:r>
      <w:r w:rsidRPr="00417E18">
        <w:rPr>
          <w:rFonts w:eastAsia="MS Mincho" w:cs="Arial"/>
          <w:noProof/>
          <w:color w:val="000000" w:themeColor="text1"/>
          <w:sz w:val="22"/>
          <w:szCs w:val="22"/>
        </w:rPr>
        <w:t xml:space="preserve"> 2025 data cannot be compared with previous years (</w:t>
      </w:r>
      <w:r w:rsidRPr="00387398">
        <w:rPr>
          <w:rFonts w:eastAsia="MS Mincho" w:cs="Arial"/>
          <w:noProof/>
          <w:color w:val="000000" w:themeColor="text1"/>
          <w:sz w:val="22"/>
          <w:szCs w:val="22"/>
        </w:rPr>
        <w:t>break-in-series</w:t>
      </w:r>
      <w:r w:rsidRPr="00417E18">
        <w:rPr>
          <w:rFonts w:eastAsia="MS Mincho" w:cs="Arial"/>
          <w:noProof/>
          <w:color w:val="000000" w:themeColor="text1"/>
          <w:sz w:val="22"/>
          <w:szCs w:val="22"/>
        </w:rPr>
        <w:t>)</w:t>
      </w:r>
      <w:r w:rsidR="006C518F">
        <w:rPr>
          <w:rStyle w:val="FootnoteReference"/>
          <w:rFonts w:eastAsia="MS Mincho" w:cs="Arial"/>
          <w:noProof/>
          <w:color w:val="000000" w:themeColor="text1"/>
          <w:sz w:val="22"/>
          <w:szCs w:val="22"/>
        </w:rPr>
        <w:footnoteReference w:id="14"/>
      </w:r>
      <w:r w:rsidR="32981D00" w:rsidRPr="7FC664B4">
        <w:rPr>
          <w:rFonts w:eastAsia="MS Mincho" w:cs="Arial"/>
          <w:noProof/>
          <w:color w:val="000000" w:themeColor="text1"/>
          <w:sz w:val="22"/>
          <w:szCs w:val="22"/>
        </w:rPr>
        <w:t>.</w:t>
      </w:r>
    </w:p>
    <w:p w14:paraId="720A8E48" w14:textId="77777777" w:rsidR="00ED0079" w:rsidRDefault="6F38DA6F" w:rsidP="00ED0079">
      <w:pPr>
        <w:keepNext/>
        <w:spacing w:before="200"/>
        <w:rPr>
          <w:noProof/>
        </w:rPr>
      </w:pPr>
      <w:r w:rsidRPr="00417E18">
        <w:rPr>
          <w:noProof/>
          <w:lang w:eastAsia="en-GB"/>
        </w:rPr>
        <w:drawing>
          <wp:inline distT="0" distB="0" distL="0" distR="0" wp14:anchorId="1CBF6A31" wp14:editId="3B92B3D8">
            <wp:extent cx="5935185" cy="2108014"/>
            <wp:effectExtent l="0" t="0" r="0" b="6985"/>
            <wp:docPr id="1219734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34377" name="Picture 1219734377"/>
                    <pic:cNvPicPr/>
                  </pic:nvPicPr>
                  <pic:blipFill>
                    <a:blip r:embed="rId23">
                      <a:extLst>
                        <a:ext uri="{28A0092B-C50C-407E-A947-70E740481C1C}">
                          <a14:useLocalDpi xmlns:a14="http://schemas.microsoft.com/office/drawing/2010/main"/>
                        </a:ext>
                      </a:extLst>
                    </a:blip>
                    <a:stretch>
                      <a:fillRect/>
                    </a:stretch>
                  </pic:blipFill>
                  <pic:spPr>
                    <a:xfrm>
                      <a:off x="0" y="0"/>
                      <a:ext cx="5972944" cy="2121425"/>
                    </a:xfrm>
                    <a:prstGeom prst="rect">
                      <a:avLst/>
                    </a:prstGeom>
                  </pic:spPr>
                </pic:pic>
              </a:graphicData>
            </a:graphic>
          </wp:inline>
        </w:drawing>
      </w:r>
    </w:p>
    <w:p w14:paraId="7ED027D2" w14:textId="387D5FC3" w:rsidR="66842100" w:rsidRPr="00417E18" w:rsidRDefault="00ED0079" w:rsidP="00ED0079">
      <w:pPr>
        <w:pStyle w:val="Caption"/>
        <w:rPr>
          <w:noProof/>
        </w:rPr>
      </w:pPr>
      <w:r w:rsidRPr="004B66EB">
        <w:rPr>
          <w:noProof/>
          <w:u w:val="single"/>
        </w:rPr>
        <w:t xml:space="preserve">Figure </w:t>
      </w:r>
      <w:r w:rsidRPr="004B66EB">
        <w:rPr>
          <w:noProof/>
          <w:u w:val="single"/>
        </w:rPr>
        <w:fldChar w:fldCharType="begin"/>
      </w:r>
      <w:r w:rsidRPr="004B66EB">
        <w:rPr>
          <w:noProof/>
          <w:u w:val="single"/>
        </w:rPr>
        <w:instrText xml:space="preserve"> SEQ Figure \* ARABIC </w:instrText>
      </w:r>
      <w:r w:rsidRPr="004B66EB">
        <w:rPr>
          <w:noProof/>
          <w:u w:val="single"/>
        </w:rPr>
        <w:fldChar w:fldCharType="separate"/>
      </w:r>
      <w:r>
        <w:rPr>
          <w:noProof/>
          <w:u w:val="single"/>
        </w:rPr>
        <w:t>3</w:t>
      </w:r>
      <w:r w:rsidRPr="004B66EB">
        <w:rPr>
          <w:noProof/>
          <w:u w:val="single"/>
        </w:rPr>
        <w:fldChar w:fldCharType="end"/>
      </w:r>
      <w:r w:rsidR="007B6296" w:rsidRPr="007B6296">
        <w:rPr>
          <w:noProof/>
        </w:rPr>
        <w:t>:</w:t>
      </w:r>
      <w:r>
        <w:rPr>
          <w:noProof/>
        </w:rPr>
        <w:t xml:space="preserve"> </w:t>
      </w:r>
      <w:r w:rsidRPr="001C03BE">
        <w:rPr>
          <w:noProof/>
        </w:rPr>
        <w:t>Edge node estimated deployment (EU projection to 2030)</w:t>
      </w:r>
      <w:r w:rsidR="005B1E39">
        <w:rPr>
          <w:noProof/>
        </w:rPr>
        <w:t>.</w:t>
      </w:r>
    </w:p>
    <w:p w14:paraId="7342E7D5" w14:textId="04FB5AA9" w:rsidR="004A0631" w:rsidRPr="00417E18" w:rsidRDefault="00513E3E" w:rsidP="1BA0F702">
      <w:pPr>
        <w:rPr>
          <w:noProof/>
          <w:sz w:val="22"/>
          <w:szCs w:val="22"/>
        </w:rPr>
      </w:pPr>
      <w:r w:rsidRPr="00417E18">
        <w:rPr>
          <w:noProof/>
          <w:sz w:val="22"/>
          <w:szCs w:val="22"/>
        </w:rPr>
        <w:t xml:space="preserve">As of end-2025, the Edge Observatory for the Digital Decade </w:t>
      </w:r>
      <w:r w:rsidR="0073085A">
        <w:rPr>
          <w:noProof/>
          <w:sz w:val="22"/>
          <w:szCs w:val="22"/>
        </w:rPr>
        <w:t>estimates</w:t>
      </w:r>
      <w:r w:rsidR="0073085A" w:rsidRPr="00417E18">
        <w:rPr>
          <w:noProof/>
          <w:sz w:val="22"/>
          <w:szCs w:val="22"/>
        </w:rPr>
        <w:t xml:space="preserve"> </w:t>
      </w:r>
      <w:r w:rsidRPr="00417E18">
        <w:rPr>
          <w:noProof/>
          <w:sz w:val="22"/>
          <w:szCs w:val="22"/>
        </w:rPr>
        <w:t>that 7</w:t>
      </w:r>
      <w:r w:rsidR="005D5AAC">
        <w:rPr>
          <w:noProof/>
          <w:sz w:val="22"/>
          <w:szCs w:val="22"/>
        </w:rPr>
        <w:t xml:space="preserve"> </w:t>
      </w:r>
      <w:r w:rsidRPr="00417E18">
        <w:rPr>
          <w:noProof/>
          <w:sz w:val="22"/>
          <w:szCs w:val="22"/>
        </w:rPr>
        <w:t>451 climate-neutral and highly secure edge nodes</w:t>
      </w:r>
      <w:r w:rsidR="006B7A33" w:rsidRPr="00417E18">
        <w:rPr>
          <w:rStyle w:val="FootnoteReference"/>
          <w:noProof/>
          <w:sz w:val="22"/>
          <w:szCs w:val="22"/>
        </w:rPr>
        <w:footnoteReference w:id="15"/>
      </w:r>
      <w:r w:rsidRPr="00417E18">
        <w:rPr>
          <w:noProof/>
          <w:sz w:val="22"/>
          <w:szCs w:val="22"/>
        </w:rPr>
        <w:t xml:space="preserve"> are deployed across EU, spanning four categories: on-premise, far edge, near edge, and in-country edge data centres. Private on-premise </w:t>
      </w:r>
      <w:r w:rsidRPr="0C856F1D">
        <w:rPr>
          <w:noProof/>
          <w:sz w:val="22"/>
          <w:szCs w:val="22"/>
        </w:rPr>
        <w:t>near edge (295 nodes), and far edge (67 nodes).</w:t>
      </w:r>
      <w:r w:rsidR="00EC562E" w:rsidRPr="0C856F1D">
        <w:rPr>
          <w:noProof/>
          <w:sz w:val="22"/>
          <w:szCs w:val="22"/>
        </w:rPr>
        <w:t xml:space="preserve"> </w:t>
      </w:r>
    </w:p>
    <w:p w14:paraId="651448D3" w14:textId="38E60084" w:rsidR="00C44161" w:rsidRPr="00417E18" w:rsidRDefault="006B46D9" w:rsidP="1BA0F702">
      <w:pPr>
        <w:rPr>
          <w:noProof/>
          <w:sz w:val="22"/>
          <w:szCs w:val="22"/>
        </w:rPr>
      </w:pPr>
      <w:r w:rsidRPr="00417E18">
        <w:rPr>
          <w:noProof/>
          <w:sz w:val="22"/>
          <w:szCs w:val="22"/>
        </w:rPr>
        <w:t xml:space="preserve">Despite representing only 6% of nodes in 2025, in-country data centres account for the large majority of total edge capacity </w:t>
      </w:r>
      <w:r w:rsidR="00097BA5">
        <w:rPr>
          <w:noProof/>
          <w:sz w:val="22"/>
          <w:szCs w:val="22"/>
        </w:rPr>
        <w:t>-</w:t>
      </w:r>
      <w:r w:rsidRPr="00417E18">
        <w:rPr>
          <w:noProof/>
          <w:sz w:val="22"/>
          <w:szCs w:val="22"/>
        </w:rPr>
        <w:t xml:space="preserve"> potentially up to 92% of aggregate MW if nodes operate at maximum rated capacity. On-premise nodes, by contrast, despite constituting 89% of all nodes, represent a comparatively modest share of total capacity, given the small footprint of each individual deployment (approximately half a rack).</w:t>
      </w:r>
    </w:p>
    <w:p w14:paraId="53403DB7" w14:textId="28DEC390" w:rsidR="00513E3E" w:rsidRPr="00417E18" w:rsidRDefault="00DF78C3" w:rsidP="1BA0F702">
      <w:pPr>
        <w:rPr>
          <w:noProof/>
          <w:sz w:val="22"/>
          <w:szCs w:val="22"/>
        </w:rPr>
      </w:pPr>
      <w:r w:rsidRPr="07868930">
        <w:rPr>
          <w:noProof/>
          <w:sz w:val="22"/>
          <w:szCs w:val="22"/>
        </w:rPr>
        <w:t>W</w:t>
      </w:r>
      <w:r w:rsidR="003D784E" w:rsidRPr="07868930">
        <w:rPr>
          <w:noProof/>
          <w:sz w:val="22"/>
          <w:szCs w:val="22"/>
        </w:rPr>
        <w:t>hen</w:t>
      </w:r>
      <w:r w:rsidR="003D784E" w:rsidRPr="00417E18">
        <w:rPr>
          <w:noProof/>
          <w:sz w:val="22"/>
          <w:szCs w:val="22"/>
        </w:rPr>
        <w:t xml:space="preserve"> sustainability and security criteria are set aside, the total on-premise edge population alone exceeds 17,000 nodes, indicating a large share of deployments that do not yet meet climate-neutral and security standards.</w:t>
      </w:r>
    </w:p>
    <w:p w14:paraId="1FAC05CF" w14:textId="746F7907" w:rsidR="00513E3E" w:rsidRPr="00417E18" w:rsidRDefault="00275710" w:rsidP="1BA0F702">
      <w:pPr>
        <w:rPr>
          <w:noProof/>
          <w:sz w:val="22"/>
          <w:szCs w:val="22"/>
        </w:rPr>
      </w:pPr>
      <w:r w:rsidRPr="00417E18">
        <w:rPr>
          <w:noProof/>
          <w:sz w:val="22"/>
          <w:szCs w:val="22"/>
        </w:rPr>
        <w:t>Edge node deployment across the EU27 remains heavily concentrated in larger, high-GDP economies, with Germany leading both on-premise and public edge deployments.</w:t>
      </w:r>
      <w:r w:rsidR="00AA0E11" w:rsidRPr="00417E18">
        <w:rPr>
          <w:noProof/>
          <w:sz w:val="22"/>
          <w:szCs w:val="22"/>
        </w:rPr>
        <w:t xml:space="preserve"> </w:t>
      </w:r>
      <w:r w:rsidR="00180DD7" w:rsidRPr="00417E18">
        <w:rPr>
          <w:noProof/>
          <w:sz w:val="22"/>
          <w:szCs w:val="22"/>
        </w:rPr>
        <w:t>In 2025</w:t>
      </w:r>
      <w:r w:rsidRPr="00417E18">
        <w:rPr>
          <w:noProof/>
          <w:sz w:val="22"/>
          <w:szCs w:val="22"/>
        </w:rPr>
        <w:t>,</w:t>
      </w:r>
      <w:r w:rsidR="00180DD7" w:rsidRPr="00417E18" w:rsidDel="000F107D">
        <w:rPr>
          <w:noProof/>
          <w:sz w:val="22"/>
          <w:szCs w:val="22"/>
        </w:rPr>
        <w:t xml:space="preserve"> </w:t>
      </w:r>
      <w:r w:rsidR="002800CC" w:rsidRPr="00417E18">
        <w:rPr>
          <w:noProof/>
          <w:sz w:val="22"/>
          <w:szCs w:val="22"/>
        </w:rPr>
        <w:t>Germany leads with 1</w:t>
      </w:r>
      <w:r w:rsidR="005D5AAC">
        <w:rPr>
          <w:noProof/>
          <w:sz w:val="22"/>
          <w:szCs w:val="22"/>
        </w:rPr>
        <w:t xml:space="preserve"> </w:t>
      </w:r>
      <w:r w:rsidR="002800CC" w:rsidRPr="00417E18">
        <w:rPr>
          <w:noProof/>
          <w:sz w:val="22"/>
          <w:szCs w:val="22"/>
        </w:rPr>
        <w:t xml:space="preserve">771 carbon-neutral </w:t>
      </w:r>
      <w:r w:rsidR="5AD35532" w:rsidRPr="00417E18">
        <w:rPr>
          <w:noProof/>
          <w:sz w:val="22"/>
          <w:szCs w:val="22"/>
        </w:rPr>
        <w:t>and</w:t>
      </w:r>
      <w:r w:rsidR="002800CC" w:rsidRPr="00417E18">
        <w:rPr>
          <w:noProof/>
          <w:sz w:val="22"/>
          <w:szCs w:val="22"/>
        </w:rPr>
        <w:t xml:space="preserve"> secure on-premise </w:t>
      </w:r>
      <w:r w:rsidR="003265B3" w:rsidRPr="00417E18">
        <w:rPr>
          <w:noProof/>
          <w:sz w:val="22"/>
          <w:szCs w:val="22"/>
        </w:rPr>
        <w:t xml:space="preserve">edge </w:t>
      </w:r>
      <w:r w:rsidR="002800CC" w:rsidRPr="00417E18">
        <w:rPr>
          <w:noProof/>
          <w:sz w:val="22"/>
          <w:szCs w:val="22"/>
        </w:rPr>
        <w:t xml:space="preserve">nodes, followed by France (737), Italy (629), Poland (536), and Spain (529). For public edge nodes, Germany, France, and the Netherlands together account for 51% of all public </w:t>
      </w:r>
      <w:r w:rsidR="003265B3" w:rsidRPr="00417E18">
        <w:rPr>
          <w:noProof/>
          <w:sz w:val="22"/>
          <w:szCs w:val="22"/>
        </w:rPr>
        <w:t>edge node</w:t>
      </w:r>
      <w:r w:rsidR="002800CC" w:rsidRPr="00417E18">
        <w:rPr>
          <w:noProof/>
          <w:sz w:val="22"/>
          <w:szCs w:val="22"/>
        </w:rPr>
        <w:t>s in the EU27</w:t>
      </w:r>
      <w:r w:rsidR="0027658D" w:rsidRPr="00417E18">
        <w:rPr>
          <w:noProof/>
          <w:sz w:val="22"/>
          <w:szCs w:val="22"/>
        </w:rPr>
        <w:t xml:space="preserve">, with regional hotspots in West-Nederland (Amsterdam), Hessen and Nordrhein-Westfalen (Frankfurt area), and Île-de-France (Paris), all areas with established colocation and hyperscale data centre infrastructure. </w:t>
      </w:r>
      <w:r w:rsidR="00E55425" w:rsidRPr="00417E18">
        <w:rPr>
          <w:noProof/>
          <w:sz w:val="22"/>
          <w:szCs w:val="22"/>
        </w:rPr>
        <w:t xml:space="preserve">Deployments strongly favour metropolitan and industrial zones, while rural areas and transport hubs remain the lowest priorities. Future expansion is expected to broaden geographic and service zone coverage, </w:t>
      </w:r>
      <w:r w:rsidR="006377E5">
        <w:rPr>
          <w:noProof/>
          <w:sz w:val="22"/>
          <w:szCs w:val="22"/>
        </w:rPr>
        <w:t>al</w:t>
      </w:r>
      <w:r w:rsidR="00E55425" w:rsidRPr="00417E18">
        <w:rPr>
          <w:noProof/>
          <w:sz w:val="22"/>
          <w:szCs w:val="22"/>
        </w:rPr>
        <w:t>though targeted rural deployment remains the least anticipated growth dimension</w:t>
      </w:r>
      <w:r w:rsidR="00857F45" w:rsidRPr="00417E18">
        <w:rPr>
          <w:noProof/>
          <w:sz w:val="22"/>
          <w:szCs w:val="22"/>
        </w:rPr>
        <w:t>.</w:t>
      </w:r>
      <w:r w:rsidR="00E86DDF" w:rsidRPr="00417E18">
        <w:rPr>
          <w:noProof/>
          <w:sz w:val="22"/>
          <w:szCs w:val="22"/>
        </w:rPr>
        <w:t xml:space="preserve"> </w:t>
      </w:r>
    </w:p>
    <w:p w14:paraId="1BDBE0D9" w14:textId="11EA7CB2" w:rsidR="00546054" w:rsidRPr="00417E18" w:rsidRDefault="002A38D7" w:rsidP="1BA0F702">
      <w:pPr>
        <w:rPr>
          <w:noProof/>
          <w:sz w:val="22"/>
          <w:szCs w:val="22"/>
        </w:rPr>
      </w:pPr>
      <w:r w:rsidRPr="00417E18">
        <w:rPr>
          <w:noProof/>
          <w:sz w:val="22"/>
          <w:szCs w:val="22"/>
        </w:rPr>
        <w:t>T</w:t>
      </w:r>
      <w:r w:rsidR="00DF0797" w:rsidRPr="00417E18">
        <w:rPr>
          <w:noProof/>
          <w:sz w:val="22"/>
          <w:szCs w:val="22"/>
        </w:rPr>
        <w:t xml:space="preserve">he total number of climate-neutral and highly secure edge nodes deployed across EU27 Member States </w:t>
      </w:r>
      <w:r w:rsidR="009200EB">
        <w:rPr>
          <w:noProof/>
          <w:sz w:val="22"/>
          <w:szCs w:val="22"/>
        </w:rPr>
        <w:t>is projected to</w:t>
      </w:r>
      <w:r w:rsidR="009200EB" w:rsidRPr="00417E18">
        <w:rPr>
          <w:noProof/>
          <w:sz w:val="22"/>
          <w:szCs w:val="22"/>
        </w:rPr>
        <w:t xml:space="preserve"> </w:t>
      </w:r>
      <w:r w:rsidR="00DF0797" w:rsidRPr="00417E18">
        <w:rPr>
          <w:noProof/>
          <w:sz w:val="22"/>
          <w:szCs w:val="22"/>
        </w:rPr>
        <w:t>reach approximately 14</w:t>
      </w:r>
      <w:r w:rsidR="00F5730D">
        <w:rPr>
          <w:noProof/>
          <w:sz w:val="22"/>
          <w:szCs w:val="22"/>
        </w:rPr>
        <w:t xml:space="preserve"> </w:t>
      </w:r>
      <w:r w:rsidR="00DF0797" w:rsidRPr="00417E18">
        <w:rPr>
          <w:noProof/>
          <w:sz w:val="22"/>
          <w:szCs w:val="22"/>
        </w:rPr>
        <w:t>000 by 2030, representing an 88% increase relative to the estimated 7</w:t>
      </w:r>
      <w:r w:rsidR="00F5730D">
        <w:rPr>
          <w:noProof/>
          <w:sz w:val="22"/>
          <w:szCs w:val="22"/>
        </w:rPr>
        <w:t xml:space="preserve"> </w:t>
      </w:r>
      <w:r w:rsidR="00DF0797" w:rsidRPr="00417E18">
        <w:rPr>
          <w:noProof/>
          <w:sz w:val="22"/>
          <w:szCs w:val="22"/>
        </w:rPr>
        <w:t>451 nodes deployed at end-2025</w:t>
      </w:r>
      <w:r w:rsidRPr="00417E18">
        <w:rPr>
          <w:rStyle w:val="FootnoteReference"/>
          <w:noProof/>
          <w:sz w:val="22"/>
          <w:szCs w:val="22"/>
        </w:rPr>
        <w:footnoteReference w:id="16"/>
      </w:r>
      <w:r w:rsidR="00DF0797" w:rsidRPr="00417E18">
        <w:rPr>
          <w:noProof/>
          <w:sz w:val="22"/>
          <w:szCs w:val="22"/>
        </w:rPr>
        <w:t xml:space="preserve">. </w:t>
      </w:r>
      <w:r w:rsidR="00AB2FE2">
        <w:rPr>
          <w:noProof/>
          <w:sz w:val="22"/>
          <w:szCs w:val="22"/>
        </w:rPr>
        <w:t xml:space="preserve">On this basis, </w:t>
      </w:r>
      <w:r w:rsidR="00AB2FE2">
        <w:rPr>
          <w:b/>
          <w:bCs/>
          <w:noProof/>
          <w:sz w:val="22"/>
          <w:szCs w:val="22"/>
        </w:rPr>
        <w:t>t</w:t>
      </w:r>
      <w:r w:rsidR="00DF0797" w:rsidRPr="00417E18">
        <w:rPr>
          <w:b/>
          <w:bCs/>
          <w:noProof/>
          <w:sz w:val="22"/>
          <w:szCs w:val="22"/>
        </w:rPr>
        <w:t>he Digital Decade target of 10</w:t>
      </w:r>
      <w:r w:rsidR="00F5730D">
        <w:rPr>
          <w:b/>
          <w:bCs/>
          <w:noProof/>
          <w:sz w:val="22"/>
          <w:szCs w:val="22"/>
        </w:rPr>
        <w:t xml:space="preserve"> </w:t>
      </w:r>
      <w:r w:rsidR="00DF0797" w:rsidRPr="00417E18">
        <w:rPr>
          <w:b/>
          <w:bCs/>
          <w:noProof/>
          <w:sz w:val="22"/>
          <w:szCs w:val="22"/>
        </w:rPr>
        <w:t xml:space="preserve">000 nodes is projected to be </w:t>
      </w:r>
      <w:r w:rsidR="00007F8B">
        <w:rPr>
          <w:b/>
          <w:bCs/>
          <w:noProof/>
          <w:sz w:val="22"/>
          <w:szCs w:val="22"/>
        </w:rPr>
        <w:t>reached</w:t>
      </w:r>
      <w:r w:rsidR="00007F8B" w:rsidRPr="00417E18">
        <w:rPr>
          <w:b/>
          <w:bCs/>
          <w:noProof/>
          <w:sz w:val="22"/>
          <w:szCs w:val="22"/>
        </w:rPr>
        <w:t xml:space="preserve"> </w:t>
      </w:r>
      <w:r w:rsidR="00DF0797" w:rsidRPr="00417E18">
        <w:rPr>
          <w:b/>
          <w:bCs/>
          <w:noProof/>
          <w:sz w:val="22"/>
          <w:szCs w:val="22"/>
        </w:rPr>
        <w:t>in 2028, two years ahead of the 2030</w:t>
      </w:r>
      <w:r w:rsidR="00DF0797" w:rsidRPr="00417E18">
        <w:rPr>
          <w:noProof/>
          <w:sz w:val="22"/>
          <w:szCs w:val="22"/>
        </w:rPr>
        <w:t xml:space="preserve"> deadline</w:t>
      </w:r>
      <w:r w:rsidR="00B011A8">
        <w:rPr>
          <w:noProof/>
          <w:sz w:val="22"/>
          <w:szCs w:val="22"/>
        </w:rPr>
        <w:t>.</w:t>
      </w:r>
    </w:p>
    <w:p w14:paraId="2BFFB83C" w14:textId="6BBE6492" w:rsidR="003E5541" w:rsidRPr="00417E18" w:rsidRDefault="00ED7D6A" w:rsidP="1BA0F702">
      <w:pPr>
        <w:rPr>
          <w:noProof/>
          <w:sz w:val="22"/>
          <w:szCs w:val="22"/>
        </w:rPr>
      </w:pPr>
      <w:r w:rsidRPr="00417E18">
        <w:rPr>
          <w:noProof/>
          <w:sz w:val="22"/>
          <w:szCs w:val="22"/>
        </w:rPr>
        <w:t xml:space="preserve">It is expected that on-premise nodes will retain structural dominance throughout the period, </w:t>
      </w:r>
      <w:r w:rsidR="00B011A8">
        <w:rPr>
          <w:noProof/>
          <w:sz w:val="22"/>
          <w:szCs w:val="22"/>
        </w:rPr>
        <w:t>al</w:t>
      </w:r>
      <w:r w:rsidRPr="00417E18">
        <w:rPr>
          <w:noProof/>
          <w:sz w:val="22"/>
          <w:szCs w:val="22"/>
        </w:rPr>
        <w:t>though their relative share is forecast</w:t>
      </w:r>
      <w:r w:rsidR="00F23E61">
        <w:rPr>
          <w:noProof/>
          <w:sz w:val="22"/>
          <w:szCs w:val="22"/>
        </w:rPr>
        <w:t>ed</w:t>
      </w:r>
      <w:r w:rsidRPr="00417E18">
        <w:rPr>
          <w:noProof/>
          <w:sz w:val="22"/>
          <w:szCs w:val="22"/>
        </w:rPr>
        <w:t xml:space="preserve"> to decline modestly from 89% to approximately 84% as near edge infrastructure scales more rapidly.</w:t>
      </w:r>
      <w:r w:rsidR="003E5541" w:rsidRPr="00417E18">
        <w:rPr>
          <w:noProof/>
          <w:sz w:val="22"/>
          <w:szCs w:val="22"/>
        </w:rPr>
        <w:t xml:space="preserve"> Public edge infrastructure (in-country </w:t>
      </w:r>
      <w:r w:rsidR="2258F5D1" w:rsidRPr="6E0CA051">
        <w:rPr>
          <w:noProof/>
          <w:sz w:val="22"/>
          <w:szCs w:val="22"/>
        </w:rPr>
        <w:t>data</w:t>
      </w:r>
      <w:r w:rsidR="00945DE8">
        <w:rPr>
          <w:noProof/>
          <w:sz w:val="22"/>
          <w:szCs w:val="22"/>
        </w:rPr>
        <w:t xml:space="preserve"> centres</w:t>
      </w:r>
      <w:r w:rsidR="003E5541" w:rsidRPr="00417E18">
        <w:rPr>
          <w:noProof/>
          <w:sz w:val="22"/>
          <w:szCs w:val="22"/>
        </w:rPr>
        <w:t xml:space="preserve">, near edge, and far edge combined) is projected to more than triple from </w:t>
      </w:r>
      <w:r w:rsidR="00F60FCF">
        <w:rPr>
          <w:noProof/>
          <w:sz w:val="22"/>
          <w:szCs w:val="22"/>
        </w:rPr>
        <w:t>around</w:t>
      </w:r>
      <w:r w:rsidR="00F60FCF" w:rsidRPr="00417E18">
        <w:rPr>
          <w:noProof/>
          <w:sz w:val="22"/>
          <w:szCs w:val="22"/>
        </w:rPr>
        <w:t xml:space="preserve"> </w:t>
      </w:r>
      <w:r w:rsidR="003E5541" w:rsidRPr="00417E18">
        <w:rPr>
          <w:noProof/>
          <w:sz w:val="22"/>
          <w:szCs w:val="22"/>
        </w:rPr>
        <w:t>1,032 nodes in 2025 to over 3</w:t>
      </w:r>
      <w:r w:rsidR="00F5730D">
        <w:rPr>
          <w:noProof/>
          <w:sz w:val="22"/>
          <w:szCs w:val="22"/>
        </w:rPr>
        <w:t xml:space="preserve"> </w:t>
      </w:r>
      <w:r w:rsidR="003E5541" w:rsidRPr="00417E18">
        <w:rPr>
          <w:noProof/>
          <w:sz w:val="22"/>
          <w:szCs w:val="22"/>
        </w:rPr>
        <w:t>500 nodes by 2030</w:t>
      </w:r>
      <w:r w:rsidR="00365A49" w:rsidRPr="00417E18">
        <w:rPr>
          <w:noProof/>
          <w:sz w:val="22"/>
          <w:szCs w:val="22"/>
        </w:rPr>
        <w:t>. This</w:t>
      </w:r>
      <w:r w:rsidR="00365A49" w:rsidRPr="00417E18" w:rsidDel="00945DE8">
        <w:rPr>
          <w:noProof/>
          <w:sz w:val="22"/>
          <w:szCs w:val="22"/>
        </w:rPr>
        <w:t xml:space="preserve"> </w:t>
      </w:r>
      <w:r w:rsidR="00365A49" w:rsidRPr="00417E18">
        <w:rPr>
          <w:noProof/>
          <w:sz w:val="22"/>
          <w:szCs w:val="22"/>
        </w:rPr>
        <w:t xml:space="preserve">is expected to translate into a significant expansion of aggregate compute capacity at the edge </w:t>
      </w:r>
      <w:r w:rsidR="00BD1DD0" w:rsidRPr="00417E18">
        <w:rPr>
          <w:noProof/>
          <w:sz w:val="22"/>
          <w:szCs w:val="22"/>
        </w:rPr>
        <w:t>by</w:t>
      </w:r>
      <w:r w:rsidR="00365A49" w:rsidRPr="00417E18">
        <w:rPr>
          <w:noProof/>
          <w:sz w:val="22"/>
          <w:szCs w:val="22"/>
        </w:rPr>
        <w:t xml:space="preserve"> 2030</w:t>
      </w:r>
      <w:r w:rsidR="003E5541" w:rsidRPr="00417E18">
        <w:rPr>
          <w:noProof/>
          <w:sz w:val="22"/>
          <w:szCs w:val="22"/>
        </w:rPr>
        <w:t xml:space="preserve">. </w:t>
      </w:r>
    </w:p>
    <w:p w14:paraId="10ED1F35" w14:textId="6FA880A6" w:rsidR="00E53B15" w:rsidRPr="00774989" w:rsidRDefault="00774989" w:rsidP="00774989">
      <w:pPr>
        <w:rPr>
          <w:noProof/>
          <w:sz w:val="22"/>
          <w:szCs w:val="22"/>
        </w:rPr>
      </w:pPr>
      <w:r>
        <w:rPr>
          <w:noProof/>
          <w:sz w:val="22"/>
          <w:szCs w:val="22"/>
        </w:rPr>
        <w:t>T</w:t>
      </w:r>
      <w:r w:rsidR="002869D3" w:rsidRPr="002869D3">
        <w:rPr>
          <w:noProof/>
          <w:sz w:val="22"/>
          <w:szCs w:val="22"/>
        </w:rPr>
        <w:t xml:space="preserve">he expansion of edge </w:t>
      </w:r>
      <w:r>
        <w:rPr>
          <w:noProof/>
          <w:sz w:val="22"/>
          <w:szCs w:val="22"/>
        </w:rPr>
        <w:t>nodes</w:t>
      </w:r>
      <w:r w:rsidR="002869D3" w:rsidRPr="002869D3">
        <w:rPr>
          <w:noProof/>
          <w:sz w:val="22"/>
          <w:szCs w:val="22"/>
        </w:rPr>
        <w:t xml:space="preserve"> must be </w:t>
      </w:r>
      <w:r>
        <w:rPr>
          <w:noProof/>
          <w:sz w:val="22"/>
          <w:szCs w:val="22"/>
        </w:rPr>
        <w:t>analysed and contextualised</w:t>
      </w:r>
      <w:r w:rsidR="002869D3" w:rsidRPr="002869D3">
        <w:rPr>
          <w:noProof/>
          <w:sz w:val="22"/>
          <w:szCs w:val="22"/>
        </w:rPr>
        <w:t xml:space="preserve"> within the broader context of cloud infrastructure, which continues to underpin the overall availability of </w:t>
      </w:r>
      <w:r w:rsidR="002869D3" w:rsidRPr="00774989">
        <w:rPr>
          <w:b/>
          <w:bCs/>
          <w:noProof/>
          <w:sz w:val="22"/>
          <w:szCs w:val="22"/>
        </w:rPr>
        <w:t>computing capacity</w:t>
      </w:r>
      <w:r w:rsidR="002869D3" w:rsidRPr="002869D3">
        <w:rPr>
          <w:noProof/>
          <w:sz w:val="22"/>
          <w:szCs w:val="22"/>
        </w:rPr>
        <w:t>.</w:t>
      </w:r>
      <w:r>
        <w:rPr>
          <w:noProof/>
          <w:sz w:val="22"/>
          <w:szCs w:val="22"/>
        </w:rPr>
        <w:t xml:space="preserve"> </w:t>
      </w:r>
      <w:r w:rsidR="79DDC1F4" w:rsidRPr="00417E18">
        <w:rPr>
          <w:noProof/>
          <w:sz w:val="22"/>
          <w:szCs w:val="22"/>
        </w:rPr>
        <w:t xml:space="preserve">The </w:t>
      </w:r>
      <w:r w:rsidR="2A785AAB" w:rsidRPr="00417E18">
        <w:rPr>
          <w:noProof/>
          <w:sz w:val="22"/>
          <w:szCs w:val="22"/>
        </w:rPr>
        <w:t xml:space="preserve">rapid advancement of AI is </w:t>
      </w:r>
      <w:r w:rsidR="00282F86" w:rsidRPr="00417E18">
        <w:rPr>
          <w:noProof/>
          <w:sz w:val="22"/>
          <w:szCs w:val="22"/>
        </w:rPr>
        <w:t>fuelling</w:t>
      </w:r>
      <w:r w:rsidR="2A785AAB" w:rsidRPr="00417E18">
        <w:rPr>
          <w:noProof/>
          <w:sz w:val="22"/>
          <w:szCs w:val="22"/>
        </w:rPr>
        <w:t xml:space="preserve"> an unprecedented surge in demand for </w:t>
      </w:r>
      <w:r w:rsidR="2A785AAB" w:rsidRPr="00417E18">
        <w:rPr>
          <w:b/>
          <w:bCs/>
          <w:noProof/>
          <w:sz w:val="22"/>
          <w:szCs w:val="22"/>
        </w:rPr>
        <w:t>computing power</w:t>
      </w:r>
      <w:r w:rsidR="00D90AEA" w:rsidRPr="00417E18">
        <w:rPr>
          <w:rStyle w:val="FootnoteReference"/>
          <w:noProof/>
          <w:sz w:val="22"/>
          <w:szCs w:val="22"/>
        </w:rPr>
        <w:footnoteReference w:id="17"/>
      </w:r>
      <w:r w:rsidR="7E7C1E9F" w:rsidRPr="00417E18">
        <w:rPr>
          <w:noProof/>
          <w:sz w:val="22"/>
          <w:szCs w:val="22"/>
        </w:rPr>
        <w:t xml:space="preserve">; not </w:t>
      </w:r>
      <w:r w:rsidR="00F60FCF">
        <w:rPr>
          <w:noProof/>
          <w:sz w:val="22"/>
          <w:szCs w:val="22"/>
        </w:rPr>
        <w:t>only</w:t>
      </w:r>
      <w:r w:rsidR="00F60FCF" w:rsidRPr="00417E18">
        <w:rPr>
          <w:noProof/>
          <w:sz w:val="22"/>
          <w:szCs w:val="22"/>
        </w:rPr>
        <w:t xml:space="preserve"> </w:t>
      </w:r>
      <w:r w:rsidR="7E7C1E9F" w:rsidRPr="00417E18">
        <w:rPr>
          <w:noProof/>
          <w:sz w:val="22"/>
          <w:szCs w:val="22"/>
        </w:rPr>
        <w:t xml:space="preserve">for </w:t>
      </w:r>
      <w:r w:rsidR="11521AD6" w:rsidRPr="00417E18">
        <w:rPr>
          <w:noProof/>
          <w:sz w:val="22"/>
          <w:szCs w:val="22"/>
        </w:rPr>
        <w:t>edge nodes</w:t>
      </w:r>
      <w:r w:rsidR="7E7C1E9F" w:rsidRPr="00417E18">
        <w:rPr>
          <w:noProof/>
          <w:sz w:val="22"/>
          <w:szCs w:val="22"/>
        </w:rPr>
        <w:t xml:space="preserve"> needed to </w:t>
      </w:r>
      <w:r w:rsidR="120675A8" w:rsidRPr="00417E18">
        <w:rPr>
          <w:noProof/>
          <w:sz w:val="22"/>
          <w:szCs w:val="22"/>
        </w:rPr>
        <w:t>low-latency solutions</w:t>
      </w:r>
      <w:r w:rsidR="7E7C1E9F" w:rsidRPr="00417E18">
        <w:rPr>
          <w:noProof/>
          <w:sz w:val="22"/>
          <w:szCs w:val="22"/>
        </w:rPr>
        <w:t>, but also for the</w:t>
      </w:r>
      <w:r w:rsidR="004F02EF">
        <w:rPr>
          <w:noProof/>
          <w:sz w:val="22"/>
          <w:szCs w:val="22"/>
        </w:rPr>
        <w:t xml:space="preserve"> broader</w:t>
      </w:r>
      <w:r w:rsidR="7E7C1E9F" w:rsidRPr="00417E18">
        <w:rPr>
          <w:noProof/>
          <w:sz w:val="22"/>
          <w:szCs w:val="22"/>
        </w:rPr>
        <w:t xml:space="preserve"> </w:t>
      </w:r>
      <w:r w:rsidR="7E7C1E9F" w:rsidRPr="00EB45E6">
        <w:rPr>
          <w:b/>
          <w:noProof/>
          <w:sz w:val="22"/>
          <w:szCs w:val="22"/>
        </w:rPr>
        <w:t>computing capacity</w:t>
      </w:r>
      <w:r w:rsidR="00741C95">
        <w:rPr>
          <w:noProof/>
          <w:sz w:val="22"/>
          <w:szCs w:val="22"/>
        </w:rPr>
        <w:t xml:space="preserve">, i.e. the total volume of </w:t>
      </w:r>
      <w:r w:rsidR="007C5911">
        <w:rPr>
          <w:noProof/>
          <w:sz w:val="22"/>
          <w:szCs w:val="22"/>
        </w:rPr>
        <w:t>processing resources available,</w:t>
      </w:r>
      <w:r w:rsidR="7E7C1E9F" w:rsidRPr="00417E18">
        <w:rPr>
          <w:noProof/>
          <w:sz w:val="22"/>
          <w:szCs w:val="22"/>
        </w:rPr>
        <w:t xml:space="preserve"> required to support fine-tuning</w:t>
      </w:r>
      <w:r w:rsidR="120675A8" w:rsidRPr="00417E18">
        <w:rPr>
          <w:noProof/>
          <w:sz w:val="22"/>
          <w:szCs w:val="22"/>
        </w:rPr>
        <w:t xml:space="preserve"> of models and </w:t>
      </w:r>
      <w:r w:rsidR="7E7C1E9F" w:rsidRPr="00417E18">
        <w:rPr>
          <w:noProof/>
          <w:sz w:val="22"/>
          <w:szCs w:val="22"/>
        </w:rPr>
        <w:t xml:space="preserve">inference. </w:t>
      </w:r>
      <w:r w:rsidR="58D6D9A6" w:rsidRPr="00417E18">
        <w:rPr>
          <w:noProof/>
          <w:sz w:val="22"/>
          <w:szCs w:val="22"/>
        </w:rPr>
        <w:t xml:space="preserve">Beyond AI, the adoption of cloud computing and other digital services continues to accelerate, further intensifying the pressure on available infrastructure. </w:t>
      </w:r>
      <w:r w:rsidR="18642F35" w:rsidRPr="244DB7D5">
        <w:rPr>
          <w:noProof/>
          <w:sz w:val="22"/>
          <w:szCs w:val="22"/>
        </w:rPr>
        <w:t>In this regard, the current investigations opened under the Digital Markets Act</w:t>
      </w:r>
      <w:r w:rsidR="04B05D0E" w:rsidRPr="00526040">
        <w:rPr>
          <w:rStyle w:val="FootnoteReference"/>
          <w:rFonts w:cs="Calibri"/>
          <w:noProof/>
          <w:sz w:val="22"/>
          <w:szCs w:val="22"/>
        </w:rPr>
        <w:footnoteReference w:id="18"/>
      </w:r>
      <w:r w:rsidR="18642F35" w:rsidRPr="244DB7D5">
        <w:rPr>
          <w:noProof/>
          <w:sz w:val="22"/>
          <w:szCs w:val="22"/>
        </w:rPr>
        <w:t xml:space="preserve"> in relation to the cloud computing sector are exploring </w:t>
      </w:r>
      <w:r w:rsidR="009C1FA8" w:rsidRPr="244DB7D5">
        <w:rPr>
          <w:noProof/>
          <w:sz w:val="22"/>
          <w:szCs w:val="22"/>
        </w:rPr>
        <w:t>the need and possibility to unlock</w:t>
      </w:r>
      <w:r w:rsidR="6E19ECFE" w:rsidRPr="244DB7D5">
        <w:rPr>
          <w:noProof/>
          <w:sz w:val="22"/>
          <w:szCs w:val="22"/>
        </w:rPr>
        <w:t xml:space="preserve"> opportunities </w:t>
      </w:r>
      <w:r w:rsidR="346E78C8" w:rsidRPr="244DB7D5">
        <w:rPr>
          <w:noProof/>
          <w:sz w:val="22"/>
          <w:szCs w:val="22"/>
        </w:rPr>
        <w:t xml:space="preserve">and support fairness and contestability in the provision of cloud services. </w:t>
      </w:r>
      <w:r w:rsidR="0019252D" w:rsidRPr="0019252D">
        <w:rPr>
          <w:noProof/>
          <w:sz w:val="22"/>
          <w:szCs w:val="22"/>
        </w:rPr>
        <w:t xml:space="preserve">In addition, interested Member States are designing an Important Project of Common European Interest (IPCEI) focusing on the deployment of a Compute Infrastructure Continuum (CIC), namely a distributed and federated network of digital infrastructure, aiming to further increase compute capacity availability in Europe and enable functionalities, including but not limited to AI. </w:t>
      </w:r>
      <w:r w:rsidR="42040EDF" w:rsidRPr="00417E18">
        <w:rPr>
          <w:noProof/>
          <w:sz w:val="22"/>
          <w:szCs w:val="22"/>
        </w:rPr>
        <w:t xml:space="preserve">In 2025, per Eurostat, </w:t>
      </w:r>
      <w:r w:rsidR="502C90CE" w:rsidRPr="00417E18">
        <w:rPr>
          <w:noProof/>
          <w:sz w:val="22"/>
          <w:szCs w:val="22"/>
        </w:rPr>
        <w:t xml:space="preserve">EU business cloud uptake stood at </w:t>
      </w:r>
      <w:r w:rsidR="00823F7B">
        <w:rPr>
          <w:noProof/>
          <w:sz w:val="22"/>
          <w:szCs w:val="22"/>
        </w:rPr>
        <w:t>46</w:t>
      </w:r>
      <w:r w:rsidR="502C90CE" w:rsidRPr="00417E18">
        <w:rPr>
          <w:noProof/>
          <w:sz w:val="22"/>
          <w:szCs w:val="22"/>
        </w:rPr>
        <w:t>.7%</w:t>
      </w:r>
      <w:r w:rsidR="42040EDF" w:rsidRPr="00417E18">
        <w:rPr>
          <w:noProof/>
          <w:sz w:val="22"/>
          <w:szCs w:val="22"/>
        </w:rPr>
        <w:t xml:space="preserve"> - </w:t>
      </w:r>
      <w:r w:rsidR="0A302979" w:rsidRPr="00417E18">
        <w:rPr>
          <w:noProof/>
          <w:sz w:val="22"/>
          <w:szCs w:val="22"/>
        </w:rPr>
        <w:t xml:space="preserve">still </w:t>
      </w:r>
      <w:r w:rsidR="42040EDF" w:rsidRPr="00417E18">
        <w:rPr>
          <w:noProof/>
          <w:sz w:val="22"/>
          <w:szCs w:val="22"/>
        </w:rPr>
        <w:t xml:space="preserve">far from the 2030 target of 75%. As more European businesses adopt cloud and AI computing services, demand for </w:t>
      </w:r>
      <w:r w:rsidR="05D9BA3D" w:rsidRPr="00417E18">
        <w:rPr>
          <w:noProof/>
          <w:sz w:val="22"/>
          <w:szCs w:val="22"/>
        </w:rPr>
        <w:t>data centres</w:t>
      </w:r>
      <w:r w:rsidR="42040EDF" w:rsidRPr="00417E18">
        <w:rPr>
          <w:noProof/>
          <w:sz w:val="22"/>
          <w:szCs w:val="22"/>
        </w:rPr>
        <w:t xml:space="preserve"> is th</w:t>
      </w:r>
      <w:r w:rsidR="004F02EF">
        <w:rPr>
          <w:noProof/>
          <w:sz w:val="22"/>
          <w:szCs w:val="22"/>
        </w:rPr>
        <w:t xml:space="preserve">erefore </w:t>
      </w:r>
      <w:r w:rsidR="42040EDF" w:rsidRPr="00417E18">
        <w:rPr>
          <w:noProof/>
          <w:sz w:val="22"/>
          <w:szCs w:val="22"/>
        </w:rPr>
        <w:t xml:space="preserve">expected to rise further. </w:t>
      </w:r>
      <w:r w:rsidR="6A644006" w:rsidRPr="00417E18">
        <w:rPr>
          <w:noProof/>
          <w:sz w:val="22"/>
          <w:szCs w:val="22"/>
        </w:rPr>
        <w:t>In 2025, the EU’s c</w:t>
      </w:r>
      <w:r w:rsidR="430A0550" w:rsidRPr="00417E18">
        <w:rPr>
          <w:noProof/>
          <w:sz w:val="22"/>
          <w:szCs w:val="22"/>
        </w:rPr>
        <w:t>omputing capacity</w:t>
      </w:r>
      <w:r w:rsidR="067A74FA" w:rsidRPr="00417E18">
        <w:rPr>
          <w:noProof/>
          <w:sz w:val="22"/>
          <w:szCs w:val="22"/>
        </w:rPr>
        <w:t xml:space="preserve"> was estimated </w:t>
      </w:r>
      <w:r w:rsidR="2A973702" w:rsidRPr="00417E18">
        <w:rPr>
          <w:noProof/>
          <w:sz w:val="22"/>
          <w:szCs w:val="22"/>
        </w:rPr>
        <w:t xml:space="preserve">at approximately </w:t>
      </w:r>
      <w:r w:rsidR="067A74FA" w:rsidRPr="00417E18">
        <w:rPr>
          <w:noProof/>
          <w:sz w:val="22"/>
          <w:szCs w:val="22"/>
        </w:rPr>
        <w:t>12 GW</w:t>
      </w:r>
      <w:r w:rsidR="00511B4A" w:rsidRPr="00417E18">
        <w:rPr>
          <w:rStyle w:val="FootnoteReference"/>
          <w:noProof/>
          <w:sz w:val="22"/>
          <w:szCs w:val="22"/>
        </w:rPr>
        <w:footnoteReference w:id="19"/>
      </w:r>
      <w:r w:rsidR="450B2ACB" w:rsidRPr="00417E18">
        <w:rPr>
          <w:noProof/>
          <w:sz w:val="22"/>
          <w:szCs w:val="22"/>
        </w:rPr>
        <w:t>.</w:t>
      </w:r>
    </w:p>
    <w:p w14:paraId="728A0C36" w14:textId="07B4C78F" w:rsidR="00E53B15" w:rsidRPr="00417E18" w:rsidRDefault="4573A777" w:rsidP="3A5F48C0">
      <w:pPr>
        <w:spacing w:line="276" w:lineRule="auto"/>
        <w:rPr>
          <w:rFonts w:eastAsia="Calibri" w:cs="Calibri"/>
          <w:noProof/>
          <w:sz w:val="22"/>
          <w:szCs w:val="22"/>
        </w:rPr>
      </w:pPr>
      <w:r w:rsidRPr="00417E18">
        <w:rPr>
          <w:b/>
          <w:bCs/>
          <w:noProof/>
          <w:sz w:val="22"/>
          <w:szCs w:val="22"/>
        </w:rPr>
        <w:t>T</w:t>
      </w:r>
      <w:r w:rsidR="5623B073" w:rsidRPr="00417E18">
        <w:rPr>
          <w:b/>
          <w:bCs/>
          <w:noProof/>
          <w:sz w:val="22"/>
          <w:szCs w:val="22"/>
        </w:rPr>
        <w:t xml:space="preserve">he EU continues to lag behind </w:t>
      </w:r>
      <w:r w:rsidR="099F9B09" w:rsidRPr="00417E18">
        <w:rPr>
          <w:b/>
          <w:bCs/>
          <w:noProof/>
          <w:sz w:val="22"/>
          <w:szCs w:val="22"/>
        </w:rPr>
        <w:t>other regions in both the scale and ownership of digital infrastructure</w:t>
      </w:r>
      <w:r w:rsidR="006A1A27" w:rsidRPr="00526040">
        <w:rPr>
          <w:rStyle w:val="FootnoteReference"/>
          <w:b/>
          <w:bCs/>
          <w:noProof/>
          <w:sz w:val="22"/>
          <w:szCs w:val="22"/>
        </w:rPr>
        <w:footnoteReference w:id="20"/>
      </w:r>
      <w:r w:rsidR="099F9B09" w:rsidRPr="00526040">
        <w:rPr>
          <w:b/>
          <w:bCs/>
          <w:noProof/>
          <w:sz w:val="22"/>
          <w:szCs w:val="22"/>
        </w:rPr>
        <w:t>.</w:t>
      </w:r>
      <w:r w:rsidR="099F9B09">
        <w:rPr>
          <w:b/>
          <w:noProof/>
          <w:sz w:val="22"/>
          <w:szCs w:val="22"/>
        </w:rPr>
        <w:t xml:space="preserve"> </w:t>
      </w:r>
      <w:r w:rsidR="5623B073" w:rsidRPr="00417E18">
        <w:rPr>
          <w:noProof/>
          <w:sz w:val="22"/>
          <w:szCs w:val="22"/>
        </w:rPr>
        <w:t>D</w:t>
      </w:r>
      <w:r w:rsidR="099F9B09" w:rsidRPr="00417E18">
        <w:rPr>
          <w:noProof/>
          <w:sz w:val="22"/>
          <w:szCs w:val="22"/>
        </w:rPr>
        <w:t>espite comparable GDP levels, the EU accounted for only 20% of global data centre capacity in 2025, while the US held 42</w:t>
      </w:r>
      <w:r w:rsidR="6A6F1198" w:rsidRPr="00417E18">
        <w:rPr>
          <w:noProof/>
          <w:sz w:val="22"/>
          <w:szCs w:val="22"/>
        </w:rPr>
        <w:t>%.</w:t>
      </w:r>
      <w:r w:rsidR="75447071" w:rsidRPr="00417E18">
        <w:rPr>
          <w:noProof/>
          <w:sz w:val="22"/>
          <w:szCs w:val="22"/>
        </w:rPr>
        <w:t xml:space="preserve"> </w:t>
      </w:r>
      <w:r w:rsidR="0CE1D5FD" w:rsidRPr="00417E18">
        <w:rPr>
          <w:noProof/>
          <w:sz w:val="22"/>
          <w:szCs w:val="22"/>
        </w:rPr>
        <w:t xml:space="preserve">Although this </w:t>
      </w:r>
      <w:r w:rsidR="3CB1C125" w:rsidRPr="00417E18">
        <w:rPr>
          <w:noProof/>
          <w:sz w:val="22"/>
          <w:szCs w:val="22"/>
        </w:rPr>
        <w:t xml:space="preserve">capacity is expected to grow in the </w:t>
      </w:r>
      <w:r w:rsidR="6E296B12" w:rsidRPr="00417E18">
        <w:rPr>
          <w:noProof/>
          <w:sz w:val="22"/>
          <w:szCs w:val="22"/>
        </w:rPr>
        <w:t xml:space="preserve">coming </w:t>
      </w:r>
      <w:r w:rsidR="3CB1C125" w:rsidRPr="00417E18">
        <w:rPr>
          <w:noProof/>
          <w:sz w:val="22"/>
          <w:szCs w:val="22"/>
        </w:rPr>
        <w:t xml:space="preserve">years, the gap </w:t>
      </w:r>
      <w:r w:rsidR="002E5FC2">
        <w:rPr>
          <w:noProof/>
          <w:sz w:val="22"/>
          <w:szCs w:val="22"/>
        </w:rPr>
        <w:t xml:space="preserve">relative to projected </w:t>
      </w:r>
      <w:r w:rsidR="3CB1C125" w:rsidRPr="00417E18">
        <w:rPr>
          <w:noProof/>
          <w:sz w:val="22"/>
          <w:szCs w:val="22"/>
        </w:rPr>
        <w:t xml:space="preserve">needs is </w:t>
      </w:r>
      <w:r w:rsidR="00EE433A">
        <w:rPr>
          <w:noProof/>
          <w:sz w:val="22"/>
          <w:szCs w:val="22"/>
        </w:rPr>
        <w:t xml:space="preserve">also </w:t>
      </w:r>
      <w:r w:rsidR="3CB1C125" w:rsidRPr="00417E18">
        <w:rPr>
          <w:noProof/>
          <w:sz w:val="22"/>
          <w:szCs w:val="22"/>
        </w:rPr>
        <w:t xml:space="preserve">expected to widen. </w:t>
      </w:r>
      <w:r w:rsidR="528A0210" w:rsidRPr="00417E18">
        <w:rPr>
          <w:noProof/>
          <w:sz w:val="22"/>
          <w:szCs w:val="22"/>
        </w:rPr>
        <w:t xml:space="preserve">Market evidence points to tightening conditions for </w:t>
      </w:r>
      <w:r w:rsidR="2AC803D6" w:rsidRPr="00417E18">
        <w:rPr>
          <w:noProof/>
          <w:sz w:val="22"/>
          <w:szCs w:val="22"/>
        </w:rPr>
        <w:t>capacity</w:t>
      </w:r>
      <w:r w:rsidR="528A0210" w:rsidRPr="00417E18">
        <w:rPr>
          <w:noProof/>
          <w:sz w:val="22"/>
          <w:szCs w:val="22"/>
        </w:rPr>
        <w:t xml:space="preserve"> </w:t>
      </w:r>
      <w:r w:rsidR="21F0B11D" w:rsidRPr="00417E18">
        <w:rPr>
          <w:noProof/>
          <w:sz w:val="22"/>
          <w:szCs w:val="22"/>
        </w:rPr>
        <w:t>expansion</w:t>
      </w:r>
      <w:r w:rsidR="528A0210" w:rsidRPr="00417E18">
        <w:rPr>
          <w:noProof/>
          <w:sz w:val="22"/>
          <w:szCs w:val="22"/>
        </w:rPr>
        <w:t xml:space="preserve">, with demand for colocation space in Europe </w:t>
      </w:r>
      <w:r w:rsidR="00EE433A">
        <w:rPr>
          <w:noProof/>
          <w:sz w:val="22"/>
          <w:szCs w:val="22"/>
        </w:rPr>
        <w:t>exceeding</w:t>
      </w:r>
      <w:r w:rsidR="00EE433A" w:rsidRPr="00417E18">
        <w:rPr>
          <w:noProof/>
          <w:sz w:val="22"/>
          <w:szCs w:val="22"/>
        </w:rPr>
        <w:t xml:space="preserve"> </w:t>
      </w:r>
      <w:r w:rsidR="0F9FDE6B" w:rsidRPr="00417E18">
        <w:rPr>
          <w:noProof/>
          <w:sz w:val="22"/>
          <w:szCs w:val="22"/>
        </w:rPr>
        <w:t xml:space="preserve">new supply despite </w:t>
      </w:r>
      <w:r w:rsidR="7A221EEC" w:rsidRPr="00417E18">
        <w:rPr>
          <w:noProof/>
          <w:sz w:val="22"/>
          <w:szCs w:val="22"/>
        </w:rPr>
        <w:t>investments</w:t>
      </w:r>
      <w:r w:rsidR="00A365C8" w:rsidRPr="00417E18">
        <w:rPr>
          <w:rStyle w:val="FootnoteReference"/>
          <w:noProof/>
          <w:sz w:val="22"/>
          <w:szCs w:val="22"/>
        </w:rPr>
        <w:footnoteReference w:id="21"/>
      </w:r>
      <w:r w:rsidR="7D20B60A" w:rsidRPr="00417E18">
        <w:rPr>
          <w:noProof/>
          <w:sz w:val="22"/>
          <w:szCs w:val="22"/>
        </w:rPr>
        <w:t>.</w:t>
      </w:r>
      <w:r w:rsidR="246065FF" w:rsidRPr="00417E18">
        <w:rPr>
          <w:noProof/>
          <w:sz w:val="22"/>
          <w:szCs w:val="22"/>
        </w:rPr>
        <w:t xml:space="preserve"> </w:t>
      </w:r>
      <w:r w:rsidR="5623B073" w:rsidRPr="00417E18">
        <w:rPr>
          <w:noProof/>
          <w:sz w:val="22"/>
          <w:szCs w:val="22"/>
        </w:rPr>
        <w:t xml:space="preserve">In 2025, demand for new data centre capacity in Europe </w:t>
      </w:r>
      <w:r w:rsidR="007D2B06">
        <w:rPr>
          <w:noProof/>
          <w:sz w:val="22"/>
          <w:szCs w:val="22"/>
        </w:rPr>
        <w:t>reached</w:t>
      </w:r>
      <w:r w:rsidR="007D2B06" w:rsidRPr="00417E18">
        <w:rPr>
          <w:noProof/>
          <w:sz w:val="22"/>
          <w:szCs w:val="22"/>
        </w:rPr>
        <w:t xml:space="preserve"> </w:t>
      </w:r>
      <w:r w:rsidR="5623B073" w:rsidRPr="00417E18">
        <w:rPr>
          <w:noProof/>
          <w:sz w:val="22"/>
          <w:szCs w:val="22"/>
        </w:rPr>
        <w:t>a record of 854 MW, outstripping new supply for the third consecutive year</w:t>
      </w:r>
      <w:r w:rsidR="0DD99A92" w:rsidRPr="00417E18">
        <w:rPr>
          <w:noProof/>
          <w:sz w:val="22"/>
          <w:szCs w:val="22"/>
        </w:rPr>
        <w:t xml:space="preserve">. </w:t>
      </w:r>
      <w:r w:rsidR="42341219">
        <w:rPr>
          <w:noProof/>
          <w:sz w:val="22"/>
          <w:szCs w:val="22"/>
        </w:rPr>
        <w:t>A</w:t>
      </w:r>
      <w:r w:rsidR="0DD99A92" w:rsidRPr="00417E18">
        <w:rPr>
          <w:noProof/>
          <w:sz w:val="22"/>
          <w:szCs w:val="22"/>
        </w:rPr>
        <w:t>cross</w:t>
      </w:r>
      <w:r w:rsidR="5623B073" w:rsidRPr="00417E18">
        <w:rPr>
          <w:noProof/>
          <w:sz w:val="22"/>
          <w:szCs w:val="22"/>
        </w:rPr>
        <w:t xml:space="preserve"> EU-27, the expansion of data centre capacity is </w:t>
      </w:r>
      <w:r w:rsidR="42341219" w:rsidRPr="07868930">
        <w:rPr>
          <w:noProof/>
          <w:sz w:val="22"/>
          <w:szCs w:val="22"/>
        </w:rPr>
        <w:t>therefore</w:t>
      </w:r>
      <w:r w:rsidR="000B5B9F">
        <w:rPr>
          <w:noProof/>
          <w:sz w:val="22"/>
          <w:szCs w:val="22"/>
        </w:rPr>
        <w:t xml:space="preserve"> not</w:t>
      </w:r>
      <w:r w:rsidR="5623B073" w:rsidRPr="00417E18">
        <w:rPr>
          <w:noProof/>
          <w:sz w:val="22"/>
          <w:szCs w:val="22"/>
        </w:rPr>
        <w:t xml:space="preserve"> </w:t>
      </w:r>
      <w:r w:rsidR="6AAE94B5" w:rsidRPr="0C856F1D">
        <w:rPr>
          <w:noProof/>
          <w:sz w:val="22"/>
          <w:szCs w:val="22"/>
        </w:rPr>
        <w:t>able</w:t>
      </w:r>
      <w:r w:rsidR="0DD99A92" w:rsidRPr="00417E18">
        <w:rPr>
          <w:noProof/>
          <w:sz w:val="22"/>
          <w:szCs w:val="22"/>
        </w:rPr>
        <w:t xml:space="preserve"> to </w:t>
      </w:r>
      <w:r w:rsidR="5623B073" w:rsidRPr="00417E18">
        <w:rPr>
          <w:noProof/>
          <w:sz w:val="22"/>
          <w:szCs w:val="22"/>
        </w:rPr>
        <w:t xml:space="preserve">keep </w:t>
      </w:r>
      <w:r w:rsidR="33977A70" w:rsidRPr="0C856F1D">
        <w:rPr>
          <w:noProof/>
          <w:sz w:val="22"/>
          <w:szCs w:val="22"/>
        </w:rPr>
        <w:t>up the</w:t>
      </w:r>
      <w:r w:rsidR="0DD99A92" w:rsidRPr="00417E18">
        <w:rPr>
          <w:noProof/>
          <w:sz w:val="22"/>
          <w:szCs w:val="22"/>
        </w:rPr>
        <w:t xml:space="preserve"> </w:t>
      </w:r>
      <w:r w:rsidR="5623B073" w:rsidRPr="00417E18">
        <w:rPr>
          <w:noProof/>
          <w:sz w:val="22"/>
          <w:szCs w:val="22"/>
        </w:rPr>
        <w:t xml:space="preserve">pace with </w:t>
      </w:r>
      <w:r w:rsidR="147BB42E" w:rsidRPr="00417E18">
        <w:rPr>
          <w:noProof/>
          <w:sz w:val="22"/>
          <w:szCs w:val="22"/>
        </w:rPr>
        <w:t>the</w:t>
      </w:r>
      <w:r w:rsidR="5623B073" w:rsidRPr="00417E18" w:rsidDel="00545259">
        <w:rPr>
          <w:noProof/>
          <w:sz w:val="22"/>
          <w:szCs w:val="22"/>
        </w:rPr>
        <w:t xml:space="preserve"> </w:t>
      </w:r>
      <w:r w:rsidR="5623B073" w:rsidRPr="00417E18">
        <w:rPr>
          <w:noProof/>
          <w:sz w:val="22"/>
          <w:szCs w:val="22"/>
        </w:rPr>
        <w:t>rapid</w:t>
      </w:r>
      <w:r w:rsidR="00545259">
        <w:rPr>
          <w:noProof/>
          <w:sz w:val="22"/>
          <w:szCs w:val="22"/>
        </w:rPr>
        <w:t>ly growing</w:t>
      </w:r>
      <w:r w:rsidR="5623B073" w:rsidRPr="00417E18">
        <w:rPr>
          <w:noProof/>
          <w:sz w:val="22"/>
          <w:szCs w:val="22"/>
        </w:rPr>
        <w:t xml:space="preserve"> demand</w:t>
      </w:r>
      <w:r w:rsidR="00E170F2" w:rsidRPr="00417E18">
        <w:rPr>
          <w:rStyle w:val="FootnoteReference"/>
          <w:rFonts w:eastAsia="Calibri" w:cs="Calibri"/>
          <w:noProof/>
          <w:sz w:val="22"/>
          <w:szCs w:val="22"/>
        </w:rPr>
        <w:footnoteReference w:id="22"/>
      </w:r>
      <w:r w:rsidR="581013FE">
        <w:rPr>
          <w:noProof/>
          <w:sz w:val="22"/>
          <w:szCs w:val="22"/>
        </w:rPr>
        <w:t xml:space="preserve">. </w:t>
      </w:r>
      <w:r w:rsidR="00071249">
        <w:rPr>
          <w:noProof/>
          <w:sz w:val="22"/>
          <w:szCs w:val="22"/>
        </w:rPr>
        <w:t xml:space="preserve">Since </w:t>
      </w:r>
      <w:r w:rsidR="1D91AAB0" w:rsidRPr="00417E18">
        <w:rPr>
          <w:rFonts w:eastAsia="Calibri" w:cs="Calibri"/>
          <w:noProof/>
          <w:sz w:val="22"/>
          <w:szCs w:val="22"/>
        </w:rPr>
        <w:t>2022, average asking prices in European colocation markets have surged by 51% for 100 kW leases.</w:t>
      </w:r>
      <w:r w:rsidR="3C370E9C" w:rsidRPr="00417E18">
        <w:rPr>
          <w:rFonts w:eastAsia="Calibri" w:cs="Calibri"/>
          <w:noProof/>
          <w:sz w:val="22"/>
          <w:szCs w:val="22"/>
        </w:rPr>
        <w:t xml:space="preserve"> </w:t>
      </w:r>
    </w:p>
    <w:p w14:paraId="28C59162" w14:textId="39D1C516" w:rsidR="00E53B15" w:rsidRPr="00417E18" w:rsidRDefault="12220946" w:rsidP="3A5F48C0">
      <w:pPr>
        <w:spacing w:line="276" w:lineRule="auto"/>
        <w:rPr>
          <w:rFonts w:eastAsia="Calibri" w:cs="Calibri"/>
          <w:noProof/>
          <w:sz w:val="22"/>
          <w:szCs w:val="22"/>
        </w:rPr>
      </w:pPr>
      <w:r w:rsidRPr="00417E18">
        <w:rPr>
          <w:noProof/>
          <w:sz w:val="22"/>
          <w:szCs w:val="22"/>
        </w:rPr>
        <w:t xml:space="preserve">While cloud and AI computing services can be technically delivered cross-border, regions with a low </w:t>
      </w:r>
      <w:r w:rsidR="009149F6">
        <w:rPr>
          <w:noProof/>
          <w:sz w:val="22"/>
          <w:szCs w:val="22"/>
        </w:rPr>
        <w:t>data centre</w:t>
      </w:r>
      <w:r w:rsidR="009149F6" w:rsidRPr="00417E18">
        <w:rPr>
          <w:noProof/>
          <w:sz w:val="22"/>
          <w:szCs w:val="22"/>
        </w:rPr>
        <w:t xml:space="preserve"> </w:t>
      </w:r>
      <w:r w:rsidRPr="00417E18">
        <w:rPr>
          <w:noProof/>
          <w:sz w:val="22"/>
          <w:szCs w:val="22"/>
        </w:rPr>
        <w:t xml:space="preserve">presence are disadvantaged by the existing geographic imbalance in infrastructure deployment, as </w:t>
      </w:r>
      <w:r w:rsidR="0067569D">
        <w:rPr>
          <w:noProof/>
          <w:sz w:val="22"/>
          <w:szCs w:val="22"/>
        </w:rPr>
        <w:t xml:space="preserve">reflected in </w:t>
      </w:r>
      <w:r w:rsidRPr="00417E18">
        <w:rPr>
          <w:noProof/>
          <w:sz w:val="22"/>
          <w:szCs w:val="22"/>
        </w:rPr>
        <w:t xml:space="preserve">higher prices in regions with low </w:t>
      </w:r>
      <w:r w:rsidR="00654D3A">
        <w:rPr>
          <w:noProof/>
          <w:sz w:val="22"/>
          <w:szCs w:val="22"/>
        </w:rPr>
        <w:t>data centre capacity</w:t>
      </w:r>
      <w:r w:rsidR="001A2026" w:rsidRPr="00417E18">
        <w:rPr>
          <w:rStyle w:val="FootnoteReference"/>
          <w:noProof/>
          <w:sz w:val="22"/>
          <w:szCs w:val="22"/>
        </w:rPr>
        <w:footnoteReference w:id="23"/>
      </w:r>
      <w:r w:rsidRPr="00417E18">
        <w:rPr>
          <w:noProof/>
          <w:sz w:val="22"/>
          <w:szCs w:val="22"/>
        </w:rPr>
        <w:t>.</w:t>
      </w:r>
      <w:r w:rsidR="3B4AEC8A" w:rsidRPr="00417E18">
        <w:rPr>
          <w:noProof/>
          <w:sz w:val="22"/>
          <w:szCs w:val="22"/>
        </w:rPr>
        <w:t xml:space="preserve"> Moreover, the lack of nearby computing capacity drives up latency, limiting the availability and quality of low-latency services, thus placing local end-users at a competitive disadvantage compared with regions that have better access to DC capacity</w:t>
      </w:r>
      <w:r w:rsidR="001813DA" w:rsidRPr="00417E18">
        <w:rPr>
          <w:rStyle w:val="FootnoteReference"/>
          <w:noProof/>
          <w:sz w:val="22"/>
          <w:szCs w:val="22"/>
        </w:rPr>
        <w:footnoteReference w:id="24"/>
      </w:r>
      <w:r w:rsidR="729F9FEC" w:rsidRPr="00417E18">
        <w:rPr>
          <w:noProof/>
          <w:sz w:val="22"/>
          <w:szCs w:val="22"/>
        </w:rPr>
        <w:t>.</w:t>
      </w:r>
      <w:r w:rsidR="54180A73" w:rsidRPr="00417E18">
        <w:rPr>
          <w:noProof/>
          <w:sz w:val="22"/>
          <w:szCs w:val="22"/>
        </w:rPr>
        <w:t xml:space="preserve"> Some of the identified</w:t>
      </w:r>
      <w:r w:rsidR="15D3E64D" w:rsidRPr="00417E18">
        <w:rPr>
          <w:noProof/>
          <w:sz w:val="22"/>
          <w:szCs w:val="22"/>
        </w:rPr>
        <w:t xml:space="preserve"> key</w:t>
      </w:r>
      <w:r w:rsidR="54180A73" w:rsidRPr="00417E18">
        <w:rPr>
          <w:noProof/>
          <w:sz w:val="22"/>
          <w:szCs w:val="22"/>
        </w:rPr>
        <w:t xml:space="preserve"> bottlenecks slowing down the deployment of computing capacity across the EU </w:t>
      </w:r>
      <w:r w:rsidR="41A104C1" w:rsidRPr="00417E18">
        <w:rPr>
          <w:noProof/>
          <w:sz w:val="22"/>
          <w:szCs w:val="22"/>
        </w:rPr>
        <w:t xml:space="preserve">include </w:t>
      </w:r>
      <w:r w:rsidR="77C6CBBE" w:rsidRPr="00417E18">
        <w:rPr>
          <w:noProof/>
          <w:sz w:val="22"/>
          <w:szCs w:val="22"/>
        </w:rPr>
        <w:t xml:space="preserve">regulatory fragmentation, permitting procedures, </w:t>
      </w:r>
      <w:r w:rsidR="55C244BA" w:rsidRPr="00417E18">
        <w:rPr>
          <w:noProof/>
          <w:sz w:val="22"/>
          <w:szCs w:val="22"/>
        </w:rPr>
        <w:t xml:space="preserve">limited </w:t>
      </w:r>
      <w:r w:rsidR="77C6CBBE" w:rsidRPr="00417E18">
        <w:rPr>
          <w:noProof/>
          <w:sz w:val="22"/>
          <w:szCs w:val="22"/>
        </w:rPr>
        <w:t>land availability</w:t>
      </w:r>
      <w:r w:rsidR="48424298" w:rsidRPr="00417E18">
        <w:rPr>
          <w:noProof/>
          <w:sz w:val="22"/>
          <w:szCs w:val="22"/>
        </w:rPr>
        <w:t>,</w:t>
      </w:r>
      <w:r w:rsidR="77C6CBBE" w:rsidRPr="00417E18">
        <w:rPr>
          <w:noProof/>
          <w:sz w:val="22"/>
          <w:szCs w:val="22"/>
        </w:rPr>
        <w:t xml:space="preserve"> and increasingly</w:t>
      </w:r>
      <w:r w:rsidR="341BD53B" w:rsidRPr="00417E18">
        <w:rPr>
          <w:noProof/>
          <w:sz w:val="22"/>
          <w:szCs w:val="22"/>
        </w:rPr>
        <w:t>,</w:t>
      </w:r>
      <w:r w:rsidR="77C6CBBE" w:rsidRPr="00417E18">
        <w:rPr>
          <w:noProof/>
          <w:sz w:val="22"/>
          <w:szCs w:val="22"/>
        </w:rPr>
        <w:t xml:space="preserve"> </w:t>
      </w:r>
      <w:r w:rsidR="3D853CF0" w:rsidRPr="00417E18">
        <w:rPr>
          <w:noProof/>
          <w:sz w:val="22"/>
          <w:szCs w:val="22"/>
        </w:rPr>
        <w:t xml:space="preserve">constraints of </w:t>
      </w:r>
      <w:r w:rsidR="77C6CBBE" w:rsidRPr="00417E18">
        <w:rPr>
          <w:noProof/>
          <w:sz w:val="22"/>
          <w:szCs w:val="22"/>
        </w:rPr>
        <w:t xml:space="preserve">energy </w:t>
      </w:r>
      <w:r w:rsidR="3188DA55" w:rsidRPr="00417E18">
        <w:rPr>
          <w:noProof/>
          <w:sz w:val="22"/>
          <w:szCs w:val="22"/>
        </w:rPr>
        <w:t>supply</w:t>
      </w:r>
      <w:r w:rsidR="0DF2ED22" w:rsidRPr="00417E18">
        <w:rPr>
          <w:noProof/>
          <w:sz w:val="22"/>
          <w:szCs w:val="22"/>
        </w:rPr>
        <w:t>.</w:t>
      </w:r>
      <w:r w:rsidR="0DF2ED22" w:rsidRPr="00417E18">
        <w:rPr>
          <w:rFonts w:eastAsia="Calibri" w:cs="Calibri"/>
          <w:noProof/>
          <w:sz w:val="22"/>
          <w:szCs w:val="22"/>
        </w:rPr>
        <w:t xml:space="preserve"> </w:t>
      </w:r>
      <w:r w:rsidR="0DF2ED22" w:rsidRPr="00417E18">
        <w:rPr>
          <w:noProof/>
          <w:sz w:val="22"/>
          <w:szCs w:val="22"/>
        </w:rPr>
        <w:t xml:space="preserve">The </w:t>
      </w:r>
      <w:r w:rsidR="0DF2ED22" w:rsidRPr="00417E18">
        <w:rPr>
          <w:rFonts w:eastAsia="Calibri" w:cs="Calibri"/>
          <w:noProof/>
          <w:sz w:val="22"/>
          <w:szCs w:val="22"/>
        </w:rPr>
        <w:t xml:space="preserve">current regulatory environment </w:t>
      </w:r>
      <w:r w:rsidR="190BDAB2" w:rsidRPr="00417E18">
        <w:rPr>
          <w:noProof/>
          <w:sz w:val="22"/>
          <w:szCs w:val="22"/>
        </w:rPr>
        <w:t>remains</w:t>
      </w:r>
      <w:r w:rsidR="0DF2ED22" w:rsidRPr="00417E18">
        <w:rPr>
          <w:noProof/>
          <w:sz w:val="22"/>
          <w:szCs w:val="22"/>
        </w:rPr>
        <w:t xml:space="preserve"> </w:t>
      </w:r>
      <w:r w:rsidR="0DF2ED22" w:rsidRPr="00417E18">
        <w:rPr>
          <w:rFonts w:eastAsia="Calibri" w:cs="Calibri"/>
          <w:noProof/>
          <w:sz w:val="22"/>
          <w:szCs w:val="22"/>
        </w:rPr>
        <w:t xml:space="preserve">fragmented, with different rules and permit </w:t>
      </w:r>
      <w:r w:rsidR="338882D1" w:rsidRPr="00417E18">
        <w:rPr>
          <w:noProof/>
          <w:sz w:val="22"/>
          <w:szCs w:val="22"/>
        </w:rPr>
        <w:t>requirements across</w:t>
      </w:r>
      <w:r w:rsidR="0DF2ED22" w:rsidRPr="00417E18">
        <w:rPr>
          <w:noProof/>
          <w:sz w:val="22"/>
          <w:szCs w:val="22"/>
        </w:rPr>
        <w:t xml:space="preserve"> </w:t>
      </w:r>
      <w:r w:rsidR="0DF2ED22" w:rsidRPr="00417E18">
        <w:rPr>
          <w:rFonts w:eastAsia="Calibri" w:cs="Calibri"/>
          <w:noProof/>
          <w:sz w:val="22"/>
          <w:szCs w:val="22"/>
        </w:rPr>
        <w:t xml:space="preserve">Member States, creating uncertainty and delays for data centre operators. Permitting procedures are often lengthy and inconsistent, with multiple stakeholders and </w:t>
      </w:r>
      <w:r w:rsidR="270351AA" w:rsidRPr="00417E18">
        <w:rPr>
          <w:noProof/>
          <w:sz w:val="22"/>
          <w:szCs w:val="22"/>
        </w:rPr>
        <w:t>decentralised decision-making</w:t>
      </w:r>
      <w:r w:rsidR="0DF2ED22" w:rsidRPr="00417E18">
        <w:rPr>
          <w:rFonts w:eastAsia="Calibri" w:cs="Calibri"/>
          <w:noProof/>
          <w:sz w:val="22"/>
          <w:szCs w:val="22"/>
        </w:rPr>
        <w:t xml:space="preserve">. Additionally, </w:t>
      </w:r>
      <w:r w:rsidR="2FA37CE8" w:rsidRPr="00417E18">
        <w:rPr>
          <w:noProof/>
          <w:sz w:val="22"/>
          <w:szCs w:val="22"/>
        </w:rPr>
        <w:t xml:space="preserve">access to </w:t>
      </w:r>
      <w:r w:rsidR="0DF2ED22" w:rsidRPr="00417E18">
        <w:rPr>
          <w:noProof/>
          <w:sz w:val="22"/>
          <w:szCs w:val="22"/>
        </w:rPr>
        <w:t>s</w:t>
      </w:r>
      <w:r w:rsidR="0DF2ED22" w:rsidRPr="00417E18">
        <w:rPr>
          <w:rFonts w:eastAsia="Calibri" w:cs="Calibri"/>
          <w:noProof/>
          <w:sz w:val="22"/>
          <w:szCs w:val="22"/>
        </w:rPr>
        <w:t xml:space="preserve">uitable land, </w:t>
      </w:r>
      <w:r w:rsidR="54154414" w:rsidRPr="00417E18">
        <w:rPr>
          <w:rFonts w:eastAsia="Calibri" w:cs="Calibri"/>
          <w:noProof/>
          <w:sz w:val="22"/>
          <w:szCs w:val="22"/>
        </w:rPr>
        <w:t xml:space="preserve">affordable </w:t>
      </w:r>
      <w:r w:rsidR="0DF2ED22" w:rsidRPr="00417E18">
        <w:rPr>
          <w:rFonts w:eastAsia="Calibri" w:cs="Calibri"/>
          <w:noProof/>
          <w:sz w:val="22"/>
          <w:szCs w:val="22"/>
        </w:rPr>
        <w:t xml:space="preserve">energy, and grid </w:t>
      </w:r>
      <w:r w:rsidR="757E9BBE" w:rsidRPr="00417E18">
        <w:rPr>
          <w:noProof/>
          <w:sz w:val="22"/>
          <w:szCs w:val="22"/>
        </w:rPr>
        <w:t xml:space="preserve">capacity </w:t>
      </w:r>
      <w:r w:rsidR="00F246AF">
        <w:rPr>
          <w:rFonts w:eastAsia="Calibri" w:cs="Calibri"/>
          <w:noProof/>
          <w:sz w:val="22"/>
          <w:szCs w:val="22"/>
        </w:rPr>
        <w:t>is</w:t>
      </w:r>
      <w:r w:rsidR="0DF2ED22" w:rsidRPr="00417E18">
        <w:rPr>
          <w:rFonts w:eastAsia="Calibri" w:cs="Calibri"/>
          <w:noProof/>
          <w:sz w:val="22"/>
          <w:szCs w:val="22"/>
        </w:rPr>
        <w:t xml:space="preserve"> </w:t>
      </w:r>
      <w:r w:rsidR="2EA0695F" w:rsidRPr="00417E18">
        <w:rPr>
          <w:noProof/>
          <w:sz w:val="22"/>
          <w:szCs w:val="22"/>
        </w:rPr>
        <w:t>a significant challenge</w:t>
      </w:r>
      <w:r w:rsidR="0DF2ED22" w:rsidRPr="00417E18">
        <w:rPr>
          <w:rFonts w:eastAsia="Calibri" w:cs="Calibri"/>
          <w:noProof/>
          <w:sz w:val="22"/>
          <w:szCs w:val="22"/>
        </w:rPr>
        <w:t xml:space="preserve">, </w:t>
      </w:r>
      <w:r w:rsidR="4AE30EB5" w:rsidRPr="00417E18">
        <w:rPr>
          <w:noProof/>
          <w:sz w:val="22"/>
          <w:szCs w:val="22"/>
        </w:rPr>
        <w:t>particularly as</w:t>
      </w:r>
      <w:r w:rsidR="0DF2ED22" w:rsidRPr="00417E18">
        <w:rPr>
          <w:noProof/>
          <w:sz w:val="22"/>
          <w:szCs w:val="22"/>
        </w:rPr>
        <w:t xml:space="preserve"> </w:t>
      </w:r>
      <w:r w:rsidR="0DF2ED22" w:rsidRPr="00417E18">
        <w:rPr>
          <w:rFonts w:eastAsia="Calibri" w:cs="Calibri"/>
          <w:noProof/>
          <w:sz w:val="22"/>
          <w:szCs w:val="22"/>
        </w:rPr>
        <w:t xml:space="preserve">energy prices in Europe </w:t>
      </w:r>
      <w:r w:rsidR="3D9CFA71" w:rsidRPr="00417E18">
        <w:rPr>
          <w:noProof/>
          <w:sz w:val="22"/>
          <w:szCs w:val="22"/>
        </w:rPr>
        <w:t>are</w:t>
      </w:r>
      <w:r w:rsidR="0DF2ED22" w:rsidRPr="00417E18">
        <w:rPr>
          <w:noProof/>
          <w:sz w:val="22"/>
          <w:szCs w:val="22"/>
        </w:rPr>
        <w:t xml:space="preserve"> </w:t>
      </w:r>
      <w:r w:rsidR="0DF2ED22" w:rsidRPr="00417E18">
        <w:rPr>
          <w:rFonts w:eastAsia="Calibri" w:cs="Calibri"/>
          <w:noProof/>
          <w:sz w:val="22"/>
          <w:szCs w:val="22"/>
        </w:rPr>
        <w:t xml:space="preserve">significantly higher than in </w:t>
      </w:r>
      <w:r w:rsidR="6B626A27" w:rsidRPr="00417E18">
        <w:rPr>
          <w:noProof/>
          <w:sz w:val="22"/>
          <w:szCs w:val="22"/>
        </w:rPr>
        <w:t>other regions</w:t>
      </w:r>
      <w:r w:rsidR="009A6296" w:rsidRPr="00AE2EBE">
        <w:rPr>
          <w:rFonts w:eastAsia="Calibri" w:cs="Calibri"/>
          <w:noProof/>
          <w:sz w:val="22"/>
          <w:szCs w:val="22"/>
          <w:vertAlign w:val="superscript"/>
        </w:rPr>
        <w:footnoteReference w:id="25"/>
      </w:r>
      <w:r w:rsidR="0DF2ED22" w:rsidRPr="00417E18">
        <w:rPr>
          <w:rFonts w:eastAsia="Calibri" w:cs="Calibri"/>
          <w:noProof/>
          <w:sz w:val="22"/>
          <w:szCs w:val="22"/>
        </w:rPr>
        <w:t xml:space="preserve">. </w:t>
      </w:r>
    </w:p>
    <w:p w14:paraId="347A8DA4" w14:textId="1131C325" w:rsidR="00417948" w:rsidRDefault="19C48553" w:rsidP="3FD4A9BC">
      <w:pPr>
        <w:spacing w:line="276" w:lineRule="auto"/>
        <w:rPr>
          <w:rFonts w:eastAsia="Calibri" w:cs="Calibri"/>
          <w:noProof/>
          <w:sz w:val="22"/>
          <w:szCs w:val="22"/>
        </w:rPr>
      </w:pPr>
      <w:r w:rsidRPr="00417E18">
        <w:rPr>
          <w:rFonts w:eastAsia="Calibri" w:cs="Calibri"/>
          <w:noProof/>
          <w:sz w:val="22"/>
          <w:szCs w:val="22"/>
        </w:rPr>
        <w:t xml:space="preserve">Insufficient </w:t>
      </w:r>
      <w:r w:rsidR="6CCA5D9D" w:rsidRPr="00417E18">
        <w:rPr>
          <w:rFonts w:eastAsia="Calibri" w:cs="Calibri"/>
          <w:noProof/>
          <w:sz w:val="22"/>
          <w:szCs w:val="22"/>
        </w:rPr>
        <w:t xml:space="preserve">computing </w:t>
      </w:r>
      <w:r w:rsidR="29AF77BD" w:rsidRPr="00417E18">
        <w:rPr>
          <w:rFonts w:eastAsia="Calibri" w:cs="Calibri"/>
          <w:noProof/>
          <w:sz w:val="22"/>
          <w:szCs w:val="22"/>
        </w:rPr>
        <w:t xml:space="preserve">capacity </w:t>
      </w:r>
      <w:r w:rsidR="39743A66" w:rsidRPr="00417E18">
        <w:rPr>
          <w:rFonts w:eastAsia="Calibri" w:cs="Calibri"/>
          <w:noProof/>
          <w:sz w:val="22"/>
          <w:szCs w:val="22"/>
        </w:rPr>
        <w:t>in the EU</w:t>
      </w:r>
      <w:r w:rsidR="29AF77BD" w:rsidRPr="00417E18">
        <w:rPr>
          <w:rFonts w:eastAsia="Calibri" w:cs="Calibri"/>
          <w:noProof/>
          <w:sz w:val="22"/>
          <w:szCs w:val="22"/>
        </w:rPr>
        <w:t xml:space="preserve"> </w:t>
      </w:r>
      <w:r w:rsidRPr="00417E18">
        <w:rPr>
          <w:rFonts w:eastAsia="Calibri" w:cs="Calibri"/>
          <w:noProof/>
          <w:sz w:val="22"/>
          <w:szCs w:val="22"/>
        </w:rPr>
        <w:t>could slow innovation</w:t>
      </w:r>
      <w:r w:rsidR="54B7C132" w:rsidRPr="00417E18">
        <w:rPr>
          <w:rFonts w:eastAsia="Calibri" w:cs="Calibri"/>
          <w:noProof/>
          <w:sz w:val="22"/>
          <w:szCs w:val="22"/>
        </w:rPr>
        <w:t xml:space="preserve"> </w:t>
      </w:r>
      <w:r w:rsidR="00140A0D">
        <w:rPr>
          <w:rFonts w:eastAsia="Calibri" w:cs="Calibri"/>
          <w:noProof/>
          <w:sz w:val="22"/>
          <w:szCs w:val="22"/>
        </w:rPr>
        <w:t xml:space="preserve">and </w:t>
      </w:r>
      <w:r w:rsidR="54B7C132" w:rsidRPr="00417E18">
        <w:rPr>
          <w:rFonts w:eastAsia="Calibri" w:cs="Calibri"/>
          <w:noProof/>
          <w:sz w:val="22"/>
          <w:szCs w:val="22"/>
        </w:rPr>
        <w:t>the</w:t>
      </w:r>
      <w:r w:rsidR="7E27804D" w:rsidRPr="00417E18">
        <w:rPr>
          <w:rFonts w:eastAsia="Calibri" w:cs="Calibri"/>
          <w:noProof/>
          <w:sz w:val="22"/>
          <w:szCs w:val="22"/>
        </w:rPr>
        <w:t xml:space="preserve"> diffusion of cloud and AI services</w:t>
      </w:r>
      <w:r w:rsidR="29AF77BD" w:rsidRPr="00417E18">
        <w:rPr>
          <w:rFonts w:eastAsia="Calibri" w:cs="Calibri"/>
          <w:noProof/>
          <w:sz w:val="22"/>
          <w:szCs w:val="22"/>
        </w:rPr>
        <w:t xml:space="preserve">, </w:t>
      </w:r>
      <w:r w:rsidRPr="00417E18">
        <w:rPr>
          <w:rFonts w:eastAsia="Calibri" w:cs="Calibri"/>
          <w:noProof/>
          <w:sz w:val="22"/>
          <w:szCs w:val="22"/>
        </w:rPr>
        <w:t xml:space="preserve">increase </w:t>
      </w:r>
      <w:r w:rsidR="00356F8F">
        <w:rPr>
          <w:rFonts w:eastAsia="Calibri" w:cs="Calibri"/>
          <w:noProof/>
          <w:sz w:val="22"/>
          <w:szCs w:val="22"/>
        </w:rPr>
        <w:t xml:space="preserve">dependence </w:t>
      </w:r>
      <w:r w:rsidR="29AF77BD" w:rsidRPr="00417E18">
        <w:rPr>
          <w:rFonts w:eastAsia="Calibri" w:cs="Calibri"/>
          <w:noProof/>
          <w:sz w:val="22"/>
          <w:szCs w:val="22"/>
        </w:rPr>
        <w:t xml:space="preserve">on </w:t>
      </w:r>
      <w:r w:rsidRPr="00417E18">
        <w:rPr>
          <w:rFonts w:eastAsia="Calibri" w:cs="Calibri"/>
          <w:noProof/>
          <w:sz w:val="22"/>
          <w:szCs w:val="22"/>
        </w:rPr>
        <w:t>non-EU providers, and limit the ability of businesses and public services to meet growing demand</w:t>
      </w:r>
      <w:r w:rsidR="245F2AA5" w:rsidRPr="00417E18">
        <w:rPr>
          <w:rFonts w:eastAsia="Calibri" w:cs="Calibri"/>
          <w:noProof/>
          <w:sz w:val="22"/>
          <w:szCs w:val="22"/>
        </w:rPr>
        <w:t xml:space="preserve"> for digital services</w:t>
      </w:r>
      <w:r w:rsidR="29AF77BD" w:rsidRPr="00417E18">
        <w:rPr>
          <w:rFonts w:eastAsia="Calibri" w:cs="Calibri"/>
          <w:noProof/>
          <w:sz w:val="22"/>
          <w:szCs w:val="22"/>
        </w:rPr>
        <w:t xml:space="preserve">. </w:t>
      </w:r>
      <w:r w:rsidR="7793547C" w:rsidRPr="00417E18">
        <w:rPr>
          <w:rFonts w:eastAsia="Calibri" w:cs="Calibri"/>
          <w:noProof/>
          <w:sz w:val="22"/>
          <w:szCs w:val="22"/>
        </w:rPr>
        <w:t xml:space="preserve">There is no direct quantification of the consequent direct impact on innovation, but </w:t>
      </w:r>
      <w:r w:rsidR="7793547C" w:rsidRPr="00417E18" w:rsidDel="000D0A6F">
        <w:rPr>
          <w:rFonts w:eastAsia="Calibri" w:cs="Calibri"/>
          <w:noProof/>
          <w:sz w:val="22"/>
          <w:szCs w:val="22"/>
        </w:rPr>
        <w:t>l</w:t>
      </w:r>
      <w:r w:rsidR="7793547C" w:rsidRPr="00417E18">
        <w:rPr>
          <w:rFonts w:eastAsia="Calibri" w:cs="Calibri"/>
          <w:noProof/>
          <w:sz w:val="22"/>
          <w:szCs w:val="22"/>
        </w:rPr>
        <w:t xml:space="preserve">iterature suggests that </w:t>
      </w:r>
      <w:r w:rsidR="3A8D21AB" w:rsidRPr="00417E18">
        <w:rPr>
          <w:rFonts w:eastAsia="Calibri" w:cs="Calibri"/>
          <w:noProof/>
          <w:sz w:val="22"/>
          <w:szCs w:val="22"/>
        </w:rPr>
        <w:t>AI adoption</w:t>
      </w:r>
      <w:r w:rsidR="009A6527">
        <w:rPr>
          <w:rFonts w:eastAsia="Calibri" w:cs="Calibri"/>
          <w:noProof/>
          <w:sz w:val="22"/>
          <w:szCs w:val="22"/>
        </w:rPr>
        <w:t xml:space="preserve"> </w:t>
      </w:r>
      <w:r w:rsidR="00570D4F">
        <w:rPr>
          <w:rFonts w:eastAsia="Calibri" w:cs="Calibri"/>
          <w:noProof/>
          <w:sz w:val="22"/>
          <w:szCs w:val="22"/>
        </w:rPr>
        <w:t>can generate</w:t>
      </w:r>
      <w:r w:rsidR="009A6527">
        <w:rPr>
          <w:rFonts w:eastAsia="Calibri" w:cs="Calibri"/>
          <w:noProof/>
          <w:sz w:val="22"/>
          <w:szCs w:val="22"/>
        </w:rPr>
        <w:t xml:space="preserve"> significant gains in </w:t>
      </w:r>
      <w:r w:rsidR="3A8D21AB" w:rsidRPr="00417E18">
        <w:rPr>
          <w:rFonts w:eastAsia="Calibri" w:cs="Calibri"/>
          <w:noProof/>
          <w:sz w:val="22"/>
          <w:szCs w:val="22"/>
        </w:rPr>
        <w:t>productivity</w:t>
      </w:r>
      <w:r w:rsidR="3A8D21AB" w:rsidRPr="00417E18" w:rsidDel="00E518DC">
        <w:rPr>
          <w:rFonts w:eastAsia="Calibri" w:cs="Calibri"/>
          <w:noProof/>
          <w:sz w:val="22"/>
          <w:szCs w:val="22"/>
        </w:rPr>
        <w:t xml:space="preserve"> </w:t>
      </w:r>
      <w:r w:rsidR="002F3160">
        <w:rPr>
          <w:rFonts w:eastAsia="Calibri" w:cs="Calibri"/>
          <w:noProof/>
          <w:sz w:val="22"/>
          <w:szCs w:val="22"/>
        </w:rPr>
        <w:t xml:space="preserve">meaning </w:t>
      </w:r>
      <w:r w:rsidR="00E518DC">
        <w:rPr>
          <w:rFonts w:eastAsia="Calibri" w:cs="Calibri"/>
          <w:noProof/>
          <w:sz w:val="22"/>
          <w:szCs w:val="22"/>
        </w:rPr>
        <w:t>that a</w:t>
      </w:r>
      <w:r w:rsidR="1AFFB3BF" w:rsidRPr="00417E18">
        <w:rPr>
          <w:rFonts w:eastAsia="Calibri" w:cs="Calibri"/>
          <w:noProof/>
          <w:sz w:val="22"/>
          <w:szCs w:val="22"/>
        </w:rPr>
        <w:t xml:space="preserve">ny capacity gap would risk delaying or displacing these gains. This impact would not only concern AI deployment but also digital services that are heavily reliant on cloud </w:t>
      </w:r>
      <w:r w:rsidR="35856714" w:rsidRPr="00417E18">
        <w:rPr>
          <w:rFonts w:eastAsia="Calibri" w:cs="Calibri"/>
          <w:noProof/>
          <w:sz w:val="22"/>
          <w:szCs w:val="22"/>
        </w:rPr>
        <w:t xml:space="preserve">infrastructure. </w:t>
      </w:r>
      <w:r w:rsidR="000015E2">
        <w:rPr>
          <w:rFonts w:eastAsia="Calibri" w:cs="Calibri"/>
          <w:noProof/>
          <w:sz w:val="22"/>
          <w:szCs w:val="22"/>
        </w:rPr>
        <w:t>S</w:t>
      </w:r>
      <w:r w:rsidR="2678EE8F" w:rsidRPr="00417E18">
        <w:rPr>
          <w:rFonts w:eastAsia="Calibri" w:cs="Calibri"/>
          <w:noProof/>
          <w:sz w:val="22"/>
          <w:szCs w:val="22"/>
        </w:rPr>
        <w:t>takeholders, including Mistral AI, have warned that insufficient data</w:t>
      </w:r>
      <w:r w:rsidR="2678EE8F" w:rsidRPr="00417E18" w:rsidDel="00481EDC">
        <w:rPr>
          <w:rFonts w:eastAsia="Calibri" w:cs="Calibri"/>
          <w:noProof/>
          <w:sz w:val="22"/>
          <w:szCs w:val="22"/>
        </w:rPr>
        <w:t xml:space="preserve"> </w:t>
      </w:r>
      <w:r w:rsidR="2678EE8F" w:rsidRPr="00417E18" w:rsidDel="4A53CB59">
        <w:rPr>
          <w:rFonts w:eastAsia="Calibri" w:cs="Calibri"/>
          <w:noProof/>
          <w:sz w:val="22"/>
          <w:szCs w:val="22"/>
        </w:rPr>
        <w:t>capacity would become a roadblock for developing and applying AI in Europe</w:t>
      </w:r>
      <w:r w:rsidR="2FF7DC80" w:rsidRPr="00417E18" w:rsidDel="4A53CB59">
        <w:rPr>
          <w:rFonts w:eastAsia="Calibri" w:cs="Calibri"/>
          <w:noProof/>
          <w:sz w:val="22"/>
          <w:szCs w:val="22"/>
        </w:rPr>
        <w:t>.</w:t>
      </w:r>
      <w:r w:rsidRPr="00417E18">
        <w:rPr>
          <w:rStyle w:val="FootnoteReference"/>
          <w:rFonts w:eastAsia="Calibri" w:cs="Calibri"/>
          <w:noProof/>
          <w:sz w:val="22"/>
          <w:szCs w:val="22"/>
        </w:rPr>
        <w:t xml:space="preserve"> </w:t>
      </w:r>
      <w:r w:rsidR="00650CAC" w:rsidRPr="00417E18">
        <w:rPr>
          <w:rFonts w:eastAsia="Calibri" w:cs="Calibri"/>
          <w:noProof/>
          <w:sz w:val="22"/>
          <w:szCs w:val="22"/>
        </w:rPr>
        <w:t xml:space="preserve">Over time, </w:t>
      </w:r>
      <w:r w:rsidR="11FC57EB" w:rsidRPr="00417E18">
        <w:rPr>
          <w:rFonts w:eastAsia="Calibri" w:cs="Calibri"/>
          <w:noProof/>
          <w:sz w:val="22"/>
          <w:szCs w:val="22"/>
        </w:rPr>
        <w:t>persistent</w:t>
      </w:r>
      <w:r w:rsidR="00650CAC" w:rsidRPr="00417E18">
        <w:rPr>
          <w:rFonts w:eastAsia="Calibri" w:cs="Calibri"/>
          <w:noProof/>
          <w:sz w:val="22"/>
          <w:szCs w:val="22"/>
        </w:rPr>
        <w:t xml:space="preserve"> disparities risk slowing digital transformation in affected member states, </w:t>
      </w:r>
      <w:r w:rsidR="283E7EAB" w:rsidRPr="00417E18" w:rsidDel="4A53CB59">
        <w:rPr>
          <w:rFonts w:eastAsia="Calibri" w:cs="Calibri"/>
          <w:noProof/>
          <w:sz w:val="22"/>
          <w:szCs w:val="22"/>
        </w:rPr>
        <w:t xml:space="preserve">widening gaps in terms of digital adoption and deployment and thus </w:t>
      </w:r>
      <w:r w:rsidR="00650CAC" w:rsidRPr="00417E18">
        <w:rPr>
          <w:rFonts w:eastAsia="Calibri" w:cs="Calibri"/>
          <w:noProof/>
          <w:sz w:val="22"/>
          <w:szCs w:val="22"/>
        </w:rPr>
        <w:t xml:space="preserve">undermining the </w:t>
      </w:r>
      <w:r w:rsidR="00542225">
        <w:rPr>
          <w:rFonts w:eastAsia="Calibri" w:cs="Calibri"/>
          <w:noProof/>
          <w:sz w:val="22"/>
          <w:szCs w:val="22"/>
        </w:rPr>
        <w:t xml:space="preserve">competitiveness of the </w:t>
      </w:r>
      <w:r w:rsidR="00650CAC" w:rsidRPr="00417E18">
        <w:rPr>
          <w:rFonts w:eastAsia="Calibri" w:cs="Calibri"/>
          <w:noProof/>
          <w:sz w:val="22"/>
          <w:szCs w:val="22"/>
        </w:rPr>
        <w:t>Digital Single Market.</w:t>
      </w:r>
      <w:r w:rsidR="69686FFE" w:rsidRPr="00417E18" w:rsidDel="0095F850">
        <w:rPr>
          <w:rFonts w:eastAsia="Calibri" w:cs="Calibri"/>
          <w:noProof/>
          <w:sz w:val="22"/>
          <w:szCs w:val="22"/>
        </w:rPr>
        <w:t xml:space="preserve"> </w:t>
      </w:r>
    </w:p>
    <w:p w14:paraId="35595F39" w14:textId="6D03E8C8" w:rsidR="000C62D2" w:rsidRDefault="00417948" w:rsidP="3FD4A9BC">
      <w:pPr>
        <w:spacing w:line="276" w:lineRule="auto"/>
        <w:rPr>
          <w:rFonts w:eastAsia="Calibri" w:cs="Calibri"/>
          <w:noProof/>
          <w:color w:val="000000" w:themeColor="text1"/>
          <w:sz w:val="22"/>
          <w:szCs w:val="22"/>
        </w:rPr>
      </w:pPr>
      <w:r w:rsidRPr="07868930">
        <w:rPr>
          <w:noProof/>
          <w:sz w:val="22"/>
          <w:szCs w:val="22"/>
        </w:rPr>
        <w:t>Against</w:t>
      </w:r>
      <w:r>
        <w:rPr>
          <w:noProof/>
          <w:sz w:val="22"/>
          <w:szCs w:val="22"/>
        </w:rPr>
        <w:t xml:space="preserve"> this background</w:t>
      </w:r>
      <w:r w:rsidR="792F2729" w:rsidRPr="00417E18">
        <w:rPr>
          <w:noProof/>
          <w:sz w:val="22"/>
          <w:szCs w:val="22"/>
        </w:rPr>
        <w:t>, the</w:t>
      </w:r>
      <w:r w:rsidR="00D432E7">
        <w:rPr>
          <w:noProof/>
          <w:sz w:val="22"/>
          <w:szCs w:val="22"/>
        </w:rPr>
        <w:t xml:space="preserve"> </w:t>
      </w:r>
      <w:r w:rsidR="792F2729" w:rsidRPr="00417E18">
        <w:rPr>
          <w:noProof/>
          <w:sz w:val="22"/>
          <w:szCs w:val="22"/>
        </w:rPr>
        <w:t>Commission's</w:t>
      </w:r>
      <w:r w:rsidR="3CC1F788" w:rsidRPr="00417E18">
        <w:rPr>
          <w:noProof/>
          <w:sz w:val="22"/>
          <w:szCs w:val="22"/>
        </w:rPr>
        <w:t xml:space="preserve"> </w:t>
      </w:r>
      <w:r w:rsidR="04ED5C72" w:rsidRPr="00417E18">
        <w:rPr>
          <w:noProof/>
          <w:sz w:val="22"/>
          <w:szCs w:val="22"/>
        </w:rPr>
        <w:t xml:space="preserve">Cloud and AI Development Act </w:t>
      </w:r>
      <w:r w:rsidR="04D17065" w:rsidRPr="00417E18">
        <w:rPr>
          <w:noProof/>
          <w:sz w:val="22"/>
          <w:szCs w:val="22"/>
        </w:rPr>
        <w:t>aims</w:t>
      </w:r>
      <w:r w:rsidR="04ED5C72" w:rsidRPr="00417E18">
        <w:rPr>
          <w:noProof/>
          <w:sz w:val="22"/>
          <w:szCs w:val="22"/>
        </w:rPr>
        <w:t xml:space="preserve"> to triple EU data centre capacity within the next years</w:t>
      </w:r>
      <w:r w:rsidR="67E44F3B" w:rsidRPr="00417E18">
        <w:rPr>
          <w:noProof/>
          <w:sz w:val="22"/>
          <w:szCs w:val="22"/>
        </w:rPr>
        <w:t>, with a focus on sustainable infrastructure</w:t>
      </w:r>
      <w:r w:rsidR="3CC1F788" w:rsidRPr="00417E18">
        <w:rPr>
          <w:noProof/>
          <w:sz w:val="22"/>
          <w:szCs w:val="22"/>
        </w:rPr>
        <w:t>.</w:t>
      </w:r>
      <w:r w:rsidR="04ED5C72" w:rsidRPr="00417E18">
        <w:rPr>
          <w:noProof/>
          <w:sz w:val="22"/>
          <w:szCs w:val="22"/>
        </w:rPr>
        <w:t xml:space="preserve"> </w:t>
      </w:r>
      <w:r w:rsidR="52506034" w:rsidRPr="00417E18">
        <w:rPr>
          <w:noProof/>
          <w:sz w:val="22"/>
          <w:szCs w:val="22"/>
        </w:rPr>
        <w:t xml:space="preserve">Looking ahead, </w:t>
      </w:r>
      <w:r w:rsidR="3AF78DFA" w:rsidRPr="00417E18">
        <w:rPr>
          <w:noProof/>
          <w:sz w:val="22"/>
          <w:szCs w:val="22"/>
        </w:rPr>
        <w:t xml:space="preserve">regular monitoring of </w:t>
      </w:r>
      <w:r w:rsidR="3B76609A" w:rsidRPr="00417E18">
        <w:rPr>
          <w:noProof/>
          <w:sz w:val="22"/>
          <w:szCs w:val="22"/>
        </w:rPr>
        <w:t xml:space="preserve">this </w:t>
      </w:r>
      <w:r w:rsidR="3EFCAB3D" w:rsidRPr="00417E18">
        <w:rPr>
          <w:noProof/>
          <w:sz w:val="22"/>
          <w:szCs w:val="22"/>
        </w:rPr>
        <w:t xml:space="preserve">capacity </w:t>
      </w:r>
      <w:r w:rsidR="79D41A21" w:rsidRPr="00417E18">
        <w:rPr>
          <w:noProof/>
          <w:sz w:val="22"/>
          <w:szCs w:val="22"/>
        </w:rPr>
        <w:t>w</w:t>
      </w:r>
      <w:r w:rsidR="3EFCAB3D" w:rsidRPr="00417E18">
        <w:rPr>
          <w:noProof/>
          <w:sz w:val="22"/>
          <w:szCs w:val="22"/>
        </w:rPr>
        <w:t xml:space="preserve">ould be </w:t>
      </w:r>
      <w:r w:rsidR="170288D7" w:rsidRPr="00417E18">
        <w:rPr>
          <w:noProof/>
          <w:sz w:val="22"/>
          <w:szCs w:val="22"/>
        </w:rPr>
        <w:t>beneficial</w:t>
      </w:r>
      <w:r w:rsidR="3EFCAB3D" w:rsidRPr="00417E18">
        <w:rPr>
          <w:noProof/>
          <w:sz w:val="22"/>
          <w:szCs w:val="22"/>
        </w:rPr>
        <w:t xml:space="preserve">, </w:t>
      </w:r>
      <w:r w:rsidR="5AD51D97" w:rsidRPr="00417E18">
        <w:rPr>
          <w:noProof/>
          <w:sz w:val="22"/>
          <w:szCs w:val="22"/>
        </w:rPr>
        <w:t>yet a significant</w:t>
      </w:r>
      <w:r w:rsidR="3EFCAB3D" w:rsidRPr="00417E18">
        <w:rPr>
          <w:noProof/>
          <w:sz w:val="22"/>
          <w:szCs w:val="22"/>
        </w:rPr>
        <w:t xml:space="preserve"> challenge will be </w:t>
      </w:r>
      <w:r w:rsidR="5F2FC632" w:rsidRPr="00417E18">
        <w:rPr>
          <w:noProof/>
          <w:sz w:val="22"/>
          <w:szCs w:val="22"/>
        </w:rPr>
        <w:t>ensuring consistent measurement throughout the</w:t>
      </w:r>
      <w:r w:rsidR="3EFCAB3D" w:rsidRPr="00417E18">
        <w:rPr>
          <w:noProof/>
          <w:sz w:val="22"/>
          <w:szCs w:val="22"/>
        </w:rPr>
        <w:t xml:space="preserve"> EU</w:t>
      </w:r>
      <w:r w:rsidR="00DD13F6">
        <w:rPr>
          <w:noProof/>
          <w:sz w:val="22"/>
          <w:szCs w:val="22"/>
        </w:rPr>
        <w:t>,</w:t>
      </w:r>
      <w:r w:rsidR="00651CF7">
        <w:rPr>
          <w:noProof/>
          <w:sz w:val="22"/>
          <w:szCs w:val="22"/>
        </w:rPr>
        <w:t xml:space="preserve"> as</w:t>
      </w:r>
      <w:r w:rsidR="3EFCAB3D" w:rsidRPr="00417E18">
        <w:rPr>
          <w:noProof/>
          <w:sz w:val="22"/>
          <w:szCs w:val="22"/>
        </w:rPr>
        <w:t xml:space="preserve"> differences in definitions, metrics and scope </w:t>
      </w:r>
      <w:r w:rsidR="00651CF7">
        <w:rPr>
          <w:noProof/>
          <w:sz w:val="22"/>
          <w:szCs w:val="22"/>
        </w:rPr>
        <w:t>currently</w:t>
      </w:r>
      <w:r w:rsidR="00651CF7" w:rsidRPr="00417E18">
        <w:rPr>
          <w:noProof/>
          <w:sz w:val="22"/>
          <w:szCs w:val="22"/>
        </w:rPr>
        <w:t xml:space="preserve"> </w:t>
      </w:r>
      <w:r w:rsidR="0C98858D" w:rsidRPr="00417E18">
        <w:rPr>
          <w:noProof/>
          <w:sz w:val="22"/>
          <w:szCs w:val="22"/>
        </w:rPr>
        <w:t xml:space="preserve">complicate precise </w:t>
      </w:r>
      <w:r w:rsidR="3EFCAB3D" w:rsidRPr="00417E18">
        <w:rPr>
          <w:noProof/>
          <w:sz w:val="22"/>
          <w:szCs w:val="22"/>
        </w:rPr>
        <w:t>comparisons</w:t>
      </w:r>
      <w:r w:rsidR="3EFCAB3D" w:rsidRPr="07868930">
        <w:rPr>
          <w:rFonts w:eastAsia="Calibri" w:cs="Calibri"/>
          <w:noProof/>
          <w:color w:val="000000" w:themeColor="text1"/>
          <w:sz w:val="22"/>
          <w:szCs w:val="22"/>
        </w:rPr>
        <w:t>.</w:t>
      </w:r>
      <w:r w:rsidR="3EFCAB3D" w:rsidRPr="00417E18">
        <w:rPr>
          <w:rFonts w:eastAsia="Calibri" w:cs="Calibri"/>
          <w:noProof/>
          <w:color w:val="000000" w:themeColor="text1"/>
          <w:sz w:val="22"/>
          <w:szCs w:val="22"/>
        </w:rPr>
        <w:t xml:space="preserve"> </w:t>
      </w:r>
    </w:p>
    <w:p w14:paraId="45A0F9E6" w14:textId="77777777" w:rsidR="000C62D2" w:rsidRDefault="000C62D2">
      <w:pPr>
        <w:spacing w:before="0" w:after="160"/>
        <w:jc w:val="left"/>
        <w:rPr>
          <w:rFonts w:eastAsia="Calibri" w:cs="Calibri"/>
          <w:noProof/>
          <w:color w:val="000000" w:themeColor="text1"/>
          <w:sz w:val="22"/>
          <w:szCs w:val="22"/>
        </w:rPr>
      </w:pPr>
      <w:r>
        <w:rPr>
          <w:rFonts w:eastAsia="Calibri" w:cs="Calibri"/>
          <w:noProof/>
          <w:color w:val="000000" w:themeColor="text1"/>
          <w:sz w:val="22"/>
          <w:szCs w:val="22"/>
        </w:rPr>
        <w:br w:type="page"/>
      </w:r>
    </w:p>
    <w:tbl>
      <w:tblPr>
        <w:tblStyle w:val="TableGrid"/>
        <w:tblW w:w="0" w:type="auto"/>
        <w:tblLook w:val="04A0" w:firstRow="1" w:lastRow="0" w:firstColumn="1" w:lastColumn="0" w:noHBand="0" w:noVBand="1"/>
      </w:tblPr>
      <w:tblGrid>
        <w:gridCol w:w="9016"/>
      </w:tblGrid>
      <w:tr w:rsidR="000C62D2" w14:paraId="2B9A3272" w14:textId="77777777" w:rsidTr="00712EAD">
        <w:tc>
          <w:tcPr>
            <w:tcW w:w="9016" w:type="dxa"/>
          </w:tcPr>
          <w:p w14:paraId="4490DC83" w14:textId="4118833B" w:rsidR="00BB498F" w:rsidRPr="00BB498F" w:rsidRDefault="00BB498F" w:rsidP="00BB498F">
            <w:pPr>
              <w:spacing w:before="60" w:afterLines="60" w:after="144"/>
              <w:jc w:val="center"/>
              <w:rPr>
                <w:rFonts w:cs="Calibri"/>
                <w:b/>
                <w:bCs/>
                <w:noProof/>
                <w:lang w:eastAsia="en-GB"/>
              </w:rPr>
            </w:pPr>
            <w:r w:rsidRPr="00BB498F">
              <w:rPr>
                <w:rFonts w:cs="Calibri"/>
                <w:b/>
                <w:bCs/>
                <w:noProof/>
                <w:lang w:eastAsia="en-GB"/>
              </w:rPr>
              <w:t>Focus box: Member States’ computing capacity deployment – first monitoring exercise</w:t>
            </w:r>
          </w:p>
          <w:p w14:paraId="2EA3F94C" w14:textId="0B9D57D2" w:rsidR="000C62D2" w:rsidRDefault="000C62D2" w:rsidP="00712EAD">
            <w:pPr>
              <w:spacing w:before="60" w:afterLines="60" w:after="144"/>
              <w:rPr>
                <w:rFonts w:cs="Calibri"/>
                <w:noProof/>
                <w:lang w:eastAsia="en-GB"/>
              </w:rPr>
            </w:pPr>
            <w:r>
              <w:rPr>
                <w:rFonts w:cs="Calibri"/>
                <w:noProof/>
                <w:lang w:eastAsia="en-GB"/>
              </w:rPr>
              <w:t>This first</w:t>
            </w:r>
            <w:r w:rsidRPr="0EC95BEE">
              <w:rPr>
                <w:rFonts w:cs="Calibri"/>
                <w:noProof/>
                <w:lang w:eastAsia="en-GB"/>
              </w:rPr>
              <w:t xml:space="preserve"> </w:t>
            </w:r>
            <w:r>
              <w:rPr>
                <w:rFonts w:cs="Calibri"/>
                <w:noProof/>
                <w:lang w:eastAsia="en-GB"/>
              </w:rPr>
              <w:t>data centre monitoring exercise</w:t>
            </w:r>
            <w:r w:rsidRPr="0EC95BEE">
              <w:rPr>
                <w:rFonts w:cs="Calibri"/>
                <w:noProof/>
                <w:lang w:eastAsia="en-GB"/>
              </w:rPr>
              <w:t xml:space="preserve"> compares Member States’ estimated data centre capacity using data centre capacity per 100 000 people. The EU benchmark </w:t>
            </w:r>
            <w:r>
              <w:rPr>
                <w:rFonts w:cs="Calibri"/>
                <w:noProof/>
                <w:lang w:eastAsia="en-GB"/>
              </w:rPr>
              <w:t>used</w:t>
            </w:r>
            <w:r w:rsidRPr="0EC95BEE">
              <w:rPr>
                <w:rFonts w:cs="Calibri"/>
                <w:noProof/>
                <w:lang w:eastAsia="en-GB"/>
              </w:rPr>
              <w:t xml:space="preserve"> is the </w:t>
            </w:r>
            <w:r w:rsidRPr="0EC95BEE">
              <w:rPr>
                <w:rFonts w:cs="Calibri"/>
                <w:b/>
                <w:bCs/>
                <w:noProof/>
                <w:lang w:eastAsia="en-GB"/>
              </w:rPr>
              <w:t>EU average excluding Ireland</w:t>
            </w:r>
            <w:r w:rsidRPr="0EC95BEE">
              <w:rPr>
                <w:rFonts w:cs="Calibri"/>
                <w:noProof/>
                <w:lang w:eastAsia="en-GB"/>
              </w:rPr>
              <w:t xml:space="preserve">, because </w:t>
            </w:r>
            <w:r>
              <w:rPr>
                <w:rFonts w:cs="Calibri"/>
                <w:noProof/>
                <w:lang w:eastAsia="en-GB"/>
              </w:rPr>
              <w:t>the country</w:t>
            </w:r>
            <w:r w:rsidRPr="0EC95BEE">
              <w:rPr>
                <w:rFonts w:cs="Calibri"/>
                <w:noProof/>
                <w:lang w:eastAsia="en-GB"/>
              </w:rPr>
              <w:t xml:space="preserve"> is a clear per</w:t>
            </w:r>
            <w:r w:rsidRPr="4AE5C743">
              <w:rPr>
                <w:rFonts w:cs="Calibri"/>
                <w:noProof/>
                <w:lang w:eastAsia="en-GB"/>
              </w:rPr>
              <w:t xml:space="preserve"> capita outlier. On this basis, the </w:t>
            </w:r>
            <w:r w:rsidRPr="4AE5C743">
              <w:rPr>
                <w:rFonts w:cs="Calibri"/>
                <w:b/>
                <w:bCs/>
                <w:noProof/>
                <w:lang w:eastAsia="en-GB"/>
              </w:rPr>
              <w:t>benchmark is 2.43 MW per 100 000 people</w:t>
            </w:r>
            <w:r w:rsidRPr="4AE5C743">
              <w:rPr>
                <w:rStyle w:val="FootnoteReference"/>
                <w:rFonts w:cs="Calibri"/>
                <w:noProof/>
                <w:lang w:eastAsia="en-GB"/>
              </w:rPr>
              <w:footnoteReference w:id="26"/>
            </w:r>
            <w:r w:rsidRPr="4AE5C743">
              <w:rPr>
                <w:rFonts w:cs="Calibri"/>
                <w:noProof/>
                <w:lang w:eastAsia="en-GB"/>
              </w:rPr>
              <w:t>. This evidence on data centre capacity comes from the results of the Cloud and AI Study for the Impact Assessment preceding the Cloud and AI Development Act</w:t>
            </w:r>
            <w:r w:rsidRPr="4AE5C743">
              <w:rPr>
                <w:rStyle w:val="FootnoteReference"/>
                <w:rFonts w:cs="Calibri"/>
                <w:noProof/>
                <w:lang w:eastAsia="en-GB"/>
              </w:rPr>
              <w:footnoteReference w:id="27"/>
            </w:r>
            <w:r w:rsidRPr="4AE5C743">
              <w:rPr>
                <w:rFonts w:cs="Calibri"/>
                <w:noProof/>
                <w:lang w:eastAsia="en-GB"/>
              </w:rPr>
              <w:t>. The study collected information on colocation and hyperscale datacentre facilities both in cloud and edge installations. It did not cover enterprise data centres, including in-house facilities operated directly by companies or public administrations for their own use</w:t>
            </w:r>
            <w:r w:rsidR="00480B55">
              <w:rPr>
                <w:rStyle w:val="FootnoteReference"/>
                <w:rFonts w:cs="Calibri"/>
                <w:noProof/>
                <w:lang w:eastAsia="en-GB"/>
              </w:rPr>
              <w:footnoteReference w:id="28"/>
            </w:r>
            <w:r w:rsidRPr="4AE5C743">
              <w:rPr>
                <w:rFonts w:cs="Calibri"/>
                <w:noProof/>
                <w:lang w:eastAsia="en-GB"/>
              </w:rPr>
              <w:t>.</w:t>
            </w:r>
          </w:p>
          <w:p w14:paraId="639F9D18" w14:textId="77777777" w:rsidR="000C62D2" w:rsidRPr="00BB498F" w:rsidRDefault="000C62D2" w:rsidP="00712EAD">
            <w:pPr>
              <w:spacing w:before="60" w:afterLines="60" w:after="144"/>
              <w:jc w:val="center"/>
              <w:rPr>
                <w:rFonts w:cs="Calibri"/>
                <w:b/>
                <w:noProof/>
                <w:sz w:val="28"/>
                <w:szCs w:val="28"/>
                <w:lang w:eastAsia="en-GB"/>
              </w:rPr>
            </w:pPr>
            <w:r w:rsidRPr="00D37004">
              <w:rPr>
                <w:noProof/>
                <w:lang w:eastAsia="en-GB"/>
              </w:rPr>
              <w:drawing>
                <wp:inline distT="0" distB="0" distL="0" distR="0" wp14:anchorId="558DFB35" wp14:editId="42EAF825">
                  <wp:extent cx="5222778" cy="2098272"/>
                  <wp:effectExtent l="0" t="0" r="0" b="0"/>
                  <wp:docPr id="1850145211" name="Picture 3" descr="A graph of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61199" name="Picture 3" descr="A graph of numbers and text&#10;&#10;AI-generated content may be incorrec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8411"/>
                          <a:stretch/>
                        </pic:blipFill>
                        <pic:spPr bwMode="auto">
                          <a:xfrm>
                            <a:off x="0" y="0"/>
                            <a:ext cx="5414399" cy="2175257"/>
                          </a:xfrm>
                          <a:prstGeom prst="rect">
                            <a:avLst/>
                          </a:prstGeom>
                          <a:noFill/>
                          <a:ln>
                            <a:noFill/>
                          </a:ln>
                          <a:extLst>
                            <a:ext uri="{53640926-AAD7-44D8-BBD7-CCE9431645EC}">
                              <a14:shadowObscured xmlns:a14="http://schemas.microsoft.com/office/drawing/2010/main"/>
                            </a:ext>
                          </a:extLst>
                        </pic:spPr>
                      </pic:pic>
                    </a:graphicData>
                  </a:graphic>
                </wp:inline>
              </w:drawing>
            </w:r>
          </w:p>
          <w:p w14:paraId="534768F9" w14:textId="77777777" w:rsidR="00805E1E" w:rsidRDefault="000C62D2">
            <w:pPr>
              <w:spacing w:before="60" w:afterLines="60" w:after="144"/>
              <w:rPr>
                <w:rFonts w:cs="Calibri"/>
                <w:noProof/>
                <w:lang w:eastAsia="en-GB"/>
              </w:rPr>
            </w:pPr>
            <w:r>
              <w:rPr>
                <w:rFonts w:cs="Calibri"/>
                <w:noProof/>
                <w:lang w:eastAsia="en-GB"/>
              </w:rPr>
              <w:t>I</w:t>
            </w:r>
            <w:r w:rsidRPr="00310537">
              <w:rPr>
                <w:rFonts w:cs="Calibri"/>
                <w:noProof/>
                <w:lang w:eastAsia="en-GB"/>
              </w:rPr>
              <w:t>reland</w:t>
            </w:r>
            <w:r>
              <w:rPr>
                <w:rFonts w:cs="Calibri"/>
                <w:noProof/>
                <w:lang w:eastAsia="en-GB"/>
              </w:rPr>
              <w:t xml:space="preserve">’s position </w:t>
            </w:r>
            <w:r w:rsidRPr="00310537">
              <w:rPr>
                <w:rFonts w:cs="Calibri"/>
                <w:noProof/>
                <w:lang w:eastAsia="en-GB"/>
              </w:rPr>
              <w:t xml:space="preserve">reflects the </w:t>
            </w:r>
            <w:r>
              <w:rPr>
                <w:rFonts w:cs="Calibri"/>
                <w:noProof/>
                <w:lang w:eastAsia="en-GB"/>
              </w:rPr>
              <w:t>very</w:t>
            </w:r>
            <w:r w:rsidRPr="00310537">
              <w:rPr>
                <w:rFonts w:cs="Calibri"/>
                <w:noProof/>
                <w:lang w:eastAsia="en-GB"/>
              </w:rPr>
              <w:t xml:space="preserve"> high concentration of hyperscale infrastructure hosted in the country, linked to </w:t>
            </w:r>
            <w:r>
              <w:rPr>
                <w:rFonts w:cs="Calibri"/>
                <w:noProof/>
                <w:lang w:eastAsia="en-GB"/>
              </w:rPr>
              <w:t>its</w:t>
            </w:r>
            <w:r w:rsidRPr="00310537">
              <w:rPr>
                <w:rFonts w:cs="Calibri"/>
                <w:noProof/>
                <w:lang w:eastAsia="en-GB"/>
              </w:rPr>
              <w:t xml:space="preserve"> role as a European base for major technology companies, as well as its strong transatlantic connectivity and attractiveness for foreign direct investment in digital services</w:t>
            </w:r>
            <w:r>
              <w:rPr>
                <w:rStyle w:val="FootnoteReference"/>
                <w:rFonts w:cs="Calibri"/>
                <w:noProof/>
                <w:lang w:eastAsia="en-GB"/>
              </w:rPr>
              <w:footnoteReference w:id="29"/>
            </w:r>
            <w:r>
              <w:rPr>
                <w:rFonts w:cs="Calibri"/>
                <w:noProof/>
                <w:lang w:eastAsia="en-GB"/>
              </w:rPr>
              <w:t xml:space="preserve">. </w:t>
            </w:r>
          </w:p>
          <w:p w14:paraId="7D5A7C4E" w14:textId="6EFF3063" w:rsidR="000C62D2" w:rsidRPr="00953992" w:rsidRDefault="000C62D2" w:rsidP="00712EAD">
            <w:pPr>
              <w:spacing w:before="60" w:afterLines="60" w:after="144"/>
              <w:rPr>
                <w:rFonts w:cs="Calibri"/>
                <w:noProof/>
                <w:lang w:eastAsia="en-GB"/>
              </w:rPr>
            </w:pPr>
            <w:r>
              <w:rPr>
                <w:rFonts w:cs="Calibri"/>
                <w:noProof/>
                <w:lang w:eastAsia="en-GB"/>
              </w:rPr>
              <w:t>The</w:t>
            </w:r>
            <w:r w:rsidRPr="4AE5C743">
              <w:rPr>
                <w:rFonts w:cs="Calibri"/>
                <w:noProof/>
                <w:lang w:eastAsia="en-GB"/>
              </w:rPr>
              <w:t xml:space="preserve"> Netherlands</w:t>
            </w:r>
            <w:r>
              <w:rPr>
                <w:rFonts w:cs="Calibri"/>
                <w:noProof/>
                <w:lang w:eastAsia="en-GB"/>
              </w:rPr>
              <w:t xml:space="preserve"> also</w:t>
            </w:r>
            <w:r w:rsidRPr="4AE5C743">
              <w:rPr>
                <w:rFonts w:cs="Calibri"/>
                <w:noProof/>
                <w:lang w:eastAsia="en-GB"/>
              </w:rPr>
              <w:t xml:space="preserve"> stands out from the rest of the EU27, once Ireland is treated separately as an outlier, with a very high data centre capacity per 100 000 people. This suggests a highly developed data centre market and a very strong domestic infrastructure base</w:t>
            </w:r>
            <w:r w:rsidRPr="00D05B6C">
              <w:rPr>
                <w:rFonts w:cs="Calibri"/>
                <w:noProof/>
                <w:lang w:eastAsia="en-GB"/>
              </w:rPr>
              <w:t xml:space="preserve">. </w:t>
            </w:r>
            <w:r w:rsidRPr="4AE5C743">
              <w:rPr>
                <w:rFonts w:cs="Calibri"/>
                <w:noProof/>
                <w:lang w:eastAsia="en-GB"/>
              </w:rPr>
              <w:t>Denmark, Sweden, Finland and Luxembourg also perform well above the EU average in per capita terms</w:t>
            </w:r>
            <w:r w:rsidR="00285ED9" w:rsidRPr="00D05B6C">
              <w:rPr>
                <w:rFonts w:cs="Calibri"/>
                <w:noProof/>
                <w:lang w:eastAsia="en-GB"/>
              </w:rPr>
              <w:t xml:space="preserve"> and</w:t>
            </w:r>
            <w:r w:rsidRPr="00D05B6C">
              <w:rPr>
                <w:rFonts w:cs="Calibri"/>
                <w:noProof/>
                <w:lang w:eastAsia="en-GB"/>
              </w:rPr>
              <w:t xml:space="preserve"> </w:t>
            </w:r>
            <w:r w:rsidRPr="4AE5C743">
              <w:rPr>
                <w:rFonts w:cs="Calibri"/>
                <w:noProof/>
                <w:lang w:eastAsia="en-GB"/>
              </w:rPr>
              <w:t>have relatively strong domestic capacity bases</w:t>
            </w:r>
            <w:r w:rsidR="00666333" w:rsidRPr="00D05B6C">
              <w:rPr>
                <w:rFonts w:cs="Calibri"/>
                <w:noProof/>
                <w:lang w:eastAsia="en-GB"/>
              </w:rPr>
              <w:t xml:space="preserve">. The </w:t>
            </w:r>
            <w:r w:rsidR="007060C9">
              <w:rPr>
                <w:rFonts w:cs="Calibri"/>
                <w:noProof/>
                <w:lang w:eastAsia="en-GB"/>
              </w:rPr>
              <w:t xml:space="preserve">remaining </w:t>
            </w:r>
            <w:r w:rsidR="00666333" w:rsidRPr="00D05B6C">
              <w:rPr>
                <w:rFonts w:cs="Calibri"/>
                <w:noProof/>
                <w:lang w:eastAsia="en-GB"/>
              </w:rPr>
              <w:t>challenge</w:t>
            </w:r>
            <w:r w:rsidR="00285ED9" w:rsidRPr="00D05B6C">
              <w:rPr>
                <w:rFonts w:cs="Calibri"/>
                <w:noProof/>
                <w:lang w:eastAsia="en-GB"/>
              </w:rPr>
              <w:t xml:space="preserve"> for these countries </w:t>
            </w:r>
            <w:r w:rsidR="0089607F" w:rsidRPr="00D05B6C">
              <w:rPr>
                <w:rFonts w:cs="Calibri"/>
                <w:noProof/>
                <w:lang w:eastAsia="en-GB"/>
              </w:rPr>
              <w:t>focuses</w:t>
            </w:r>
            <w:r w:rsidR="00285ED9" w:rsidRPr="00D05B6C">
              <w:rPr>
                <w:rFonts w:cs="Calibri"/>
                <w:noProof/>
                <w:lang w:eastAsia="en-GB"/>
              </w:rPr>
              <w:t xml:space="preserve"> therefore</w:t>
            </w:r>
            <w:r w:rsidR="0089607F" w:rsidRPr="00D05B6C">
              <w:rPr>
                <w:rFonts w:cs="Calibri"/>
                <w:noProof/>
                <w:lang w:eastAsia="en-GB"/>
              </w:rPr>
              <w:t xml:space="preserve"> </w:t>
            </w:r>
            <w:r w:rsidR="00B24237">
              <w:rPr>
                <w:rFonts w:cs="Calibri"/>
                <w:noProof/>
                <w:lang w:eastAsia="en-GB"/>
              </w:rPr>
              <w:t xml:space="preserve">mainly </w:t>
            </w:r>
            <w:r w:rsidR="0089607F" w:rsidRPr="00D05B6C">
              <w:rPr>
                <w:rFonts w:cs="Calibri"/>
                <w:noProof/>
                <w:lang w:eastAsia="en-GB"/>
              </w:rPr>
              <w:t>on sustainable management of further growth.</w:t>
            </w:r>
            <w:r w:rsidR="00666333" w:rsidRPr="00D05B6C">
              <w:rPr>
                <w:rFonts w:cs="Calibri"/>
                <w:noProof/>
                <w:lang w:eastAsia="en-GB"/>
              </w:rPr>
              <w:t xml:space="preserve"> </w:t>
            </w:r>
            <w:r w:rsidRPr="4AE5C743">
              <w:rPr>
                <w:rFonts w:cs="Calibri"/>
                <w:noProof/>
                <w:lang w:eastAsia="en-GB"/>
              </w:rPr>
              <w:t>Germany, France and Estonia appear close to, or slightly above, the EU average</w:t>
            </w:r>
            <w:r w:rsidR="00784FA2" w:rsidRPr="00D05B6C">
              <w:rPr>
                <w:rFonts w:cs="Calibri"/>
                <w:noProof/>
                <w:lang w:eastAsia="en-GB"/>
              </w:rPr>
              <w:t xml:space="preserve">, suggesting </w:t>
            </w:r>
            <w:r w:rsidR="00C437F1">
              <w:rPr>
                <w:rFonts w:cs="Calibri"/>
                <w:noProof/>
                <w:lang w:eastAsia="en-GB"/>
              </w:rPr>
              <w:t>continued pressure</w:t>
            </w:r>
            <w:r w:rsidR="00784FA2" w:rsidRPr="00D05B6C">
              <w:rPr>
                <w:rFonts w:cs="Calibri"/>
                <w:noProof/>
                <w:lang w:eastAsia="en-GB"/>
              </w:rPr>
              <w:t xml:space="preserve"> to k</w:t>
            </w:r>
            <w:r w:rsidR="0039553F" w:rsidRPr="00D05B6C">
              <w:rPr>
                <w:rFonts w:cs="Calibri"/>
                <w:noProof/>
                <w:lang w:eastAsia="en-GB"/>
              </w:rPr>
              <w:t>eep pace with growing</w:t>
            </w:r>
            <w:r w:rsidRPr="00D05B6C">
              <w:rPr>
                <w:rFonts w:cs="Calibri"/>
                <w:noProof/>
                <w:lang w:eastAsia="en-GB"/>
              </w:rPr>
              <w:t xml:space="preserve"> cloud, AI, public sector and industrial </w:t>
            </w:r>
            <w:r w:rsidR="00B20D96" w:rsidRPr="00D05B6C">
              <w:rPr>
                <w:rFonts w:cs="Calibri"/>
                <w:noProof/>
                <w:lang w:eastAsia="en-GB"/>
              </w:rPr>
              <w:t>needs</w:t>
            </w:r>
            <w:r w:rsidRPr="00D05B6C">
              <w:rPr>
                <w:rFonts w:cs="Calibri"/>
                <w:noProof/>
                <w:lang w:eastAsia="en-GB"/>
              </w:rPr>
              <w:t>.</w:t>
            </w:r>
          </w:p>
          <w:p w14:paraId="135FAD55" w14:textId="4EF041D2" w:rsidR="000C62D2" w:rsidRDefault="000C62D2" w:rsidP="00712EAD">
            <w:pPr>
              <w:spacing w:before="60" w:afterLines="60" w:after="144"/>
              <w:rPr>
                <w:rFonts w:cs="Calibri"/>
                <w:noProof/>
                <w:lang w:eastAsia="en-GB"/>
              </w:rPr>
            </w:pPr>
            <w:r w:rsidRPr="4AE5C743">
              <w:rPr>
                <w:rFonts w:cs="Calibri"/>
                <w:noProof/>
                <w:lang w:eastAsia="en-GB"/>
              </w:rPr>
              <w:t>Malta, Slovenia, Italy and Spain fall below the EU per capita average, but their situations differ in scale and maturity. Spain and Italy already have significant absolute data centre capacity and growing markets</w:t>
            </w:r>
            <w:r w:rsidR="008F057F" w:rsidRPr="00D05B6C">
              <w:rPr>
                <w:rFonts w:cs="Calibri"/>
                <w:noProof/>
                <w:lang w:eastAsia="en-GB"/>
              </w:rPr>
              <w:t xml:space="preserve">, </w:t>
            </w:r>
            <w:r w:rsidR="00E6787C" w:rsidRPr="00D05B6C">
              <w:rPr>
                <w:rFonts w:cs="Calibri"/>
                <w:noProof/>
                <w:lang w:eastAsia="en-GB"/>
              </w:rPr>
              <w:t xml:space="preserve">with </w:t>
            </w:r>
            <w:r w:rsidR="000025DA">
              <w:rPr>
                <w:rFonts w:cs="Calibri"/>
                <w:noProof/>
                <w:lang w:eastAsia="en-GB"/>
              </w:rPr>
              <w:t>remaining</w:t>
            </w:r>
            <w:r w:rsidR="00E6787C" w:rsidRPr="00D05B6C">
              <w:rPr>
                <w:rFonts w:cs="Calibri"/>
                <w:noProof/>
                <w:lang w:eastAsia="en-GB"/>
              </w:rPr>
              <w:t xml:space="preserve"> challenges around</w:t>
            </w:r>
            <w:r w:rsidR="00E8741C" w:rsidRPr="00D05B6C">
              <w:rPr>
                <w:rFonts w:cs="Calibri"/>
                <w:noProof/>
                <w:lang w:eastAsia="en-GB"/>
              </w:rPr>
              <w:t xml:space="preserve"> sustainabi</w:t>
            </w:r>
            <w:r w:rsidR="00EF7182" w:rsidRPr="00D05B6C">
              <w:rPr>
                <w:rFonts w:cs="Calibri"/>
                <w:noProof/>
                <w:lang w:eastAsia="en-GB"/>
              </w:rPr>
              <w:t>lity</w:t>
            </w:r>
            <w:r w:rsidRPr="00D05B6C">
              <w:rPr>
                <w:rFonts w:cs="Calibri"/>
                <w:noProof/>
                <w:lang w:eastAsia="en-GB"/>
              </w:rPr>
              <w:t xml:space="preserve"> and </w:t>
            </w:r>
            <w:r w:rsidR="00EF7182" w:rsidRPr="00967EE0">
              <w:rPr>
                <w:rFonts w:cs="Calibri"/>
                <w:noProof/>
                <w:lang w:eastAsia="en-GB"/>
              </w:rPr>
              <w:t>uneven</w:t>
            </w:r>
            <w:r w:rsidRPr="00D05B6C">
              <w:rPr>
                <w:rFonts w:cs="Calibri"/>
                <w:noProof/>
                <w:lang w:eastAsia="en-GB"/>
              </w:rPr>
              <w:t xml:space="preserve"> regional distribution</w:t>
            </w:r>
            <w:r w:rsidRPr="4AE5C743">
              <w:rPr>
                <w:rFonts w:cs="Calibri"/>
                <w:noProof/>
                <w:lang w:eastAsia="en-GB"/>
              </w:rPr>
              <w:t>. Slovenia and Malta have smaller domestic markets</w:t>
            </w:r>
            <w:r w:rsidR="00F13B31" w:rsidRPr="00D05B6C">
              <w:rPr>
                <w:rFonts w:cs="Calibri"/>
                <w:noProof/>
                <w:lang w:eastAsia="en-GB"/>
              </w:rPr>
              <w:t xml:space="preserve"> </w:t>
            </w:r>
            <w:r>
              <w:rPr>
                <w:rFonts w:cs="Calibri"/>
                <w:noProof/>
                <w:lang w:eastAsia="en-GB"/>
              </w:rPr>
              <w:t xml:space="preserve">and </w:t>
            </w:r>
            <w:r w:rsidR="006A056D">
              <w:rPr>
                <w:rFonts w:cs="Calibri"/>
                <w:noProof/>
                <w:lang w:eastAsia="en-GB"/>
              </w:rPr>
              <w:t>could benefit from</w:t>
            </w:r>
            <w:r w:rsidRPr="00D05B6C">
              <w:rPr>
                <w:rFonts w:cs="Calibri"/>
                <w:noProof/>
                <w:lang w:eastAsia="en-GB"/>
              </w:rPr>
              <w:t xml:space="preserve"> ensuring </w:t>
            </w:r>
            <w:r w:rsidR="00105271" w:rsidRPr="00967EE0">
              <w:rPr>
                <w:rFonts w:cs="Calibri"/>
                <w:noProof/>
                <w:lang w:eastAsia="en-GB"/>
              </w:rPr>
              <w:t>sufficient</w:t>
            </w:r>
            <w:r w:rsidRPr="00D05B6C">
              <w:rPr>
                <w:rFonts w:cs="Calibri"/>
                <w:noProof/>
                <w:lang w:eastAsia="en-GB"/>
              </w:rPr>
              <w:t xml:space="preserve"> and resilient capacity for critical public services and strategic workloads</w:t>
            </w:r>
            <w:r w:rsidRPr="4AE5C743">
              <w:rPr>
                <w:rFonts w:cs="Calibri"/>
                <w:noProof/>
                <w:lang w:eastAsia="en-GB"/>
              </w:rPr>
              <w:t>.</w:t>
            </w:r>
          </w:p>
          <w:p w14:paraId="25517F6C" w14:textId="7C04445B" w:rsidR="000C62D2" w:rsidRDefault="000C62D2" w:rsidP="00712EAD">
            <w:pPr>
              <w:spacing w:before="60" w:afterLines="60" w:after="144"/>
              <w:rPr>
                <w:rFonts w:cs="Calibri"/>
                <w:noProof/>
                <w:lang w:eastAsia="en-GB"/>
              </w:rPr>
            </w:pPr>
            <w:r w:rsidRPr="001D43C4">
              <w:rPr>
                <w:rFonts w:cs="Calibri"/>
                <w:noProof/>
                <w:lang w:eastAsia="en-GB"/>
              </w:rPr>
              <w:t>Belgium, Poland, Austria</w:t>
            </w:r>
            <w:r>
              <w:rPr>
                <w:rFonts w:cs="Calibri"/>
                <w:noProof/>
                <w:lang w:eastAsia="en-GB"/>
              </w:rPr>
              <w:t xml:space="preserve">, </w:t>
            </w:r>
            <w:r w:rsidRPr="4AE5C743">
              <w:rPr>
                <w:rFonts w:cs="Calibri"/>
                <w:noProof/>
                <w:lang w:eastAsia="en-GB"/>
              </w:rPr>
              <w:t xml:space="preserve">Romania and the </w:t>
            </w:r>
            <w:r w:rsidRPr="001D43C4">
              <w:rPr>
                <w:rFonts w:cs="Calibri"/>
                <w:noProof/>
                <w:lang w:eastAsia="en-GB"/>
              </w:rPr>
              <w:t>Czech</w:t>
            </w:r>
            <w:r>
              <w:rPr>
                <w:rFonts w:cs="Calibri"/>
                <w:noProof/>
                <w:lang w:eastAsia="en-GB"/>
              </w:rPr>
              <w:t xml:space="preserve"> Republic, also </w:t>
            </w:r>
            <w:r w:rsidRPr="001D43C4">
              <w:rPr>
                <w:rFonts w:cs="Calibri"/>
                <w:noProof/>
                <w:lang w:eastAsia="en-GB"/>
              </w:rPr>
              <w:t>appear below the EU average despite having strategic geographic or economic advantages</w:t>
            </w:r>
            <w:r>
              <w:rPr>
                <w:rFonts w:cs="Calibri"/>
                <w:noProof/>
                <w:lang w:eastAsia="en-GB"/>
              </w:rPr>
              <w:t xml:space="preserve">. </w:t>
            </w:r>
            <w:r w:rsidR="00E04A89" w:rsidRPr="00967EE0">
              <w:rPr>
                <w:rFonts w:cs="Calibri"/>
                <w:noProof/>
                <w:lang w:val="en-IE" w:eastAsia="en-GB"/>
              </w:rPr>
              <w:t>Key challenges include leveraging existing</w:t>
            </w:r>
            <w:r w:rsidRPr="00967EE0">
              <w:rPr>
                <w:rFonts w:cs="Calibri"/>
                <w:noProof/>
                <w:lang w:val="en-IE" w:eastAsia="en-GB"/>
              </w:rPr>
              <w:t xml:space="preserve"> connectivity </w:t>
            </w:r>
            <w:r w:rsidR="00E04A89" w:rsidRPr="00967EE0">
              <w:rPr>
                <w:rFonts w:cs="Calibri"/>
                <w:noProof/>
                <w:lang w:val="en-IE" w:eastAsia="en-GB"/>
              </w:rPr>
              <w:t>infrastructure into</w:t>
            </w:r>
            <w:r w:rsidRPr="00967EE0">
              <w:rPr>
                <w:rFonts w:cs="Calibri"/>
                <w:noProof/>
                <w:lang w:val="en-IE" w:eastAsia="en-GB"/>
              </w:rPr>
              <w:t xml:space="preserve"> domestic capacity</w:t>
            </w:r>
            <w:r w:rsidR="00E04A89" w:rsidRPr="00967EE0">
              <w:rPr>
                <w:rFonts w:cs="Calibri"/>
                <w:noProof/>
                <w:lang w:val="en-IE" w:eastAsia="en-GB"/>
              </w:rPr>
              <w:t>, keeping pace with</w:t>
            </w:r>
            <w:r w:rsidRPr="00967EE0">
              <w:rPr>
                <w:rFonts w:cs="Calibri"/>
                <w:noProof/>
                <w:lang w:val="en-IE" w:eastAsia="en-GB"/>
              </w:rPr>
              <w:t xml:space="preserve"> cloud, AI and cybersecurity </w:t>
            </w:r>
            <w:r w:rsidR="00E04A89" w:rsidRPr="00967EE0">
              <w:rPr>
                <w:rFonts w:cs="Calibri"/>
                <w:noProof/>
                <w:lang w:val="en-IE" w:eastAsia="en-GB"/>
              </w:rPr>
              <w:t>demand, and navigating constraints such</w:t>
            </w:r>
            <w:r w:rsidRPr="00967EE0">
              <w:rPr>
                <w:rFonts w:cs="Calibri"/>
                <w:noProof/>
                <w:lang w:val="en-IE" w:eastAsia="en-GB"/>
              </w:rPr>
              <w:t xml:space="preserve"> as grid access, permitting</w:t>
            </w:r>
            <w:r w:rsidR="00E04A89" w:rsidRPr="00967EE0">
              <w:rPr>
                <w:rFonts w:cs="Calibri"/>
                <w:noProof/>
                <w:lang w:val="en-IE" w:eastAsia="en-GB"/>
              </w:rPr>
              <w:t xml:space="preserve"> and coordination.</w:t>
            </w:r>
            <w:r w:rsidR="00D2437E">
              <w:rPr>
                <w:rFonts w:cs="Calibri"/>
                <w:noProof/>
                <w:lang w:val="en-IE" w:eastAsia="en-GB"/>
              </w:rPr>
              <w:t xml:space="preserve"> </w:t>
            </w:r>
            <w:r w:rsidRPr="001D43C4">
              <w:rPr>
                <w:rFonts w:cs="Calibri"/>
                <w:noProof/>
                <w:lang w:eastAsia="en-GB"/>
              </w:rPr>
              <w:t xml:space="preserve">Slovakia, Cyprus, </w:t>
            </w:r>
            <w:r w:rsidRPr="4AE5C743">
              <w:rPr>
                <w:rFonts w:cs="Calibri"/>
                <w:noProof/>
                <w:lang w:eastAsia="en-GB"/>
              </w:rPr>
              <w:t xml:space="preserve">Latvia and Croatia have relatively small domestic capacity bases, raising questions about resilience, business continuity and </w:t>
            </w:r>
            <w:r w:rsidRPr="0012596E">
              <w:rPr>
                <w:rFonts w:cs="Calibri"/>
                <w:noProof/>
                <w:lang w:eastAsia="en-GB"/>
              </w:rPr>
              <w:t xml:space="preserve">strategic autonomy. </w:t>
            </w:r>
            <w:r w:rsidR="00E44395" w:rsidRPr="00D05B6C">
              <w:rPr>
                <w:rFonts w:cs="Calibri"/>
                <w:noProof/>
                <w:lang w:eastAsia="en-GB"/>
              </w:rPr>
              <w:t>Given the</w:t>
            </w:r>
            <w:r w:rsidR="006F0CE7" w:rsidRPr="00D05B6C">
              <w:rPr>
                <w:rFonts w:cs="Calibri"/>
                <w:noProof/>
                <w:lang w:eastAsia="en-GB"/>
              </w:rPr>
              <w:t xml:space="preserve">ir small market size, the challenge </w:t>
            </w:r>
            <w:r w:rsidR="00CD356F">
              <w:rPr>
                <w:rFonts w:cs="Calibri"/>
                <w:noProof/>
                <w:lang w:eastAsia="en-GB"/>
              </w:rPr>
              <w:t>for</w:t>
            </w:r>
            <w:r w:rsidR="006F0CE7" w:rsidRPr="00D05B6C">
              <w:rPr>
                <w:rFonts w:cs="Calibri"/>
                <w:noProof/>
                <w:lang w:eastAsia="en-GB"/>
              </w:rPr>
              <w:t xml:space="preserve"> </w:t>
            </w:r>
            <w:r w:rsidRPr="00D05B6C">
              <w:rPr>
                <w:rFonts w:cs="Calibri"/>
                <w:noProof/>
                <w:lang w:eastAsia="en-GB"/>
              </w:rPr>
              <w:t>these countries</w:t>
            </w:r>
            <w:r w:rsidR="006F0CE7" w:rsidRPr="00D05B6C">
              <w:rPr>
                <w:rFonts w:cs="Calibri"/>
                <w:noProof/>
                <w:lang w:eastAsia="en-GB"/>
              </w:rPr>
              <w:t xml:space="preserve"> centres on </w:t>
            </w:r>
            <w:r w:rsidR="006F0CE7" w:rsidRPr="00967EE0">
              <w:rPr>
                <w:rFonts w:cs="Calibri"/>
                <w:noProof/>
                <w:lang w:eastAsia="en-GB"/>
              </w:rPr>
              <w:t>establishing</w:t>
            </w:r>
            <w:r w:rsidRPr="00D05B6C">
              <w:rPr>
                <w:rFonts w:cs="Calibri"/>
                <w:noProof/>
                <w:lang w:eastAsia="en-GB"/>
              </w:rPr>
              <w:t xml:space="preserve"> a minimum secure and reliable domestic capacity base for more critical workloads</w:t>
            </w:r>
            <w:r w:rsidRPr="4AE5C743">
              <w:rPr>
                <w:rFonts w:cs="Calibri"/>
                <w:noProof/>
                <w:lang w:eastAsia="en-GB"/>
              </w:rPr>
              <w:t>.</w:t>
            </w:r>
          </w:p>
          <w:p w14:paraId="7B0DF974" w14:textId="12C3B20D" w:rsidR="000C62D2" w:rsidRDefault="000C62D2" w:rsidP="00712EAD">
            <w:pPr>
              <w:spacing w:before="60" w:afterLines="60" w:after="144"/>
              <w:rPr>
                <w:rFonts w:cs="Calibri"/>
                <w:noProof/>
                <w:lang w:eastAsia="en-GB"/>
              </w:rPr>
            </w:pPr>
            <w:r w:rsidRPr="4AE5C743">
              <w:rPr>
                <w:rFonts w:cs="Calibri"/>
                <w:noProof/>
                <w:lang w:eastAsia="en-GB"/>
              </w:rPr>
              <w:t xml:space="preserve">Greece, Portugal and Lithuania show very low current capacity in the monitoring exercise and </w:t>
            </w:r>
            <w:r w:rsidR="00B4389A">
              <w:rPr>
                <w:rFonts w:cs="Calibri"/>
                <w:noProof/>
                <w:lang w:eastAsia="en-GB"/>
              </w:rPr>
              <w:t>could benefit from</w:t>
            </w:r>
            <w:r w:rsidR="00A0654D" w:rsidRPr="00D05B6C">
              <w:rPr>
                <w:rFonts w:cs="Calibri"/>
                <w:noProof/>
                <w:lang w:eastAsia="en-GB"/>
              </w:rPr>
              <w:t xml:space="preserve"> convert</w:t>
            </w:r>
            <w:r w:rsidR="00B4389A">
              <w:rPr>
                <w:rFonts w:cs="Calibri"/>
                <w:noProof/>
                <w:lang w:eastAsia="en-GB"/>
              </w:rPr>
              <w:t>ing</w:t>
            </w:r>
            <w:r w:rsidRPr="4AE5C743">
              <w:rPr>
                <w:rFonts w:cs="Calibri"/>
                <w:noProof/>
                <w:lang w:eastAsia="en-GB"/>
              </w:rPr>
              <w:t xml:space="preserve"> </w:t>
            </w:r>
            <w:r w:rsidRPr="00D05B6C">
              <w:rPr>
                <w:rFonts w:cs="Calibri"/>
                <w:noProof/>
                <w:lang w:val="en-IE" w:eastAsia="en-GB"/>
              </w:rPr>
              <w:t xml:space="preserve">strategic </w:t>
            </w:r>
            <w:r w:rsidR="00F32CDE" w:rsidRPr="00D05B6C">
              <w:rPr>
                <w:rFonts w:cs="Calibri"/>
                <w:noProof/>
                <w:lang w:val="en-IE" w:eastAsia="en-GB"/>
              </w:rPr>
              <w:t xml:space="preserve">geographic positions and </w:t>
            </w:r>
            <w:r w:rsidRPr="00D05B6C">
              <w:rPr>
                <w:rFonts w:cs="Calibri"/>
                <w:noProof/>
                <w:lang w:val="en-IE" w:eastAsia="en-GB"/>
              </w:rPr>
              <w:t>submarine</w:t>
            </w:r>
            <w:r>
              <w:rPr>
                <w:rFonts w:ascii="Cambria Math" w:hAnsi="Cambria Math" w:cs="Cambria Math"/>
                <w:noProof/>
                <w:lang w:val="en-IE" w:eastAsia="en-GB"/>
              </w:rPr>
              <w:t xml:space="preserve"> </w:t>
            </w:r>
            <w:r w:rsidRPr="00D05B6C">
              <w:rPr>
                <w:rFonts w:cs="Calibri"/>
                <w:noProof/>
                <w:lang w:val="en-IE" w:eastAsia="en-GB"/>
              </w:rPr>
              <w:t xml:space="preserve">cable connectivity </w:t>
            </w:r>
            <w:r w:rsidR="00F32CDE" w:rsidRPr="00D05B6C">
              <w:rPr>
                <w:rFonts w:cs="Calibri"/>
                <w:noProof/>
                <w:lang w:val="en-IE" w:eastAsia="en-GB"/>
              </w:rPr>
              <w:t xml:space="preserve">(notably Portugal’s </w:t>
            </w:r>
            <w:r w:rsidRPr="00D05B6C">
              <w:rPr>
                <w:rFonts w:cs="Calibri"/>
                <w:noProof/>
                <w:lang w:val="en-IE" w:eastAsia="en-GB"/>
              </w:rPr>
              <w:t xml:space="preserve">Atlantic </w:t>
            </w:r>
            <w:r w:rsidR="00F32CDE" w:rsidRPr="00D05B6C">
              <w:rPr>
                <w:rFonts w:cs="Calibri"/>
                <w:noProof/>
                <w:lang w:val="en-IE" w:eastAsia="en-GB"/>
              </w:rPr>
              <w:t>links</w:t>
            </w:r>
            <w:r w:rsidRPr="00D05B6C">
              <w:rPr>
                <w:rFonts w:cs="Calibri"/>
                <w:noProof/>
                <w:lang w:val="en-IE" w:eastAsia="en-GB"/>
              </w:rPr>
              <w:t xml:space="preserve"> and </w:t>
            </w:r>
            <w:r w:rsidR="00F32CDE" w:rsidRPr="00D05B6C">
              <w:rPr>
                <w:rFonts w:cs="Calibri"/>
                <w:noProof/>
                <w:lang w:val="en-IE" w:eastAsia="en-GB"/>
              </w:rPr>
              <w:t>Greece’s</w:t>
            </w:r>
            <w:r w:rsidRPr="00D05B6C">
              <w:rPr>
                <w:rFonts w:cs="Calibri"/>
                <w:noProof/>
                <w:lang w:val="en-IE" w:eastAsia="en-GB"/>
              </w:rPr>
              <w:t xml:space="preserve"> eastern Mediterranean</w:t>
            </w:r>
            <w:r w:rsidR="00F32CDE" w:rsidRPr="00D05B6C">
              <w:rPr>
                <w:rFonts w:cs="Calibri"/>
                <w:noProof/>
                <w:lang w:val="en-IE" w:eastAsia="en-GB"/>
              </w:rPr>
              <w:t xml:space="preserve"> role) into</w:t>
            </w:r>
            <w:r w:rsidRPr="00D05B6C">
              <w:rPr>
                <w:rFonts w:cs="Calibri"/>
                <w:noProof/>
                <w:lang w:val="en-IE" w:eastAsia="en-GB"/>
              </w:rPr>
              <w:t xml:space="preserve"> </w:t>
            </w:r>
            <w:r>
              <w:rPr>
                <w:rFonts w:cs="Calibri"/>
                <w:noProof/>
                <w:lang w:val="en-IE" w:eastAsia="en-GB"/>
              </w:rPr>
              <w:t>domestic</w:t>
            </w:r>
            <w:r w:rsidRPr="00D05B6C">
              <w:rPr>
                <w:rFonts w:cs="Calibri"/>
                <w:noProof/>
                <w:lang w:val="en-IE" w:eastAsia="en-GB"/>
              </w:rPr>
              <w:t xml:space="preserve"> </w:t>
            </w:r>
            <w:r w:rsidR="00F32CDE" w:rsidRPr="00D05B6C">
              <w:rPr>
                <w:rFonts w:cs="Calibri"/>
                <w:noProof/>
                <w:lang w:val="en-IE" w:eastAsia="en-GB"/>
              </w:rPr>
              <w:t>capacity and</w:t>
            </w:r>
            <w:r w:rsidR="000C24A0">
              <w:rPr>
                <w:rFonts w:cs="Calibri"/>
                <w:noProof/>
                <w:lang w:val="en-IE" w:eastAsia="en-GB"/>
              </w:rPr>
              <w:t xml:space="preserve"> </w:t>
            </w:r>
            <w:r w:rsidRPr="00D05B6C">
              <w:rPr>
                <w:rFonts w:cs="Calibri"/>
                <w:noProof/>
                <w:lang w:val="en-IE" w:eastAsia="en-GB"/>
              </w:rPr>
              <w:t>strategic autonomy</w:t>
            </w:r>
            <w:r w:rsidR="00F32CDE" w:rsidRPr="00D05B6C">
              <w:rPr>
                <w:rFonts w:cs="Calibri"/>
                <w:noProof/>
                <w:lang w:val="en-IE" w:eastAsia="en-GB"/>
              </w:rPr>
              <w:t>.</w:t>
            </w:r>
            <w:r w:rsidR="00F32CDE" w:rsidRPr="00D05B6C" w:rsidDel="00F32CDE">
              <w:rPr>
                <w:rFonts w:cs="Calibri"/>
                <w:noProof/>
                <w:lang w:eastAsia="en-GB"/>
              </w:rPr>
              <w:t xml:space="preserve"> </w:t>
            </w:r>
            <w:r w:rsidRPr="4AE5C743">
              <w:rPr>
                <w:rFonts w:cs="Calibri"/>
                <w:noProof/>
                <w:lang w:eastAsia="en-GB"/>
              </w:rPr>
              <w:t>Bulgaria and Hungary appear among the weakest performers in the dataset, with Hungary recording the lowest capacity overall</w:t>
            </w:r>
            <w:r w:rsidR="001A509E">
              <w:rPr>
                <w:rFonts w:cs="Calibri"/>
                <w:noProof/>
                <w:lang w:eastAsia="en-GB"/>
              </w:rPr>
              <w:t>, reflecting possible</w:t>
            </w:r>
            <w:r w:rsidRPr="4AE5C743">
              <w:rPr>
                <w:rFonts w:cs="Calibri"/>
                <w:noProof/>
                <w:lang w:eastAsia="en-GB"/>
              </w:rPr>
              <w:t xml:space="preserve"> limited market demand or infrastructure gaps. </w:t>
            </w:r>
            <w:r w:rsidR="001A509E">
              <w:rPr>
                <w:rFonts w:cs="Calibri"/>
                <w:noProof/>
                <w:lang w:eastAsia="en-GB"/>
              </w:rPr>
              <w:t>This could pose</w:t>
            </w:r>
            <w:r w:rsidRPr="4AE5C743">
              <w:rPr>
                <w:rFonts w:cs="Calibri"/>
                <w:noProof/>
                <w:lang w:eastAsia="en-GB"/>
              </w:rPr>
              <w:t xml:space="preserve"> strategic autonomy risks as future needs grow for cloud adoption, AI readiness, public sector digitalisation and industrial data. </w:t>
            </w:r>
          </w:p>
          <w:p w14:paraId="6227CAC1" w14:textId="47B9D952" w:rsidR="000C62D2" w:rsidRDefault="000C62D2" w:rsidP="00712EAD">
            <w:pPr>
              <w:spacing w:before="60" w:afterLines="60" w:after="144"/>
              <w:rPr>
                <w:rFonts w:cs="Calibri"/>
                <w:noProof/>
                <w:lang w:eastAsia="en-GB"/>
              </w:rPr>
            </w:pPr>
            <w:r w:rsidRPr="09429C99">
              <w:rPr>
                <w:rFonts w:cs="Calibri"/>
                <w:noProof/>
                <w:lang w:eastAsia="en-GB"/>
              </w:rPr>
              <w:t>Th</w:t>
            </w:r>
            <w:r>
              <w:rPr>
                <w:rFonts w:cs="Calibri"/>
                <w:noProof/>
                <w:lang w:eastAsia="en-GB"/>
              </w:rPr>
              <w:t>is monitoring</w:t>
            </w:r>
            <w:r w:rsidRPr="09429C99">
              <w:rPr>
                <w:rFonts w:cs="Calibri"/>
                <w:noProof/>
                <w:lang w:eastAsia="en-GB"/>
              </w:rPr>
              <w:t xml:space="preserve"> exercise will be further structured and refined in the coming years as part of the implementation activities foreseen under the Cloud and AI Development</w:t>
            </w:r>
            <w:r w:rsidR="00386942">
              <w:rPr>
                <w:rFonts w:cs="Calibri"/>
                <w:noProof/>
                <w:lang w:eastAsia="en-GB"/>
              </w:rPr>
              <w:t xml:space="preserve"> Act</w:t>
            </w:r>
            <w:r w:rsidRPr="00437AE4" w:rsidDel="00437AE4">
              <w:rPr>
                <w:rFonts w:cs="Calibri"/>
                <w:noProof/>
                <w:lang w:eastAsia="en-GB"/>
              </w:rPr>
              <w:t>.</w:t>
            </w:r>
          </w:p>
        </w:tc>
      </w:tr>
    </w:tbl>
    <w:p w14:paraId="7A7D0A0B" w14:textId="77777777" w:rsidR="000C62D2" w:rsidRPr="00417E18" w:rsidRDefault="000C62D2" w:rsidP="3FD4A9BC">
      <w:pPr>
        <w:spacing w:line="276" w:lineRule="auto"/>
        <w:rPr>
          <w:rFonts w:eastAsia="Calibri" w:cs="Calibri"/>
          <w:noProof/>
          <w:color w:val="000000" w:themeColor="text1"/>
          <w:sz w:val="22"/>
          <w:szCs w:val="22"/>
        </w:rPr>
      </w:pPr>
    </w:p>
    <w:tbl>
      <w:tblPr>
        <w:tblStyle w:val="TableGrid"/>
        <w:tblW w:w="0" w:type="auto"/>
        <w:tblLook w:val="06A0" w:firstRow="1" w:lastRow="0" w:firstColumn="1" w:lastColumn="0" w:noHBand="1" w:noVBand="1"/>
      </w:tblPr>
      <w:tblGrid>
        <w:gridCol w:w="9350"/>
      </w:tblGrid>
      <w:tr w:rsidR="00264135" w:rsidRPr="00417E18" w14:paraId="79F51F85" w14:textId="77777777" w:rsidTr="0E1EC96E">
        <w:trPr>
          <w:trHeight w:val="300"/>
        </w:trPr>
        <w:tc>
          <w:tcPr>
            <w:tcW w:w="9360" w:type="dxa"/>
            <w:shd w:val="clear" w:color="auto" w:fill="D4F1EE"/>
          </w:tcPr>
          <w:p w14:paraId="7943C59E" w14:textId="6F6E00BC" w:rsidR="0E6491E0" w:rsidRPr="00417E18" w:rsidRDefault="15DAEABB" w:rsidP="3C7001FB">
            <w:pPr>
              <w:rPr>
                <w:b/>
                <w:bCs/>
                <w:noProof/>
              </w:rPr>
            </w:pPr>
            <w:r w:rsidRPr="0E1EC96E">
              <w:rPr>
                <w:b/>
                <w:bCs/>
                <w:noProof/>
              </w:rPr>
              <w:t>Recommendation</w:t>
            </w:r>
            <w:r w:rsidR="09A53DBA" w:rsidRPr="0E1EC96E">
              <w:rPr>
                <w:b/>
                <w:bCs/>
                <w:noProof/>
              </w:rPr>
              <w:t>s</w:t>
            </w:r>
            <w:r w:rsidRPr="0E1EC96E">
              <w:rPr>
                <w:b/>
                <w:bCs/>
                <w:noProof/>
              </w:rPr>
              <w:t>:</w:t>
            </w:r>
          </w:p>
          <w:p w14:paraId="5EC360A9" w14:textId="28A48703" w:rsidR="04A95214" w:rsidRPr="00417E18" w:rsidRDefault="59711FF9" w:rsidP="3C7001FB">
            <w:pPr>
              <w:spacing w:line="278" w:lineRule="auto"/>
              <w:rPr>
                <w:rFonts w:eastAsia="Calibri" w:cs="Calibri"/>
                <w:noProof/>
              </w:rPr>
            </w:pPr>
            <w:r w:rsidRPr="3C7001FB">
              <w:rPr>
                <w:rFonts w:eastAsia="Calibri" w:cs="Calibri"/>
                <w:noProof/>
              </w:rPr>
              <w:t>Member States should support the deployment of secure, sustainable and sovereign cloud and edge data centre infrastructure across the Union, in line with the principles of the proposed Cloud and AI Development Act, by:</w:t>
            </w:r>
          </w:p>
          <w:p w14:paraId="2E7DDAD2" w14:textId="061E3785" w:rsidR="00E146EC" w:rsidRPr="00417E18" w:rsidRDefault="7068EA4C" w:rsidP="3C7001FB">
            <w:pPr>
              <w:pStyle w:val="ListParagraph"/>
              <w:numPr>
                <w:ilvl w:val="0"/>
                <w:numId w:val="18"/>
              </w:numPr>
              <w:ind w:left="714" w:hanging="357"/>
              <w:contextualSpacing w:val="0"/>
              <w:rPr>
                <w:noProof/>
              </w:rPr>
            </w:pPr>
            <w:r w:rsidRPr="3C7001FB">
              <w:rPr>
                <w:noProof/>
              </w:rPr>
              <w:t>support</w:t>
            </w:r>
            <w:r w:rsidR="088CBE1A" w:rsidRPr="3C7001FB">
              <w:rPr>
                <w:noProof/>
              </w:rPr>
              <w:t>ing</w:t>
            </w:r>
            <w:r w:rsidR="5A618A44" w:rsidRPr="3C7001FB">
              <w:rPr>
                <w:noProof/>
              </w:rPr>
              <w:t xml:space="preserve"> the development and deployment </w:t>
            </w:r>
            <w:r w:rsidR="3D45F2EA" w:rsidRPr="3C7001FB">
              <w:rPr>
                <w:noProof/>
              </w:rPr>
              <w:t xml:space="preserve">of </w:t>
            </w:r>
            <w:r w:rsidR="5A618A44" w:rsidRPr="3C7001FB">
              <w:rPr>
                <w:noProof/>
              </w:rPr>
              <w:t>advanced data centre technologies that power edge and cloud computing infrastructures incorporating energy- and resource-efficiency principles by design and throughout operations with a view to achieve large-scale sustainability;</w:t>
            </w:r>
          </w:p>
          <w:p w14:paraId="2D406AF4" w14:textId="2DC79043" w:rsidR="00E146EC" w:rsidRPr="00417E18" w:rsidRDefault="7068EA4C" w:rsidP="3C7001FB">
            <w:pPr>
              <w:pStyle w:val="ListParagraph"/>
              <w:numPr>
                <w:ilvl w:val="0"/>
                <w:numId w:val="18"/>
              </w:numPr>
              <w:ind w:left="714" w:hanging="357"/>
              <w:contextualSpacing w:val="0"/>
              <w:rPr>
                <w:noProof/>
              </w:rPr>
            </w:pPr>
            <w:r w:rsidRPr="3C7001FB">
              <w:rPr>
                <w:noProof/>
              </w:rPr>
              <w:t>support</w:t>
            </w:r>
            <w:r w:rsidR="2A89F4E2" w:rsidRPr="3C7001FB">
              <w:rPr>
                <w:noProof/>
              </w:rPr>
              <w:t>ing</w:t>
            </w:r>
            <w:r w:rsidR="5A618A44" w:rsidRPr="3C7001FB">
              <w:rPr>
                <w:noProof/>
              </w:rPr>
              <w:t xml:space="preserve"> the development and deployment </w:t>
            </w:r>
            <w:r w:rsidR="7E2F910F" w:rsidRPr="3C7001FB">
              <w:rPr>
                <w:noProof/>
              </w:rPr>
              <w:t xml:space="preserve">of </w:t>
            </w:r>
            <w:r w:rsidR="5A618A44" w:rsidRPr="3C7001FB">
              <w:rPr>
                <w:noProof/>
              </w:rPr>
              <w:t>secure, resilient and performant open cloud and AI stack technologies able to operate cloud and edge computing infrastructures and services with a view to build European technological autonomy and safeguard the Union’s digital sovereignty;</w:t>
            </w:r>
          </w:p>
          <w:p w14:paraId="3EB3541E" w14:textId="5BF637C6" w:rsidR="00E146EC" w:rsidRPr="00417E18" w:rsidRDefault="7068EA4C" w:rsidP="3C7001FB">
            <w:pPr>
              <w:pStyle w:val="ListParagraph"/>
              <w:numPr>
                <w:ilvl w:val="0"/>
                <w:numId w:val="18"/>
              </w:numPr>
              <w:ind w:left="714" w:hanging="357"/>
              <w:contextualSpacing w:val="0"/>
              <w:rPr>
                <w:noProof/>
              </w:rPr>
            </w:pPr>
            <w:r w:rsidRPr="3C7001FB">
              <w:rPr>
                <w:noProof/>
              </w:rPr>
              <w:t>facilitat</w:t>
            </w:r>
            <w:r w:rsidR="2E534752" w:rsidRPr="3C7001FB">
              <w:rPr>
                <w:noProof/>
              </w:rPr>
              <w:t>ing</w:t>
            </w:r>
            <w:r w:rsidR="5A618A44" w:rsidRPr="3C7001FB">
              <w:rPr>
                <w:noProof/>
              </w:rPr>
              <w:t xml:space="preserve"> the deployment of AI compute infrastructure across Europe to close the capacity gap and meet the Union's needs</w:t>
            </w:r>
            <w:r w:rsidR="1D7A7F6F" w:rsidRPr="3C7001FB">
              <w:rPr>
                <w:noProof/>
              </w:rPr>
              <w:t>;</w:t>
            </w:r>
          </w:p>
          <w:p w14:paraId="2BB300A4" w14:textId="4E399857" w:rsidR="00264135" w:rsidRPr="00417E18" w:rsidRDefault="27755DEC" w:rsidP="3C7001FB">
            <w:pPr>
              <w:pStyle w:val="ListParagraph"/>
              <w:numPr>
                <w:ilvl w:val="0"/>
                <w:numId w:val="18"/>
              </w:numPr>
              <w:ind w:left="714" w:hanging="357"/>
              <w:contextualSpacing w:val="0"/>
              <w:rPr>
                <w:noProof/>
              </w:rPr>
            </w:pPr>
            <w:r w:rsidRPr="3C7001FB">
              <w:rPr>
                <w:rFonts w:eastAsia="Calibri" w:cs="Calibri"/>
                <w:noProof/>
              </w:rPr>
              <w:t>engaging with the Commission, in the context of the upcoming review of the Digital Decade Policy Programme, on the establishment of a new target</w:t>
            </w:r>
            <w:r w:rsidR="41733FB7" w:rsidRPr="3C7001FB">
              <w:rPr>
                <w:rFonts w:eastAsia="Calibri" w:cs="Calibri"/>
                <w:noProof/>
              </w:rPr>
              <w:t xml:space="preserve"> to monitor and benchmark edge, cloud and AI data centre infrastructure across Member States </w:t>
            </w:r>
            <w:r w:rsidR="41733FB7" w:rsidRPr="3C7001FB">
              <w:rPr>
                <w:noProof/>
              </w:rPr>
              <w:t>to measure needed capacity to prevent gaps, ensure balanced access, and build robust European AI capabilities</w:t>
            </w:r>
            <w:r w:rsidR="5A6905B5" w:rsidRPr="3C7001FB">
              <w:rPr>
                <w:noProof/>
              </w:rPr>
              <w:t>.</w:t>
            </w:r>
          </w:p>
          <w:p w14:paraId="6C297C3A" w14:textId="3D182102" w:rsidR="00264135" w:rsidRPr="00417E18" w:rsidRDefault="01277C01" w:rsidP="3C7001FB">
            <w:pPr>
              <w:rPr>
                <w:rFonts w:eastAsia="MS Mincho" w:cs="Arial"/>
                <w:noProof/>
              </w:rPr>
            </w:pPr>
            <w:r w:rsidRPr="3C7001FB">
              <w:rPr>
                <w:rFonts w:eastAsia="MS Mincho" w:cs="Arial"/>
                <w:noProof/>
              </w:rPr>
              <w:t xml:space="preserve">Member States should develop </w:t>
            </w:r>
            <w:r w:rsidRPr="3C7001FB">
              <w:rPr>
                <w:rFonts w:eastAsia="MS Mincho" w:cs="Arial"/>
                <w:b/>
                <w:bCs/>
                <w:noProof/>
              </w:rPr>
              <w:t xml:space="preserve">national cloud and AI strategies </w:t>
            </w:r>
            <w:r w:rsidRPr="3C7001FB">
              <w:rPr>
                <w:rFonts w:eastAsia="MS Mincho" w:cs="Arial"/>
                <w:noProof/>
              </w:rPr>
              <w:t xml:space="preserve">(strategies). The strategies should address Member States approach to expanding cloud and data centre capacity as well as at advancing AI capabilities. Where Member States have identified gaps in possible existing strategies, Member States should update them accordingly. The strategies should be aligned with the targets on the adoption of cloud computing services, big data and AI by at least 75% of Union enterprises for their business operations, and the deployment of at least 10 000 climate-neutral highly secure edge nodes in the Union, while ensuring low latency. In that context, the measures adopted under the national strategies should inform the national digital decade strategic roadmaps. </w:t>
            </w:r>
          </w:p>
          <w:p w14:paraId="79439C94" w14:textId="7EBB460A" w:rsidR="00264135" w:rsidRPr="00417E18" w:rsidRDefault="01277C01" w:rsidP="3C7001FB">
            <w:pPr>
              <w:rPr>
                <w:rFonts w:eastAsia="MS Mincho" w:cs="Arial"/>
                <w:noProof/>
              </w:rPr>
            </w:pPr>
            <w:r w:rsidRPr="3C7001FB">
              <w:rPr>
                <w:rFonts w:eastAsia="MS Mincho" w:cs="Arial"/>
                <w:noProof/>
              </w:rPr>
              <w:t>Where Member States are deploying data centre capacity on their territory, they should designate d</w:t>
            </w:r>
            <w:r w:rsidRPr="3C7001FB">
              <w:rPr>
                <w:rFonts w:eastAsia="MS Mincho" w:cs="Arial"/>
                <w:b/>
                <w:bCs/>
                <w:noProof/>
              </w:rPr>
              <w:t>ata centre acceleration zones</w:t>
            </w:r>
            <w:r w:rsidRPr="3C7001FB">
              <w:rPr>
                <w:rFonts w:eastAsia="MS Mincho" w:cs="Arial"/>
                <w:noProof/>
              </w:rPr>
              <w:t xml:space="preserve"> (zones). Within the zones, the development, expansion and modernisation of data centres may be facilitated through coordinated planning and streamlined administrative procedures. The designation of such zones should contribute to closing the capacity gap and improving the Union’s competitiveness and technological resilience, while ensuring compliance with applicable Union law, including requirements relating to energy efficiency and environmental protection.</w:t>
            </w:r>
          </w:p>
          <w:p w14:paraId="090E9D78" w14:textId="6F920BAB" w:rsidR="00264135" w:rsidRPr="00417E18" w:rsidRDefault="01277C01" w:rsidP="3C7001FB">
            <w:pPr>
              <w:rPr>
                <w:rFonts w:eastAsia="MS Mincho" w:cs="Arial"/>
                <w:noProof/>
              </w:rPr>
            </w:pPr>
            <w:r w:rsidRPr="3C7001FB">
              <w:rPr>
                <w:rFonts w:eastAsia="MS Mincho" w:cs="Arial"/>
                <w:noProof/>
              </w:rPr>
              <w:t xml:space="preserve">Member States should carry out </w:t>
            </w:r>
            <w:r w:rsidRPr="3C7001FB">
              <w:rPr>
                <w:rFonts w:eastAsia="MS Mincho" w:cs="Arial"/>
                <w:b/>
                <w:bCs/>
                <w:noProof/>
              </w:rPr>
              <w:t>risk assessments</w:t>
            </w:r>
            <w:r w:rsidRPr="3C7001FB">
              <w:rPr>
                <w:rFonts w:eastAsia="MS Mincho" w:cs="Arial"/>
                <w:noProof/>
              </w:rPr>
              <w:t xml:space="preserve"> to analyse public sector activities and their sensitivity with respect to sovereignty of cloud and AI services underpinning such activities. The risk assessments should help Member States to establish the degree of sovereignty required from cloud and AI services procured and used by entities entrusted with such activities. The Commission will provide guidance to assist Member States in carrying out their risk assessments.</w:t>
            </w:r>
          </w:p>
          <w:p w14:paraId="33F44C23" w14:textId="5E4F5839" w:rsidR="00264135" w:rsidRPr="00417E18" w:rsidRDefault="2B9D6273" w:rsidP="3C7001FB">
            <w:pPr>
              <w:rPr>
                <w:rFonts w:eastAsia="MS Mincho" w:cs="Arial"/>
                <w:noProof/>
              </w:rPr>
            </w:pPr>
            <w:r w:rsidRPr="0E1EC96E">
              <w:rPr>
                <w:rFonts w:eastAsia="MS Mincho" w:cs="Arial"/>
                <w:noProof/>
                <w:color w:val="000000" w:themeColor="text1"/>
              </w:rPr>
              <w:t xml:space="preserve">Member States should consider participating in future initiatives aimed at </w:t>
            </w:r>
            <w:r w:rsidRPr="0E1EC96E">
              <w:rPr>
                <w:rFonts w:eastAsia="MS Mincho" w:cs="Arial"/>
                <w:b/>
                <w:bCs/>
                <w:noProof/>
                <w:color w:val="000000" w:themeColor="text1"/>
              </w:rPr>
              <w:t>federating and interconnecting their cloud infrastructures with other Member States</w:t>
            </w:r>
            <w:r w:rsidRPr="0E1EC96E">
              <w:rPr>
                <w:rFonts w:eastAsia="MS Mincho" w:cs="Arial"/>
                <w:noProof/>
                <w:color w:val="000000" w:themeColor="text1"/>
              </w:rPr>
              <w:t>, to offer cloud- and AI-enabled public services in an efficient, scalable and portable manner. Member States are also encouraged to define their public sector cloud and AI policies in a way that accounts for future frameworks allowing for such a public sector cloud federation to emerge.</w:t>
            </w:r>
          </w:p>
        </w:tc>
      </w:tr>
    </w:tbl>
    <w:p w14:paraId="03132206" w14:textId="0B4B0AF3" w:rsidR="00D70FB7" w:rsidRPr="00417E18" w:rsidRDefault="00D70FB7" w:rsidP="00D70FB7">
      <w:pPr>
        <w:rPr>
          <w:noProof/>
          <w:sz w:val="22"/>
          <w:szCs w:val="22"/>
        </w:rPr>
      </w:pPr>
    </w:p>
    <w:p w14:paraId="35820265" w14:textId="6F53FF59" w:rsidR="00BC0B6F" w:rsidRPr="00417E18" w:rsidRDefault="4DB62358" w:rsidP="00E11929">
      <w:pPr>
        <w:pStyle w:val="Heading2"/>
        <w:numPr>
          <w:ilvl w:val="1"/>
          <w:numId w:val="40"/>
        </w:numPr>
        <w:rPr>
          <w:noProof/>
        </w:rPr>
      </w:pPr>
      <w:bookmarkStart w:id="31" w:name="_Toc226710897"/>
      <w:bookmarkStart w:id="32" w:name="_Toc2057374630"/>
      <w:bookmarkStart w:id="33" w:name="_Toc1276002810"/>
      <w:bookmarkStart w:id="34" w:name="_Toc231830056"/>
      <w:r>
        <w:rPr>
          <w:noProof/>
        </w:rPr>
        <w:t>Supporting innovative companies with digital tools and resilient network</w:t>
      </w:r>
      <w:bookmarkEnd w:id="31"/>
      <w:bookmarkEnd w:id="32"/>
      <w:bookmarkEnd w:id="33"/>
      <w:bookmarkEnd w:id="34"/>
    </w:p>
    <w:p w14:paraId="324EC99A" w14:textId="5372F417" w:rsidR="4A95192B" w:rsidRPr="00417E18" w:rsidRDefault="4A95192B" w:rsidP="00E11929">
      <w:pPr>
        <w:pStyle w:val="Heading3"/>
        <w:numPr>
          <w:ilvl w:val="2"/>
          <w:numId w:val="40"/>
        </w:numPr>
        <w:rPr>
          <w:noProof/>
        </w:rPr>
      </w:pPr>
      <w:bookmarkStart w:id="35" w:name="_Toc1731444844"/>
      <w:bookmarkStart w:id="36" w:name="_Toc226710898"/>
      <w:bookmarkStart w:id="37" w:name="_Toc2000184308"/>
      <w:bookmarkStart w:id="38" w:name="_Toc231830057"/>
      <w:r w:rsidRPr="00417E18">
        <w:rPr>
          <w:noProof/>
        </w:rPr>
        <w:t>Connectivity</w:t>
      </w:r>
      <w:bookmarkEnd w:id="35"/>
      <w:bookmarkEnd w:id="36"/>
      <w:bookmarkEnd w:id="37"/>
      <w:bookmarkEnd w:id="38"/>
    </w:p>
    <w:p w14:paraId="7EC2F555" w14:textId="3CE07767" w:rsidR="002E67A5" w:rsidRPr="00417E18" w:rsidRDefault="2F800D90">
      <w:pPr>
        <w:spacing w:before="0" w:after="240" w:line="259" w:lineRule="auto"/>
        <w:rPr>
          <w:rFonts w:eastAsia="Times New Roman" w:cs="Calibri"/>
          <w:noProof/>
          <w:sz w:val="22"/>
          <w:szCs w:val="22"/>
        </w:rPr>
      </w:pPr>
      <w:r w:rsidRPr="00417E18">
        <w:rPr>
          <w:rFonts w:eastAsia="Times New Roman" w:cs="Calibri"/>
          <w:b/>
          <w:bCs/>
          <w:noProof/>
          <w:sz w:val="22"/>
          <w:szCs w:val="22"/>
        </w:rPr>
        <w:t xml:space="preserve">Connectivity is a fundamental enabler of the </w:t>
      </w:r>
      <w:r w:rsidR="00315E4B" w:rsidRPr="00417E18">
        <w:rPr>
          <w:rFonts w:eastAsia="Times New Roman" w:cs="Calibri"/>
          <w:b/>
          <w:bCs/>
          <w:noProof/>
          <w:sz w:val="22"/>
          <w:szCs w:val="22"/>
        </w:rPr>
        <w:t>EU</w:t>
      </w:r>
      <w:r w:rsidRPr="00417E18">
        <w:rPr>
          <w:rFonts w:eastAsia="Times New Roman" w:cs="Calibri"/>
          <w:b/>
          <w:bCs/>
          <w:noProof/>
          <w:sz w:val="22"/>
          <w:szCs w:val="22"/>
        </w:rPr>
        <w:t>’s long-term competitiveness</w:t>
      </w:r>
      <w:r w:rsidRPr="00417E18">
        <w:rPr>
          <w:rFonts w:eastAsia="Times New Roman" w:cs="Calibri"/>
          <w:noProof/>
          <w:sz w:val="22"/>
          <w:szCs w:val="22"/>
        </w:rPr>
        <w:t>, determining how enterprises and public services can share data, innovate and deliver value. High-quality, secure cross-border connectivity enables companies to leverage cloud and AI services, scale up and collaborate in EU-wide value chains. Strong connectivity also improves the Union’s resilience and preparedness by ensuring continuity and flexible reconfiguration of business and public service operations, including critical ones, in the event of disruption.</w:t>
      </w:r>
    </w:p>
    <w:p w14:paraId="12182CFD" w14:textId="7EAE67CE" w:rsidR="00B30B50" w:rsidRPr="007A39C9" w:rsidRDefault="1A2C071F" w:rsidP="007A39C9">
      <w:pPr>
        <w:rPr>
          <w:noProof/>
          <w:sz w:val="22"/>
          <w:szCs w:val="22"/>
        </w:rPr>
      </w:pPr>
      <w:r w:rsidRPr="6E0CA051">
        <w:rPr>
          <w:noProof/>
          <w:sz w:val="22"/>
          <w:szCs w:val="22"/>
        </w:rPr>
        <w:t xml:space="preserve">According to the </w:t>
      </w:r>
      <w:r w:rsidRPr="6E0CA051">
        <w:rPr>
          <w:b/>
          <w:bCs/>
          <w:noProof/>
          <w:sz w:val="22"/>
          <w:szCs w:val="22"/>
        </w:rPr>
        <w:t>Digital Decade Eurobarometer</w:t>
      </w:r>
      <w:r w:rsidRPr="6E0CA051">
        <w:rPr>
          <w:noProof/>
          <w:sz w:val="22"/>
          <w:szCs w:val="22"/>
        </w:rPr>
        <w:t xml:space="preserve"> 2026, 81% of Europeans consider it important for the EU to ensure access to high-speed internet for all EU citizens, while 83% of respondents think the EU should cooperate with Member States to build an independent European digital infrastructure (including broadband, 5G, cloud, semiconductors). </w:t>
      </w:r>
    </w:p>
    <w:p w14:paraId="5A3AA5F8" w14:textId="4F26D46F" w:rsidR="000C397E" w:rsidRPr="00417E18" w:rsidRDefault="00E74954" w:rsidP="00E74954">
      <w:pPr>
        <w:rPr>
          <w:rFonts w:cs="Calibri"/>
          <w:noProof/>
          <w:sz w:val="22"/>
          <w:szCs w:val="22"/>
          <w:lang w:eastAsia="en-IE"/>
        </w:rPr>
      </w:pPr>
      <w:r w:rsidRPr="00417E18">
        <w:rPr>
          <w:rFonts w:eastAsia="Aptos" w:cs="Calibri"/>
          <w:b/>
          <w:bCs/>
          <w:noProof/>
          <w:color w:val="000000" w:themeColor="text1"/>
          <w:sz w:val="22"/>
          <w:szCs w:val="22"/>
        </w:rPr>
        <w:t xml:space="preserve">Modern connectivity is </w:t>
      </w:r>
      <w:r w:rsidR="00065C4C" w:rsidRPr="00417E18">
        <w:rPr>
          <w:rFonts w:eastAsia="Aptos" w:cs="Calibri"/>
          <w:b/>
          <w:bCs/>
          <w:noProof/>
          <w:color w:val="000000" w:themeColor="text1"/>
          <w:sz w:val="22"/>
          <w:szCs w:val="22"/>
        </w:rPr>
        <w:t xml:space="preserve">evolving </w:t>
      </w:r>
      <w:r w:rsidR="003C7054" w:rsidRPr="00417E18">
        <w:rPr>
          <w:rFonts w:eastAsia="Aptos" w:cs="Calibri"/>
          <w:b/>
          <w:bCs/>
          <w:noProof/>
          <w:color w:val="000000" w:themeColor="text1"/>
          <w:sz w:val="22"/>
          <w:szCs w:val="22"/>
        </w:rPr>
        <w:t xml:space="preserve">from </w:t>
      </w:r>
      <w:r w:rsidRPr="00417E18">
        <w:rPr>
          <w:rFonts w:eastAsia="Aptos" w:cs="Calibri"/>
          <w:b/>
          <w:bCs/>
          <w:noProof/>
          <w:color w:val="000000" w:themeColor="text1"/>
          <w:sz w:val="22"/>
          <w:szCs w:val="22"/>
        </w:rPr>
        <w:t xml:space="preserve">a </w:t>
      </w:r>
      <w:r w:rsidR="274447F7" w:rsidRPr="00417E18">
        <w:rPr>
          <w:rFonts w:eastAsia="Aptos" w:cs="Calibri"/>
          <w:b/>
          <w:bCs/>
          <w:noProof/>
          <w:color w:val="000000" w:themeColor="text1"/>
          <w:sz w:val="22"/>
          <w:szCs w:val="22"/>
        </w:rPr>
        <w:t>combination</w:t>
      </w:r>
      <w:r w:rsidRPr="00417E18">
        <w:rPr>
          <w:rFonts w:eastAsia="Aptos" w:cs="Calibri"/>
          <w:b/>
          <w:bCs/>
          <w:noProof/>
          <w:color w:val="000000" w:themeColor="text1"/>
          <w:sz w:val="22"/>
          <w:szCs w:val="22"/>
        </w:rPr>
        <w:t xml:space="preserve"> of separate technologies</w:t>
      </w:r>
      <w:r w:rsidR="00247BF6" w:rsidRPr="00417E18">
        <w:rPr>
          <w:rFonts w:eastAsia="Aptos" w:cs="Calibri"/>
          <w:b/>
          <w:bCs/>
          <w:noProof/>
          <w:color w:val="000000" w:themeColor="text1"/>
          <w:sz w:val="22"/>
          <w:szCs w:val="22"/>
        </w:rPr>
        <w:t xml:space="preserve"> </w:t>
      </w:r>
      <w:r w:rsidR="00944EB1">
        <w:rPr>
          <w:rFonts w:eastAsia="Aptos" w:cs="Calibri"/>
          <w:b/>
          <w:bCs/>
          <w:noProof/>
          <w:color w:val="000000" w:themeColor="text1"/>
          <w:sz w:val="22"/>
          <w:szCs w:val="22"/>
        </w:rPr>
        <w:t>-</w:t>
      </w:r>
      <w:r w:rsidR="6FDCFCD0" w:rsidRPr="00417E18">
        <w:rPr>
          <w:rFonts w:eastAsia="Aptos" w:cs="Calibri"/>
          <w:b/>
          <w:bCs/>
          <w:noProof/>
          <w:color w:val="000000" w:themeColor="text1"/>
          <w:sz w:val="22"/>
          <w:szCs w:val="22"/>
        </w:rPr>
        <w:t xml:space="preserve"> fixed</w:t>
      </w:r>
      <w:r w:rsidR="00FC6DF6" w:rsidRPr="00417E18">
        <w:rPr>
          <w:rFonts w:eastAsia="Aptos" w:cs="Calibri"/>
          <w:b/>
          <w:bCs/>
          <w:noProof/>
          <w:color w:val="000000" w:themeColor="text1"/>
          <w:sz w:val="22"/>
          <w:szCs w:val="22"/>
        </w:rPr>
        <w:t>, mobile,</w:t>
      </w:r>
      <w:r w:rsidR="731BBCE9" w:rsidRPr="00417E18">
        <w:rPr>
          <w:rFonts w:eastAsia="Aptos" w:cs="Calibri"/>
          <w:b/>
          <w:bCs/>
          <w:noProof/>
          <w:color w:val="000000" w:themeColor="text1"/>
          <w:sz w:val="22"/>
          <w:szCs w:val="22"/>
        </w:rPr>
        <w:t xml:space="preserve"> </w:t>
      </w:r>
      <w:r w:rsidR="6FDCFCD0" w:rsidRPr="00417E18">
        <w:rPr>
          <w:rFonts w:eastAsia="Aptos" w:cs="Calibri"/>
          <w:b/>
          <w:bCs/>
          <w:noProof/>
          <w:color w:val="000000" w:themeColor="text1"/>
          <w:sz w:val="22"/>
          <w:szCs w:val="22"/>
        </w:rPr>
        <w:t>satellite networks</w:t>
      </w:r>
      <w:r w:rsidRPr="00417E18">
        <w:rPr>
          <w:rFonts w:eastAsia="Aptos" w:cs="Calibri"/>
          <w:b/>
          <w:bCs/>
          <w:noProof/>
          <w:color w:val="000000" w:themeColor="text1"/>
          <w:sz w:val="22"/>
          <w:szCs w:val="22"/>
        </w:rPr>
        <w:t xml:space="preserve"> </w:t>
      </w:r>
      <w:r w:rsidR="358FAA86" w:rsidRPr="00417E18">
        <w:rPr>
          <w:rFonts w:eastAsia="Aptos" w:cs="Calibri"/>
          <w:b/>
          <w:bCs/>
          <w:noProof/>
          <w:color w:val="000000" w:themeColor="text1"/>
          <w:sz w:val="22"/>
          <w:szCs w:val="22"/>
        </w:rPr>
        <w:t xml:space="preserve">or </w:t>
      </w:r>
      <w:r w:rsidRPr="00417E18">
        <w:rPr>
          <w:rFonts w:eastAsia="Aptos" w:cs="Calibri"/>
          <w:b/>
          <w:bCs/>
          <w:noProof/>
          <w:color w:val="000000" w:themeColor="text1"/>
          <w:sz w:val="22"/>
          <w:szCs w:val="22"/>
        </w:rPr>
        <w:t>submarine cables</w:t>
      </w:r>
      <w:r w:rsidR="42134829" w:rsidRPr="00417E18">
        <w:rPr>
          <w:rFonts w:eastAsia="Aptos" w:cs="Calibri"/>
          <w:b/>
          <w:bCs/>
          <w:noProof/>
          <w:color w:val="000000" w:themeColor="text1"/>
          <w:sz w:val="22"/>
          <w:szCs w:val="22"/>
        </w:rPr>
        <w:t xml:space="preserve"> </w:t>
      </w:r>
      <w:r w:rsidR="00944EB1">
        <w:rPr>
          <w:rFonts w:eastAsia="Aptos" w:cs="Calibri"/>
          <w:b/>
          <w:bCs/>
          <w:noProof/>
          <w:color w:val="000000" w:themeColor="text1"/>
          <w:sz w:val="22"/>
          <w:szCs w:val="22"/>
        </w:rPr>
        <w:t>-</w:t>
      </w:r>
      <w:r w:rsidRPr="00417E18" w:rsidDel="00AB4B00">
        <w:rPr>
          <w:rFonts w:eastAsia="Aptos" w:cs="Calibri"/>
          <w:b/>
          <w:noProof/>
          <w:color w:val="000000" w:themeColor="text1"/>
          <w:sz w:val="22"/>
          <w:szCs w:val="22"/>
        </w:rPr>
        <w:t xml:space="preserve"> </w:t>
      </w:r>
      <w:r w:rsidR="00AB4B00" w:rsidRPr="00417E18">
        <w:rPr>
          <w:rFonts w:eastAsia="Aptos" w:cs="Calibri"/>
          <w:noProof/>
          <w:color w:val="000000" w:themeColor="text1"/>
          <w:sz w:val="22"/>
          <w:szCs w:val="22"/>
        </w:rPr>
        <w:t xml:space="preserve">towards </w:t>
      </w:r>
      <w:r w:rsidRPr="00417E18">
        <w:rPr>
          <w:rFonts w:eastAsia="Aptos" w:cs="Calibri"/>
          <w:noProof/>
          <w:color w:val="000000" w:themeColor="text1"/>
          <w:sz w:val="22"/>
          <w:szCs w:val="22"/>
        </w:rPr>
        <w:t xml:space="preserve">a </w:t>
      </w:r>
      <w:r w:rsidR="00011F6C">
        <w:rPr>
          <w:rFonts w:eastAsia="Aptos" w:cs="Calibri"/>
          <w:noProof/>
          <w:color w:val="000000" w:themeColor="text1"/>
          <w:sz w:val="22"/>
          <w:szCs w:val="22"/>
        </w:rPr>
        <w:t>more</w:t>
      </w:r>
      <w:r w:rsidRPr="00417E18">
        <w:rPr>
          <w:rFonts w:eastAsia="Aptos" w:cs="Calibri"/>
          <w:noProof/>
          <w:color w:val="000000" w:themeColor="text1"/>
          <w:sz w:val="22"/>
          <w:szCs w:val="22"/>
        </w:rPr>
        <w:t xml:space="preserve"> </w:t>
      </w:r>
      <w:r w:rsidR="716D4005" w:rsidRPr="00417E18">
        <w:rPr>
          <w:rFonts w:eastAsia="Aptos" w:cs="Calibri"/>
          <w:noProof/>
          <w:color w:val="000000" w:themeColor="text1"/>
          <w:sz w:val="22"/>
          <w:szCs w:val="22"/>
        </w:rPr>
        <w:t>integrated</w:t>
      </w:r>
      <w:r w:rsidR="76E9490D" w:rsidRPr="00417E18">
        <w:rPr>
          <w:rFonts w:eastAsia="Aptos" w:cs="Calibri"/>
          <w:noProof/>
          <w:color w:val="000000" w:themeColor="text1"/>
          <w:sz w:val="22"/>
          <w:szCs w:val="22"/>
        </w:rPr>
        <w:t xml:space="preserve"> </w:t>
      </w:r>
      <w:r w:rsidR="42134829" w:rsidRPr="00417E18">
        <w:rPr>
          <w:rFonts w:eastAsia="Aptos" w:cs="Calibri"/>
          <w:noProof/>
          <w:color w:val="000000" w:themeColor="text1"/>
          <w:sz w:val="22"/>
          <w:szCs w:val="22"/>
        </w:rPr>
        <w:t>ecosystem.</w:t>
      </w:r>
      <w:r w:rsidRPr="00417E18">
        <w:rPr>
          <w:rFonts w:eastAsia="Aptos" w:cs="Calibri"/>
          <w:noProof/>
          <w:color w:val="000000" w:themeColor="text1"/>
          <w:sz w:val="22"/>
          <w:szCs w:val="22"/>
        </w:rPr>
        <w:t xml:space="preserve"> To respond to</w:t>
      </w:r>
      <w:r w:rsidRPr="00417E18">
        <w:rPr>
          <w:rFonts w:cs="Calibri"/>
          <w:noProof/>
          <w:sz w:val="22"/>
          <w:szCs w:val="22"/>
          <w:lang w:eastAsia="en-IE"/>
        </w:rPr>
        <w:t xml:space="preserve"> the growing demand for critical, low-latency applications, such </w:t>
      </w:r>
      <w:r w:rsidRPr="00526040">
        <w:rPr>
          <w:rFonts w:cs="Calibri"/>
          <w:noProof/>
          <w:sz w:val="22"/>
          <w:szCs w:val="22"/>
          <w:lang w:eastAsia="en-IE"/>
        </w:rPr>
        <w:t xml:space="preserve">as </w:t>
      </w:r>
      <w:r w:rsidR="47563CFF" w:rsidRPr="00526040">
        <w:rPr>
          <w:rFonts w:cs="Calibri"/>
          <w:noProof/>
          <w:sz w:val="22"/>
          <w:szCs w:val="22"/>
          <w:lang w:eastAsia="en-IE"/>
        </w:rPr>
        <w:t xml:space="preserve">connected and </w:t>
      </w:r>
      <w:r w:rsidR="00286CC4" w:rsidRPr="00526040">
        <w:rPr>
          <w:rFonts w:cs="Calibri"/>
          <w:noProof/>
          <w:sz w:val="22"/>
          <w:szCs w:val="22"/>
          <w:lang w:eastAsia="en-IE"/>
        </w:rPr>
        <w:t>automated</w:t>
      </w:r>
      <w:r w:rsidRPr="00526040">
        <w:rPr>
          <w:rFonts w:cs="Calibri"/>
          <w:noProof/>
          <w:sz w:val="22"/>
          <w:szCs w:val="22"/>
          <w:lang w:eastAsia="en-IE"/>
        </w:rPr>
        <w:t xml:space="preserve"> </w:t>
      </w:r>
      <w:r w:rsidR="5A6C71DE" w:rsidRPr="00526040">
        <w:rPr>
          <w:rFonts w:cs="Calibri"/>
          <w:noProof/>
          <w:sz w:val="22"/>
          <w:szCs w:val="22"/>
          <w:lang w:eastAsia="en-IE"/>
        </w:rPr>
        <w:t>mobility (CAM)</w:t>
      </w:r>
      <w:r w:rsidRPr="00526040">
        <w:rPr>
          <w:rFonts w:cs="Calibri"/>
          <w:noProof/>
          <w:sz w:val="22"/>
          <w:szCs w:val="22"/>
          <w:lang w:eastAsia="en-IE"/>
        </w:rPr>
        <w:t xml:space="preserve"> and </w:t>
      </w:r>
      <w:r w:rsidR="79315B70" w:rsidRPr="00526040">
        <w:rPr>
          <w:rFonts w:cs="Calibri"/>
          <w:noProof/>
          <w:sz w:val="22"/>
          <w:szCs w:val="22"/>
          <w:lang w:eastAsia="en-IE"/>
        </w:rPr>
        <w:t>human</w:t>
      </w:r>
      <w:r w:rsidR="2B1C83E3" w:rsidRPr="00526040">
        <w:rPr>
          <w:rFonts w:cs="Calibri"/>
          <w:noProof/>
          <w:sz w:val="22"/>
          <w:szCs w:val="22"/>
          <w:lang w:eastAsia="en-IE"/>
        </w:rPr>
        <w:t>-machine interaction</w:t>
      </w:r>
      <w:r w:rsidRPr="00526040">
        <w:rPr>
          <w:rFonts w:cs="Calibri"/>
          <w:noProof/>
          <w:sz w:val="22"/>
          <w:szCs w:val="22"/>
          <w:lang w:eastAsia="en-IE"/>
        </w:rPr>
        <w:t>,</w:t>
      </w:r>
      <w:r w:rsidRPr="00526040">
        <w:rPr>
          <w:rFonts w:eastAsia="Aptos" w:cs="Calibri"/>
          <w:noProof/>
          <w:color w:val="000000" w:themeColor="text1"/>
          <w:sz w:val="22"/>
          <w:szCs w:val="22"/>
        </w:rPr>
        <w:t xml:space="preserve"> </w:t>
      </w:r>
      <w:r w:rsidR="00450313" w:rsidRPr="00526040">
        <w:rPr>
          <w:rFonts w:eastAsia="Aptos" w:cs="Calibri"/>
          <w:noProof/>
          <w:color w:val="000000" w:themeColor="text1"/>
          <w:sz w:val="22"/>
          <w:szCs w:val="22"/>
        </w:rPr>
        <w:t>inc</w:t>
      </w:r>
      <w:r w:rsidR="00F40672" w:rsidRPr="00526040">
        <w:rPr>
          <w:rFonts w:eastAsia="Aptos" w:cs="Calibri"/>
          <w:noProof/>
          <w:color w:val="000000" w:themeColor="text1"/>
          <w:sz w:val="22"/>
          <w:szCs w:val="22"/>
        </w:rPr>
        <w:t>reasing volumes</w:t>
      </w:r>
      <w:r w:rsidRPr="00526040">
        <w:rPr>
          <w:rFonts w:eastAsia="Aptos" w:cs="Calibri"/>
          <w:noProof/>
          <w:color w:val="000000" w:themeColor="text1"/>
          <w:sz w:val="22"/>
          <w:szCs w:val="22"/>
        </w:rPr>
        <w:t xml:space="preserve"> of data</w:t>
      </w:r>
      <w:r w:rsidRPr="00526040">
        <w:rPr>
          <w:rFonts w:eastAsia="Aptos" w:cs="Calibri"/>
          <w:noProof/>
          <w:color w:val="000000" w:themeColor="text1"/>
          <w:sz w:val="22"/>
          <w:szCs w:val="22"/>
          <w:vertAlign w:val="superscript"/>
        </w:rPr>
        <w:footnoteReference w:id="30"/>
      </w:r>
      <w:r w:rsidRPr="00526040">
        <w:rPr>
          <w:rFonts w:eastAsia="Aptos" w:cs="Calibri"/>
          <w:noProof/>
          <w:color w:val="000000" w:themeColor="text1"/>
          <w:sz w:val="22"/>
          <w:szCs w:val="22"/>
        </w:rPr>
        <w:t xml:space="preserve"> </w:t>
      </w:r>
      <w:r w:rsidRPr="00526040">
        <w:rPr>
          <w:rFonts w:cs="Calibri"/>
          <w:noProof/>
          <w:sz w:val="22"/>
          <w:szCs w:val="22"/>
          <w:lang w:eastAsia="en-IE"/>
        </w:rPr>
        <w:t xml:space="preserve">need to flow </w:t>
      </w:r>
      <w:r w:rsidRPr="00526040">
        <w:rPr>
          <w:rFonts w:eastAsia="Aptos" w:cs="Calibri"/>
          <w:noProof/>
          <w:color w:val="000000" w:themeColor="text1"/>
          <w:sz w:val="22"/>
          <w:szCs w:val="22"/>
        </w:rPr>
        <w:t xml:space="preserve">seamlessly across all these domains, </w:t>
      </w:r>
      <w:r w:rsidR="00521DA6" w:rsidRPr="00526040">
        <w:rPr>
          <w:rFonts w:eastAsia="Aptos" w:cs="Calibri"/>
          <w:noProof/>
          <w:color w:val="000000" w:themeColor="text1"/>
          <w:sz w:val="22"/>
          <w:szCs w:val="22"/>
        </w:rPr>
        <w:t>so</w:t>
      </w:r>
      <w:r w:rsidR="3BB307EE" w:rsidRPr="00526040">
        <w:rPr>
          <w:rFonts w:eastAsia="Aptos" w:cs="Calibri"/>
          <w:noProof/>
          <w:color w:val="000000" w:themeColor="text1"/>
          <w:sz w:val="22"/>
          <w:szCs w:val="22"/>
        </w:rPr>
        <w:t xml:space="preserve"> that</w:t>
      </w:r>
      <w:r w:rsidRPr="00526040">
        <w:rPr>
          <w:rFonts w:eastAsia="Aptos" w:cs="Calibri"/>
          <w:noProof/>
          <w:color w:val="000000" w:themeColor="text1"/>
          <w:sz w:val="22"/>
          <w:szCs w:val="22"/>
        </w:rPr>
        <w:t xml:space="preserve"> disruptions in one </w:t>
      </w:r>
      <w:r w:rsidR="5F7022BF" w:rsidRPr="00526040">
        <w:rPr>
          <w:rFonts w:eastAsia="Aptos" w:cs="Calibri"/>
          <w:noProof/>
          <w:color w:val="000000" w:themeColor="text1"/>
          <w:sz w:val="22"/>
          <w:szCs w:val="22"/>
        </w:rPr>
        <w:t xml:space="preserve">domain </w:t>
      </w:r>
      <w:r w:rsidR="00521DA6" w:rsidRPr="00526040">
        <w:rPr>
          <w:rFonts w:eastAsia="Aptos" w:cs="Calibri"/>
          <w:noProof/>
          <w:color w:val="000000" w:themeColor="text1"/>
          <w:sz w:val="22"/>
          <w:szCs w:val="22"/>
        </w:rPr>
        <w:t xml:space="preserve">do not undermine </w:t>
      </w:r>
      <w:r w:rsidRPr="00526040">
        <w:rPr>
          <w:rFonts w:eastAsia="Aptos" w:cs="Calibri"/>
          <w:noProof/>
          <w:color w:val="000000" w:themeColor="text1"/>
          <w:sz w:val="22"/>
          <w:szCs w:val="22"/>
        </w:rPr>
        <w:t>the performance and security</w:t>
      </w:r>
      <w:r w:rsidR="00AA1780" w:rsidRPr="00526040">
        <w:rPr>
          <w:rFonts w:eastAsia="Aptos" w:cs="Calibri"/>
          <w:noProof/>
          <w:color w:val="000000" w:themeColor="text1"/>
          <w:sz w:val="22"/>
          <w:szCs w:val="22"/>
        </w:rPr>
        <w:t xml:space="preserve"> of the system as a whole</w:t>
      </w:r>
      <w:r w:rsidRPr="00526040">
        <w:rPr>
          <w:rFonts w:eastAsia="Aptos" w:cs="Calibri"/>
          <w:noProof/>
          <w:color w:val="000000" w:themeColor="text1"/>
          <w:sz w:val="22"/>
          <w:szCs w:val="22"/>
        </w:rPr>
        <w:t xml:space="preserve">. </w:t>
      </w:r>
      <w:r w:rsidR="00B52CB7" w:rsidRPr="00526040">
        <w:rPr>
          <w:rFonts w:eastAsia="Aptos" w:cs="Calibri"/>
          <w:noProof/>
          <w:color w:val="000000" w:themeColor="text1"/>
          <w:sz w:val="22"/>
          <w:szCs w:val="22"/>
        </w:rPr>
        <w:t>De</w:t>
      </w:r>
      <w:r w:rsidR="00FE64FD" w:rsidRPr="00526040">
        <w:rPr>
          <w:rFonts w:eastAsia="Aptos" w:cs="Calibri"/>
          <w:noProof/>
          <w:color w:val="000000" w:themeColor="text1"/>
          <w:sz w:val="22"/>
          <w:szCs w:val="22"/>
        </w:rPr>
        <w:t>mands on cross border backbone connectivity are also increasing exponentially: c</w:t>
      </w:r>
      <w:r w:rsidR="00477611" w:rsidRPr="00526040">
        <w:rPr>
          <w:noProof/>
          <w:sz w:val="22"/>
          <w:szCs w:val="22"/>
        </w:rPr>
        <w:t xml:space="preserve">urrently, cables worldwide transmit </w:t>
      </w:r>
      <w:hyperlink r:id="rId25">
        <w:r w:rsidR="65229708" w:rsidRPr="00526040">
          <w:rPr>
            <w:rStyle w:val="Hyperlink"/>
            <w:noProof/>
            <w:sz w:val="22"/>
            <w:szCs w:val="22"/>
          </w:rPr>
          <w:t xml:space="preserve">over </w:t>
        </w:r>
        <w:r w:rsidR="40631972" w:rsidRPr="00526040">
          <w:rPr>
            <w:rStyle w:val="Hyperlink"/>
            <w:noProof/>
            <w:sz w:val="22"/>
            <w:szCs w:val="22"/>
          </w:rPr>
          <w:t>USD</w:t>
        </w:r>
        <w:r w:rsidR="6FD51655" w:rsidRPr="00526040">
          <w:rPr>
            <w:rStyle w:val="Hyperlink"/>
            <w:noProof/>
            <w:sz w:val="22"/>
            <w:szCs w:val="22"/>
          </w:rPr>
          <w:t xml:space="preserve"> </w:t>
        </w:r>
        <w:r w:rsidR="65229708" w:rsidRPr="00526040">
          <w:rPr>
            <w:rStyle w:val="Hyperlink"/>
            <w:noProof/>
            <w:sz w:val="22"/>
            <w:szCs w:val="22"/>
          </w:rPr>
          <w:t>10 trillion</w:t>
        </w:r>
      </w:hyperlink>
      <w:r w:rsidR="00477611" w:rsidRPr="00526040">
        <w:rPr>
          <w:noProof/>
          <w:sz w:val="22"/>
          <w:szCs w:val="22"/>
        </w:rPr>
        <w:t> in financial transactions on a daily basis</w:t>
      </w:r>
      <w:r w:rsidR="00477611" w:rsidRPr="00526040">
        <w:rPr>
          <w:rStyle w:val="FootnoteReference"/>
          <w:noProof/>
          <w:sz w:val="22"/>
          <w:szCs w:val="22"/>
        </w:rPr>
        <w:footnoteReference w:id="31"/>
      </w:r>
      <w:r w:rsidR="00FE64FD" w:rsidRPr="00526040">
        <w:rPr>
          <w:noProof/>
          <w:sz w:val="22"/>
          <w:szCs w:val="22"/>
        </w:rPr>
        <w:t xml:space="preserve"> and capacity needs are expected to increase with </w:t>
      </w:r>
      <w:r w:rsidR="00812167" w:rsidRPr="00526040">
        <w:rPr>
          <w:noProof/>
          <w:sz w:val="22"/>
          <w:szCs w:val="22"/>
        </w:rPr>
        <w:t>AI a</w:t>
      </w:r>
      <w:r w:rsidR="00EB2311" w:rsidRPr="00526040">
        <w:rPr>
          <w:noProof/>
          <w:sz w:val="22"/>
          <w:szCs w:val="22"/>
        </w:rPr>
        <w:t>n</w:t>
      </w:r>
      <w:r w:rsidR="00C57C2C" w:rsidRPr="00526040">
        <w:rPr>
          <w:noProof/>
          <w:sz w:val="22"/>
          <w:szCs w:val="22"/>
        </w:rPr>
        <w:t>d cloud applications</w:t>
      </w:r>
      <w:r w:rsidR="00477611" w:rsidRPr="00526040">
        <w:rPr>
          <w:noProof/>
          <w:sz w:val="22"/>
          <w:szCs w:val="22"/>
        </w:rPr>
        <w:t>.</w:t>
      </w:r>
      <w:r w:rsidR="00477611" w:rsidRPr="00526040">
        <w:rPr>
          <w:i/>
          <w:iCs/>
          <w:noProof/>
          <w:sz w:val="22"/>
          <w:szCs w:val="22"/>
        </w:rPr>
        <w:t xml:space="preserve"> </w:t>
      </w:r>
      <w:r w:rsidRPr="00526040">
        <w:rPr>
          <w:rFonts w:eastAsia="Aptos" w:cs="Calibri"/>
          <w:noProof/>
          <w:color w:val="000000" w:themeColor="text1"/>
          <w:sz w:val="22"/>
          <w:szCs w:val="22"/>
        </w:rPr>
        <w:t xml:space="preserve">This </w:t>
      </w:r>
      <w:r w:rsidR="002A5268" w:rsidRPr="00526040">
        <w:rPr>
          <w:rFonts w:eastAsia="Aptos" w:cs="Calibri"/>
          <w:noProof/>
          <w:color w:val="000000" w:themeColor="text1"/>
          <w:sz w:val="22"/>
          <w:szCs w:val="22"/>
        </w:rPr>
        <w:t>evolution</w:t>
      </w:r>
      <w:r w:rsidRPr="00526040">
        <w:rPr>
          <w:rFonts w:eastAsia="Aptos" w:cs="Calibri"/>
          <w:noProof/>
          <w:color w:val="000000" w:themeColor="text1"/>
          <w:sz w:val="22"/>
          <w:szCs w:val="22"/>
        </w:rPr>
        <w:t xml:space="preserve"> requires</w:t>
      </w:r>
      <w:r w:rsidRPr="00526040" w:rsidDel="00F6214E">
        <w:rPr>
          <w:rFonts w:eastAsia="Aptos" w:cs="Calibri"/>
          <w:noProof/>
          <w:color w:val="000000" w:themeColor="text1"/>
          <w:sz w:val="22"/>
          <w:szCs w:val="22"/>
        </w:rPr>
        <w:t xml:space="preserve"> </w:t>
      </w:r>
      <w:r w:rsidRPr="00526040">
        <w:rPr>
          <w:rFonts w:eastAsia="Aptos" w:cs="Calibri"/>
          <w:noProof/>
          <w:color w:val="000000" w:themeColor="text1"/>
          <w:sz w:val="22"/>
          <w:szCs w:val="22"/>
        </w:rPr>
        <w:t xml:space="preserve">a global </w:t>
      </w:r>
      <w:r w:rsidRPr="00417E18">
        <w:rPr>
          <w:rFonts w:eastAsia="Aptos" w:cs="Calibri"/>
          <w:noProof/>
          <w:color w:val="000000" w:themeColor="text1"/>
          <w:sz w:val="22"/>
          <w:szCs w:val="22"/>
        </w:rPr>
        <w:t xml:space="preserve">approach, spanning </w:t>
      </w:r>
      <w:r w:rsidR="0838EBEE" w:rsidRPr="00417E18">
        <w:rPr>
          <w:rFonts w:eastAsia="Aptos" w:cs="Calibri"/>
          <w:noProof/>
          <w:color w:val="000000" w:themeColor="text1"/>
          <w:sz w:val="22"/>
          <w:szCs w:val="22"/>
        </w:rPr>
        <w:t>satellite</w:t>
      </w:r>
      <w:r w:rsidR="00D05D7B" w:rsidRPr="0C856F1D">
        <w:rPr>
          <w:rFonts w:eastAsia="Aptos" w:cs="Calibri"/>
          <w:noProof/>
          <w:color w:val="000000" w:themeColor="text1"/>
          <w:sz w:val="22"/>
          <w:szCs w:val="22"/>
        </w:rPr>
        <w:t>,</w:t>
      </w:r>
      <w:r w:rsidRPr="00417E18">
        <w:rPr>
          <w:rFonts w:eastAsia="Aptos" w:cs="Calibri"/>
          <w:noProof/>
          <w:color w:val="000000" w:themeColor="text1"/>
          <w:sz w:val="22"/>
          <w:szCs w:val="22"/>
        </w:rPr>
        <w:t xml:space="preserve"> terrestrial </w:t>
      </w:r>
      <w:r w:rsidR="005150F2" w:rsidRPr="00417E18">
        <w:rPr>
          <w:rFonts w:eastAsia="Aptos" w:cs="Calibri"/>
          <w:noProof/>
          <w:color w:val="000000" w:themeColor="text1"/>
          <w:sz w:val="22"/>
          <w:szCs w:val="22"/>
        </w:rPr>
        <w:t>and subsea</w:t>
      </w:r>
      <w:r w:rsidRPr="00417E18">
        <w:rPr>
          <w:rFonts w:eastAsia="Aptos" w:cs="Calibri"/>
          <w:noProof/>
          <w:color w:val="000000" w:themeColor="text1"/>
          <w:sz w:val="22"/>
          <w:szCs w:val="22"/>
        </w:rPr>
        <w:t xml:space="preserve"> infrastructures </w:t>
      </w:r>
      <w:r w:rsidR="00AB71D6">
        <w:rPr>
          <w:rFonts w:eastAsia="Aptos" w:cs="Calibri"/>
          <w:noProof/>
          <w:color w:val="000000" w:themeColor="text1"/>
          <w:sz w:val="22"/>
          <w:szCs w:val="22"/>
        </w:rPr>
        <w:t>as part of</w:t>
      </w:r>
      <w:r w:rsidRPr="00417E18">
        <w:rPr>
          <w:rFonts w:eastAsia="Aptos" w:cs="Calibri"/>
          <w:noProof/>
          <w:color w:val="000000" w:themeColor="text1"/>
          <w:sz w:val="22"/>
          <w:szCs w:val="22"/>
        </w:rPr>
        <w:t xml:space="preserve"> a </w:t>
      </w:r>
      <w:r w:rsidRPr="00417E18">
        <w:rPr>
          <w:rFonts w:cs="Calibri"/>
          <w:noProof/>
          <w:sz w:val="22"/>
          <w:szCs w:val="22"/>
          <w:lang w:eastAsia="en-IE"/>
        </w:rPr>
        <w:t xml:space="preserve">unified, resilient, and globally optimised system. </w:t>
      </w:r>
      <w:r w:rsidR="2EA386F5" w:rsidRPr="00417E18">
        <w:rPr>
          <w:rFonts w:cs="Calibri"/>
          <w:noProof/>
          <w:sz w:val="22"/>
          <w:szCs w:val="22"/>
          <w:lang w:eastAsia="en-IE"/>
        </w:rPr>
        <w:t>F</w:t>
      </w:r>
      <w:r w:rsidRPr="00417E18">
        <w:rPr>
          <w:rFonts w:cs="Calibri"/>
          <w:noProof/>
          <w:sz w:val="22"/>
          <w:szCs w:val="22"/>
          <w:lang w:eastAsia="en-IE"/>
        </w:rPr>
        <w:t xml:space="preserve">ull </w:t>
      </w:r>
      <w:r w:rsidR="0083386A" w:rsidRPr="0C856F1D">
        <w:rPr>
          <w:rFonts w:cs="Calibri"/>
          <w:noProof/>
          <w:sz w:val="22"/>
          <w:szCs w:val="22"/>
          <w:lang w:eastAsia="en-IE"/>
        </w:rPr>
        <w:t>fibre</w:t>
      </w:r>
      <w:r w:rsidRPr="00417E18">
        <w:rPr>
          <w:rFonts w:cs="Calibri"/>
          <w:noProof/>
          <w:sz w:val="22"/>
          <w:szCs w:val="22"/>
          <w:lang w:eastAsia="en-IE"/>
        </w:rPr>
        <w:t xml:space="preserve"> coverage</w:t>
      </w:r>
      <w:r w:rsidR="53C805D2" w:rsidRPr="00417E18">
        <w:rPr>
          <w:rFonts w:cs="Calibri"/>
          <w:noProof/>
          <w:sz w:val="22"/>
          <w:szCs w:val="22"/>
          <w:lang w:eastAsia="en-IE"/>
        </w:rPr>
        <w:t>,</w:t>
      </w:r>
      <w:r w:rsidRPr="00417E18">
        <w:rPr>
          <w:rFonts w:cs="Calibri"/>
          <w:noProof/>
          <w:sz w:val="22"/>
          <w:szCs w:val="22"/>
          <w:lang w:eastAsia="en-IE"/>
        </w:rPr>
        <w:t xml:space="preserve"> accelerated </w:t>
      </w:r>
      <w:r w:rsidR="5E540A21" w:rsidRPr="00417E18">
        <w:rPr>
          <w:rFonts w:cs="Calibri"/>
          <w:noProof/>
          <w:sz w:val="22"/>
          <w:szCs w:val="22"/>
          <w:lang w:eastAsia="en-IE"/>
        </w:rPr>
        <w:t xml:space="preserve">deployment </w:t>
      </w:r>
      <w:r w:rsidR="15A7948D" w:rsidRPr="00417E18">
        <w:rPr>
          <w:rFonts w:cs="Calibri"/>
          <w:noProof/>
          <w:sz w:val="22"/>
          <w:szCs w:val="22"/>
          <w:lang w:eastAsia="en-IE"/>
        </w:rPr>
        <w:t xml:space="preserve">of </w:t>
      </w:r>
      <w:r w:rsidRPr="00417E18">
        <w:rPr>
          <w:rFonts w:cs="Calibri"/>
          <w:noProof/>
          <w:sz w:val="22"/>
          <w:szCs w:val="22"/>
          <w:lang w:eastAsia="en-IE"/>
        </w:rPr>
        <w:t>stand-alone 5G</w:t>
      </w:r>
      <w:r w:rsidR="25E2705D" w:rsidRPr="00417E18">
        <w:rPr>
          <w:rFonts w:cs="Calibri"/>
          <w:noProof/>
          <w:sz w:val="22"/>
          <w:szCs w:val="22"/>
          <w:lang w:eastAsia="en-IE"/>
        </w:rPr>
        <w:t xml:space="preserve"> as a </w:t>
      </w:r>
      <w:r w:rsidR="05C3D2F5" w:rsidRPr="00417E18">
        <w:rPr>
          <w:rFonts w:cs="Calibri"/>
          <w:noProof/>
          <w:sz w:val="22"/>
          <w:szCs w:val="22"/>
          <w:lang w:eastAsia="en-IE"/>
        </w:rPr>
        <w:t xml:space="preserve">stepping </w:t>
      </w:r>
      <w:r w:rsidR="2C722AEB" w:rsidRPr="00417E18">
        <w:rPr>
          <w:rFonts w:cs="Calibri"/>
          <w:noProof/>
          <w:sz w:val="22"/>
          <w:szCs w:val="22"/>
          <w:lang w:eastAsia="en-IE"/>
        </w:rPr>
        <w:t>stone</w:t>
      </w:r>
      <w:r w:rsidR="25E2705D" w:rsidRPr="00417E18">
        <w:rPr>
          <w:rFonts w:cs="Calibri"/>
          <w:noProof/>
          <w:sz w:val="22"/>
          <w:szCs w:val="22"/>
          <w:lang w:eastAsia="en-IE"/>
        </w:rPr>
        <w:t xml:space="preserve"> to the </w:t>
      </w:r>
      <w:r w:rsidR="38115A12" w:rsidRPr="00417E18">
        <w:rPr>
          <w:rFonts w:cs="Calibri"/>
          <w:noProof/>
          <w:sz w:val="22"/>
          <w:szCs w:val="22"/>
          <w:lang w:eastAsia="en-IE"/>
        </w:rPr>
        <w:t xml:space="preserve">development </w:t>
      </w:r>
      <w:r w:rsidR="25E2705D" w:rsidRPr="00417E18">
        <w:rPr>
          <w:rFonts w:cs="Calibri"/>
          <w:noProof/>
          <w:sz w:val="22"/>
          <w:szCs w:val="22"/>
          <w:lang w:eastAsia="en-IE"/>
        </w:rPr>
        <w:t>of 6G</w:t>
      </w:r>
      <w:r w:rsidR="64F0EB80" w:rsidRPr="00417E18">
        <w:rPr>
          <w:rFonts w:cs="Calibri"/>
          <w:noProof/>
          <w:sz w:val="22"/>
          <w:szCs w:val="22"/>
          <w:lang w:eastAsia="en-IE"/>
        </w:rPr>
        <w:t>,</w:t>
      </w:r>
      <w:r w:rsidR="25E2705D" w:rsidRPr="00417E18">
        <w:rPr>
          <w:rFonts w:cs="Calibri"/>
          <w:noProof/>
          <w:sz w:val="22"/>
          <w:szCs w:val="22"/>
          <w:lang w:eastAsia="en-IE"/>
        </w:rPr>
        <w:t xml:space="preserve"> and sufficient </w:t>
      </w:r>
      <w:r w:rsidR="00C76D07">
        <w:rPr>
          <w:rFonts w:cs="Calibri"/>
          <w:noProof/>
          <w:sz w:val="22"/>
          <w:szCs w:val="22"/>
          <w:lang w:eastAsia="en-IE"/>
        </w:rPr>
        <w:t xml:space="preserve">multi-orbit </w:t>
      </w:r>
      <w:r w:rsidR="25E2705D" w:rsidRPr="00417E18">
        <w:rPr>
          <w:rFonts w:cs="Calibri"/>
          <w:noProof/>
          <w:sz w:val="22"/>
          <w:szCs w:val="22"/>
          <w:lang w:eastAsia="en-IE"/>
        </w:rPr>
        <w:t>satellite capacity are</w:t>
      </w:r>
      <w:r w:rsidR="1A436B38" w:rsidRPr="00417E18">
        <w:rPr>
          <w:rFonts w:cs="Calibri"/>
          <w:noProof/>
          <w:sz w:val="22"/>
          <w:szCs w:val="22"/>
          <w:lang w:eastAsia="en-IE"/>
        </w:rPr>
        <w:t xml:space="preserve"> the foundations for this approach</w:t>
      </w:r>
      <w:r w:rsidRPr="00417E18">
        <w:rPr>
          <w:rFonts w:cs="Calibri"/>
          <w:noProof/>
          <w:sz w:val="22"/>
          <w:szCs w:val="22"/>
          <w:lang w:eastAsia="en-IE"/>
        </w:rPr>
        <w:t xml:space="preserve">. </w:t>
      </w:r>
    </w:p>
    <w:p w14:paraId="75CAB0E0" w14:textId="68AB2765" w:rsidR="00E74954" w:rsidRPr="00417E18" w:rsidRDefault="003A56CC" w:rsidP="00E74954">
      <w:pPr>
        <w:rPr>
          <w:rFonts w:cs="Calibri"/>
          <w:noProof/>
          <w:sz w:val="22"/>
          <w:szCs w:val="22"/>
          <w:lang w:eastAsia="en-IE"/>
        </w:rPr>
      </w:pPr>
      <w:r w:rsidRPr="0C856F1D">
        <w:rPr>
          <w:rFonts w:cs="Calibri"/>
          <w:noProof/>
          <w:sz w:val="22"/>
          <w:szCs w:val="22"/>
          <w:lang w:eastAsia="en-IE"/>
        </w:rPr>
        <w:t>I</w:t>
      </w:r>
      <w:r w:rsidR="00234F81" w:rsidRPr="0C856F1D">
        <w:rPr>
          <w:rFonts w:cs="Calibri"/>
          <w:b/>
          <w:bCs/>
          <w:noProof/>
          <w:sz w:val="22"/>
          <w:szCs w:val="22"/>
          <w:lang w:eastAsia="en-IE"/>
        </w:rPr>
        <w:t>ncreasing</w:t>
      </w:r>
      <w:r w:rsidR="00234F81" w:rsidRPr="00417E18">
        <w:rPr>
          <w:rFonts w:cs="Calibri"/>
          <w:b/>
          <w:noProof/>
          <w:sz w:val="22"/>
          <w:szCs w:val="22"/>
          <w:lang w:eastAsia="en-IE"/>
        </w:rPr>
        <w:t xml:space="preserve"> attention is paid not only to coverage, but also to the security and resilience of networks, a</w:t>
      </w:r>
      <w:r w:rsidR="00944042" w:rsidRPr="00417E18">
        <w:rPr>
          <w:rFonts w:cs="Calibri"/>
          <w:b/>
          <w:noProof/>
          <w:sz w:val="22"/>
          <w:szCs w:val="22"/>
          <w:lang w:eastAsia="en-IE"/>
        </w:rPr>
        <w:t>s well as</w:t>
      </w:r>
      <w:r w:rsidR="00234F81" w:rsidRPr="00417E18">
        <w:rPr>
          <w:rFonts w:cs="Calibri"/>
          <w:b/>
          <w:noProof/>
          <w:sz w:val="22"/>
          <w:szCs w:val="22"/>
          <w:lang w:eastAsia="en-IE"/>
        </w:rPr>
        <w:t xml:space="preserve"> to integrated connectivity systems,</w:t>
      </w:r>
      <w:r w:rsidR="00E8034E" w:rsidRPr="00417E18">
        <w:rPr>
          <w:rFonts w:cs="Calibri"/>
          <w:b/>
          <w:noProof/>
          <w:sz w:val="22"/>
          <w:szCs w:val="22"/>
          <w:lang w:eastAsia="en-IE"/>
        </w:rPr>
        <w:t xml:space="preserve"> </w:t>
      </w:r>
      <w:r w:rsidR="00234F81" w:rsidRPr="00417E18">
        <w:rPr>
          <w:rFonts w:cs="Calibri"/>
          <w:b/>
          <w:noProof/>
          <w:sz w:val="22"/>
          <w:szCs w:val="22"/>
          <w:lang w:eastAsia="en-IE"/>
        </w:rPr>
        <w:t xml:space="preserve">as means </w:t>
      </w:r>
      <w:r w:rsidR="005A4641" w:rsidRPr="0C856F1D">
        <w:rPr>
          <w:rFonts w:cs="Calibri"/>
          <w:b/>
          <w:bCs/>
          <w:noProof/>
          <w:sz w:val="22"/>
          <w:szCs w:val="22"/>
          <w:lang w:eastAsia="en-IE"/>
        </w:rPr>
        <w:t xml:space="preserve">of </w:t>
      </w:r>
      <w:r w:rsidR="00234F81" w:rsidRPr="0C856F1D">
        <w:rPr>
          <w:rFonts w:cs="Calibri"/>
          <w:b/>
          <w:bCs/>
          <w:noProof/>
          <w:sz w:val="22"/>
          <w:szCs w:val="22"/>
          <w:lang w:eastAsia="en-IE"/>
        </w:rPr>
        <w:t>ensur</w:t>
      </w:r>
      <w:r w:rsidR="005A4641" w:rsidRPr="0C856F1D">
        <w:rPr>
          <w:rFonts w:cs="Calibri"/>
          <w:b/>
          <w:bCs/>
          <w:noProof/>
          <w:sz w:val="22"/>
          <w:szCs w:val="22"/>
          <w:lang w:eastAsia="en-IE"/>
        </w:rPr>
        <w:t>ing</w:t>
      </w:r>
      <w:r w:rsidR="00234F81" w:rsidRPr="00417E18">
        <w:rPr>
          <w:rFonts w:cs="Calibri"/>
          <w:b/>
          <w:noProof/>
          <w:sz w:val="22"/>
          <w:szCs w:val="22"/>
          <w:lang w:eastAsia="en-IE"/>
        </w:rPr>
        <w:t xml:space="preserve"> redundant and reliable connectivity</w:t>
      </w:r>
      <w:r w:rsidR="00234F81" w:rsidRPr="00417E18">
        <w:rPr>
          <w:rFonts w:cs="Calibri"/>
          <w:noProof/>
          <w:sz w:val="22"/>
          <w:szCs w:val="22"/>
          <w:lang w:eastAsia="en-IE"/>
        </w:rPr>
        <w:t xml:space="preserve">. The Council </w:t>
      </w:r>
      <w:r w:rsidR="00710677" w:rsidRPr="0C856F1D">
        <w:rPr>
          <w:rFonts w:cs="Calibri"/>
          <w:noProof/>
          <w:sz w:val="22"/>
          <w:szCs w:val="22"/>
          <w:lang w:eastAsia="en-IE"/>
        </w:rPr>
        <w:t>c</w:t>
      </w:r>
      <w:r w:rsidR="00234F81" w:rsidRPr="00417E18">
        <w:rPr>
          <w:rFonts w:cs="Calibri"/>
          <w:noProof/>
          <w:sz w:val="22"/>
          <w:szCs w:val="22"/>
          <w:lang w:eastAsia="en-IE"/>
        </w:rPr>
        <w:t xml:space="preserve">onclusions of </w:t>
      </w:r>
      <w:r w:rsidR="00D122A5" w:rsidRPr="00417E18">
        <w:rPr>
          <w:rFonts w:cs="Calibri"/>
          <w:noProof/>
          <w:sz w:val="22"/>
          <w:szCs w:val="22"/>
          <w:lang w:eastAsia="en-IE"/>
        </w:rPr>
        <w:t xml:space="preserve">6 </w:t>
      </w:r>
      <w:r w:rsidR="00234F81" w:rsidRPr="00417E18">
        <w:rPr>
          <w:rFonts w:cs="Calibri"/>
          <w:noProof/>
          <w:sz w:val="22"/>
          <w:szCs w:val="22"/>
          <w:lang w:eastAsia="en-IE"/>
        </w:rPr>
        <w:t>June 2025</w:t>
      </w:r>
      <w:r w:rsidR="00C13EDC" w:rsidRPr="00417E18">
        <w:rPr>
          <w:rStyle w:val="FootnoteReference"/>
          <w:rFonts w:cs="Calibri"/>
          <w:noProof/>
          <w:sz w:val="22"/>
          <w:szCs w:val="22"/>
          <w:lang w:eastAsia="en-IE"/>
        </w:rPr>
        <w:footnoteReference w:id="32"/>
      </w:r>
      <w:r w:rsidR="00234F81" w:rsidRPr="00417E18">
        <w:rPr>
          <w:rFonts w:cs="Calibri"/>
          <w:noProof/>
          <w:sz w:val="22"/>
          <w:szCs w:val="22"/>
          <w:lang w:eastAsia="en-IE"/>
        </w:rPr>
        <w:t xml:space="preserve"> </w:t>
      </w:r>
      <w:r w:rsidR="00FB02A6" w:rsidRPr="00417E18">
        <w:rPr>
          <w:rFonts w:cs="Calibri"/>
          <w:noProof/>
          <w:sz w:val="22"/>
          <w:szCs w:val="22"/>
          <w:lang w:eastAsia="en-IE"/>
        </w:rPr>
        <w:t xml:space="preserve">call for </w:t>
      </w:r>
      <w:r w:rsidR="00FB02A6" w:rsidRPr="00417E18">
        <w:rPr>
          <w:rFonts w:cs="Calibri"/>
          <w:b/>
          <w:noProof/>
          <w:sz w:val="22"/>
          <w:szCs w:val="22"/>
          <w:lang w:eastAsia="en-IE"/>
        </w:rPr>
        <w:t>a</w:t>
      </w:r>
      <w:r w:rsidR="005C640F" w:rsidRPr="00417E18">
        <w:rPr>
          <w:rFonts w:cs="Calibri"/>
          <w:b/>
          <w:noProof/>
          <w:sz w:val="22"/>
          <w:szCs w:val="22"/>
          <w:lang w:eastAsia="en-IE"/>
        </w:rPr>
        <w:t xml:space="preserve"> comprehensive approach to the development of a reliable and resilient network infrastructure</w:t>
      </w:r>
      <w:r w:rsidR="007D6003" w:rsidRPr="00417E18">
        <w:rPr>
          <w:rFonts w:cs="Calibri"/>
          <w:noProof/>
          <w:sz w:val="22"/>
          <w:szCs w:val="22"/>
          <w:lang w:eastAsia="en-IE"/>
        </w:rPr>
        <w:t xml:space="preserve">, </w:t>
      </w:r>
      <w:r w:rsidR="00FB02A6" w:rsidRPr="00417E18">
        <w:rPr>
          <w:rFonts w:cs="Calibri"/>
          <w:noProof/>
          <w:sz w:val="22"/>
          <w:szCs w:val="22"/>
          <w:lang w:eastAsia="en-IE"/>
        </w:rPr>
        <w:t xml:space="preserve">including via </w:t>
      </w:r>
      <w:r w:rsidR="007D6003" w:rsidRPr="00417E18">
        <w:rPr>
          <w:rFonts w:cs="Calibri"/>
          <w:noProof/>
          <w:sz w:val="22"/>
          <w:szCs w:val="22"/>
          <w:lang w:eastAsia="en-IE"/>
        </w:rPr>
        <w:t>network diversification</w:t>
      </w:r>
      <w:r w:rsidR="00782FBC" w:rsidRPr="0C856F1D">
        <w:rPr>
          <w:rFonts w:cs="Calibri"/>
          <w:noProof/>
          <w:sz w:val="22"/>
          <w:szCs w:val="22"/>
          <w:lang w:eastAsia="en-IE"/>
        </w:rPr>
        <w:t>,</w:t>
      </w:r>
      <w:r w:rsidR="007D6003" w:rsidRPr="00417E18">
        <w:rPr>
          <w:rFonts w:cs="Calibri"/>
          <w:noProof/>
          <w:sz w:val="22"/>
          <w:szCs w:val="22"/>
          <w:lang w:eastAsia="en-IE"/>
        </w:rPr>
        <w:t xml:space="preserve"> interoperability</w:t>
      </w:r>
      <w:r w:rsidR="00FB02A6" w:rsidRPr="00417E18">
        <w:rPr>
          <w:rFonts w:cs="Calibri"/>
          <w:noProof/>
          <w:sz w:val="22"/>
          <w:szCs w:val="22"/>
          <w:lang w:eastAsia="en-IE"/>
        </w:rPr>
        <w:t xml:space="preserve"> and </w:t>
      </w:r>
      <w:r w:rsidR="00782FBC" w:rsidRPr="0C856F1D">
        <w:rPr>
          <w:rFonts w:cs="Calibri"/>
          <w:noProof/>
          <w:sz w:val="22"/>
          <w:szCs w:val="22"/>
          <w:lang w:eastAsia="en-IE"/>
        </w:rPr>
        <w:t>further</w:t>
      </w:r>
      <w:r w:rsidR="007D6003" w:rsidRPr="00417E18">
        <w:rPr>
          <w:rFonts w:cs="Calibri"/>
          <w:noProof/>
          <w:sz w:val="22"/>
          <w:szCs w:val="22"/>
          <w:lang w:eastAsia="en-IE"/>
        </w:rPr>
        <w:t xml:space="preserve"> </w:t>
      </w:r>
      <w:r w:rsidR="00FB02A6" w:rsidRPr="00417E18">
        <w:rPr>
          <w:rFonts w:cs="Calibri"/>
          <w:noProof/>
          <w:sz w:val="22"/>
          <w:szCs w:val="22"/>
          <w:lang w:eastAsia="en-IE"/>
        </w:rPr>
        <w:t>deepening</w:t>
      </w:r>
      <w:r w:rsidR="007D6003" w:rsidRPr="00417E18">
        <w:rPr>
          <w:rFonts w:cs="Calibri"/>
          <w:noProof/>
          <w:sz w:val="22"/>
          <w:szCs w:val="22"/>
          <w:lang w:eastAsia="en-IE"/>
        </w:rPr>
        <w:t xml:space="preserve"> of the S</w:t>
      </w:r>
      <w:r w:rsidR="00FB02A6" w:rsidRPr="00417E18">
        <w:rPr>
          <w:rFonts w:cs="Calibri"/>
          <w:noProof/>
          <w:sz w:val="22"/>
          <w:szCs w:val="22"/>
          <w:lang w:eastAsia="en-IE"/>
        </w:rPr>
        <w:t>ingle Market</w:t>
      </w:r>
      <w:r w:rsidR="00782FBC" w:rsidRPr="0C856F1D">
        <w:rPr>
          <w:rFonts w:cs="Calibri"/>
          <w:noProof/>
          <w:sz w:val="22"/>
          <w:szCs w:val="22"/>
          <w:lang w:eastAsia="en-IE"/>
        </w:rPr>
        <w:t xml:space="preserve">. They also </w:t>
      </w:r>
      <w:r w:rsidR="00FB02A6" w:rsidRPr="00417E18">
        <w:rPr>
          <w:rFonts w:cs="Calibri"/>
          <w:noProof/>
          <w:sz w:val="22"/>
          <w:szCs w:val="22"/>
          <w:lang w:eastAsia="en-IE"/>
        </w:rPr>
        <w:t>call</w:t>
      </w:r>
      <w:r w:rsidR="00782FBC" w:rsidRPr="0C856F1D">
        <w:rPr>
          <w:rFonts w:cs="Calibri"/>
          <w:noProof/>
          <w:sz w:val="22"/>
          <w:szCs w:val="22"/>
          <w:lang w:eastAsia="en-IE"/>
        </w:rPr>
        <w:t>ed</w:t>
      </w:r>
      <w:r w:rsidR="00FB02A6" w:rsidRPr="00417E18">
        <w:rPr>
          <w:rFonts w:cs="Calibri"/>
          <w:noProof/>
          <w:sz w:val="22"/>
          <w:szCs w:val="22"/>
          <w:lang w:eastAsia="en-IE"/>
        </w:rPr>
        <w:t xml:space="preserve"> on the Commission to assess the possibility </w:t>
      </w:r>
      <w:r w:rsidR="00460CAB" w:rsidRPr="0C856F1D">
        <w:rPr>
          <w:rFonts w:cs="Calibri"/>
          <w:noProof/>
          <w:sz w:val="22"/>
          <w:szCs w:val="22"/>
          <w:lang w:eastAsia="en-IE"/>
        </w:rPr>
        <w:t>of</w:t>
      </w:r>
      <w:r w:rsidR="00FB02A6" w:rsidRPr="00417E18">
        <w:rPr>
          <w:rFonts w:cs="Calibri"/>
          <w:noProof/>
          <w:sz w:val="22"/>
          <w:szCs w:val="22"/>
          <w:lang w:eastAsia="en-IE"/>
        </w:rPr>
        <w:t xml:space="preserve"> a coordinated initiative for planning and developing a reliable and resilient network of digital infrastructures and capacities, </w:t>
      </w:r>
      <w:r w:rsidR="00A17714" w:rsidRPr="0C856F1D">
        <w:rPr>
          <w:rFonts w:cs="Calibri"/>
          <w:noProof/>
          <w:sz w:val="22"/>
          <w:szCs w:val="22"/>
          <w:lang w:eastAsia="en-IE"/>
        </w:rPr>
        <w:t>including</w:t>
      </w:r>
      <w:r w:rsidR="00FB02A6" w:rsidRPr="00417E18">
        <w:rPr>
          <w:rFonts w:cs="Calibri"/>
          <w:noProof/>
          <w:sz w:val="22"/>
          <w:szCs w:val="22"/>
          <w:lang w:eastAsia="en-IE"/>
        </w:rPr>
        <w:t xml:space="preserve"> backbone terrestrial, submarine and satellite networks, across the Union and with international partner countries, for example by using the Trans-European Networks framework. </w:t>
      </w:r>
    </w:p>
    <w:p w14:paraId="0BAB0011" w14:textId="760095FD" w:rsidR="0041370B" w:rsidRPr="00417E18" w:rsidRDefault="44D9BF67" w:rsidP="00E74954">
      <w:pPr>
        <w:rPr>
          <w:rFonts w:cs="Calibri"/>
          <w:noProof/>
          <w:sz w:val="22"/>
          <w:szCs w:val="22"/>
          <w:lang w:eastAsia="en-IE"/>
        </w:rPr>
      </w:pPr>
      <w:r w:rsidRPr="00417E18">
        <w:rPr>
          <w:rFonts w:cs="Calibri"/>
          <w:noProof/>
          <w:sz w:val="22"/>
          <w:szCs w:val="22"/>
        </w:rPr>
        <w:t xml:space="preserve">In their </w:t>
      </w:r>
      <w:r w:rsidRPr="00417E18">
        <w:rPr>
          <w:rFonts w:cs="Calibri"/>
          <w:b/>
          <w:bCs/>
          <w:noProof/>
          <w:sz w:val="22"/>
          <w:szCs w:val="22"/>
        </w:rPr>
        <w:t>National Roadmaps</w:t>
      </w:r>
      <w:r w:rsidRPr="00417E18">
        <w:rPr>
          <w:rFonts w:cs="Calibri"/>
          <w:noProof/>
          <w:sz w:val="22"/>
          <w:szCs w:val="22"/>
        </w:rPr>
        <w:t xml:space="preserve">, submitted in 2025, Member States reported devoting a significant portion (approximately </w:t>
      </w:r>
      <w:r w:rsidR="00911EBC">
        <w:rPr>
          <w:rFonts w:cs="Calibri"/>
          <w:noProof/>
          <w:sz w:val="22"/>
          <w:szCs w:val="22"/>
        </w:rPr>
        <w:t>28</w:t>
      </w:r>
      <w:r w:rsidRPr="00417E18">
        <w:rPr>
          <w:rFonts w:cs="Calibri"/>
          <w:noProof/>
          <w:sz w:val="22"/>
          <w:szCs w:val="22"/>
        </w:rPr>
        <w:t>%) of their measures’ total budget to gigabit fixed connectivity, amounting to EUR 80.</w:t>
      </w:r>
      <w:r w:rsidR="40906C09" w:rsidRPr="00417E18">
        <w:rPr>
          <w:rFonts w:cs="Calibri"/>
          <w:noProof/>
          <w:sz w:val="22"/>
          <w:szCs w:val="22"/>
        </w:rPr>
        <w:t>9</w:t>
      </w:r>
      <w:r w:rsidRPr="00417E18">
        <w:rPr>
          <w:rFonts w:cs="Calibri"/>
          <w:noProof/>
          <w:sz w:val="22"/>
          <w:szCs w:val="22"/>
        </w:rPr>
        <w:t xml:space="preserve"> billion (with EUR 56.6 billion coming from private sources). The 10</w:t>
      </w:r>
      <w:r w:rsidR="0BA8410B" w:rsidRPr="00417E18">
        <w:rPr>
          <w:rFonts w:cs="Calibri"/>
          <w:noProof/>
          <w:sz w:val="22"/>
          <w:szCs w:val="22"/>
        </w:rPr>
        <w:t>6</w:t>
      </w:r>
      <w:r w:rsidRPr="00417E18">
        <w:rPr>
          <w:rFonts w:cs="Calibri"/>
          <w:noProof/>
          <w:sz w:val="22"/>
          <w:szCs w:val="22"/>
        </w:rPr>
        <w:t xml:space="preserve"> measures </w:t>
      </w:r>
      <w:r w:rsidR="79E23481" w:rsidRPr="07868930">
        <w:rPr>
          <w:rFonts w:cs="Calibri"/>
          <w:noProof/>
          <w:sz w:val="22"/>
          <w:szCs w:val="22"/>
        </w:rPr>
        <w:t>reported</w:t>
      </w:r>
      <w:r w:rsidRPr="0C856F1D">
        <w:rPr>
          <w:rFonts w:cs="Calibri"/>
          <w:noProof/>
          <w:sz w:val="22"/>
          <w:szCs w:val="22"/>
        </w:rPr>
        <w:t xml:space="preserve"> </w:t>
      </w:r>
      <w:r w:rsidR="007650DC" w:rsidRPr="0C856F1D">
        <w:rPr>
          <w:rFonts w:cs="Calibri"/>
          <w:noProof/>
          <w:sz w:val="22"/>
          <w:szCs w:val="22"/>
        </w:rPr>
        <w:t>mainly</w:t>
      </w:r>
      <w:r w:rsidRPr="00417E18">
        <w:rPr>
          <w:rFonts w:cs="Calibri"/>
          <w:noProof/>
          <w:sz w:val="22"/>
          <w:szCs w:val="22"/>
        </w:rPr>
        <w:t xml:space="preserve"> </w:t>
      </w:r>
      <w:r w:rsidRPr="07868930">
        <w:rPr>
          <w:rFonts w:cs="Calibri"/>
          <w:noProof/>
          <w:sz w:val="22"/>
          <w:szCs w:val="22"/>
        </w:rPr>
        <w:t>focus</w:t>
      </w:r>
      <w:r w:rsidRPr="00417E18">
        <w:rPr>
          <w:rFonts w:cs="Calibri"/>
          <w:noProof/>
          <w:sz w:val="22"/>
          <w:szCs w:val="22"/>
        </w:rPr>
        <w:t xml:space="preserve"> on regulatory actions to facilitate network deployment, as well as financial support for non-viable and commercially unattractive areas and</w:t>
      </w:r>
      <w:r w:rsidR="00797970">
        <w:rPr>
          <w:rFonts w:cs="Calibri"/>
          <w:noProof/>
          <w:sz w:val="22"/>
          <w:szCs w:val="22"/>
        </w:rPr>
        <w:t xml:space="preserve"> </w:t>
      </w:r>
      <w:r w:rsidR="00797970" w:rsidRPr="00797970">
        <w:rPr>
          <w:rFonts w:cs="Calibri"/>
          <w:noProof/>
          <w:sz w:val="22"/>
          <w:szCs w:val="22"/>
        </w:rPr>
        <w:t>strategic infrastructure, including cross-border 5G corridors, submarine cables, and secure backbone networks</w:t>
      </w:r>
      <w:r w:rsidRPr="00417E18">
        <w:rPr>
          <w:rFonts w:cs="Calibri"/>
          <w:noProof/>
          <w:sz w:val="22"/>
          <w:szCs w:val="22"/>
        </w:rPr>
        <w:t xml:space="preserve">. </w:t>
      </w:r>
      <w:r w:rsidR="0040642F" w:rsidRPr="0C856F1D">
        <w:rPr>
          <w:rFonts w:cs="Calibri"/>
          <w:noProof/>
          <w:sz w:val="22"/>
          <w:szCs w:val="22"/>
        </w:rPr>
        <w:t>Around</w:t>
      </w:r>
      <w:r w:rsidRPr="00417E18">
        <w:rPr>
          <w:rFonts w:cs="Calibri"/>
          <w:noProof/>
          <w:sz w:val="22"/>
          <w:szCs w:val="22"/>
        </w:rPr>
        <w:t xml:space="preserve"> one third of the measures are dedicated to each of the two areas. In their roadmap adjustments, Member States maintained a strong emphasis on regulatory actions to facilitate network deployment.</w:t>
      </w:r>
    </w:p>
    <w:p w14:paraId="08E0FF5F" w14:textId="4A6BD71A" w:rsidR="00BD6EC8" w:rsidRDefault="432224CD" w:rsidP="00E74954">
      <w:pPr>
        <w:rPr>
          <w:rFonts w:cs="Calibri"/>
          <w:noProof/>
          <w:sz w:val="22"/>
          <w:szCs w:val="22"/>
        </w:rPr>
      </w:pPr>
      <w:r w:rsidRPr="00417E18">
        <w:rPr>
          <w:rFonts w:cs="Calibri"/>
          <w:noProof/>
          <w:sz w:val="22"/>
          <w:szCs w:val="22"/>
        </w:rPr>
        <w:t xml:space="preserve">In terms of 5G investments, Member States reported investing EUR </w:t>
      </w:r>
      <w:r w:rsidR="1A7818A5" w:rsidRPr="00417E18">
        <w:rPr>
          <w:rFonts w:cs="Calibri"/>
          <w:noProof/>
          <w:sz w:val="22"/>
          <w:szCs w:val="22"/>
        </w:rPr>
        <w:t>6</w:t>
      </w:r>
      <w:r w:rsidRPr="00417E18">
        <w:rPr>
          <w:rFonts w:cs="Calibri"/>
          <w:noProof/>
          <w:sz w:val="22"/>
          <w:szCs w:val="22"/>
        </w:rPr>
        <w:t xml:space="preserve"> billion (with EUR 2.9 billion coming from non-public funds), which accounts for approximately </w:t>
      </w:r>
      <w:r w:rsidR="2954B0E4" w:rsidRPr="00417E18">
        <w:rPr>
          <w:rFonts w:cs="Calibri"/>
          <w:noProof/>
          <w:sz w:val="22"/>
          <w:szCs w:val="22"/>
        </w:rPr>
        <w:t>2</w:t>
      </w:r>
      <w:r w:rsidRPr="00417E18">
        <w:rPr>
          <w:rFonts w:cs="Calibri"/>
          <w:noProof/>
          <w:sz w:val="22"/>
          <w:szCs w:val="22"/>
        </w:rPr>
        <w:t>% of the total budget of their measures. The 39 measures for 5G focus on spectrum management, as well as financial support for non-viable and commercially unattractive areas, and strategic parts of the network. There is equal emphasis on each of the two areas. In their roadmap adjustments, Member States placed a significant focus on increasing financial support for 5G networks.</w:t>
      </w:r>
    </w:p>
    <w:p w14:paraId="6A866702" w14:textId="6EB5A337" w:rsidR="00993A67" w:rsidRDefault="17D1E5FC" w:rsidP="00993A67">
      <w:pPr>
        <w:rPr>
          <w:rFonts w:cs="Calibri"/>
          <w:noProof/>
          <w:sz w:val="22"/>
          <w:szCs w:val="22"/>
          <w:lang w:eastAsia="en-IE"/>
        </w:rPr>
      </w:pPr>
      <w:r w:rsidRPr="002873D0">
        <w:rPr>
          <w:rFonts w:cs="Calibri"/>
          <w:noProof/>
          <w:sz w:val="22"/>
          <w:szCs w:val="22"/>
          <w:lang w:eastAsia="en-IE"/>
        </w:rPr>
        <w:t>However, recent territorial analyses indicate that improvements in connectivity do not translate uniformly into digital performance across regions. While infrastructure gaps persist in rural and peripheral areas, new divides are increasingly driven by differences in digital capabilities, usage patterns and local socio-economic conditions</w:t>
      </w:r>
      <w:r w:rsidR="002873D0">
        <w:rPr>
          <w:rStyle w:val="FootnoteReference"/>
          <w:rFonts w:cs="Calibri"/>
          <w:noProof/>
          <w:sz w:val="22"/>
          <w:szCs w:val="22"/>
          <w:lang w:eastAsia="en-IE"/>
        </w:rPr>
        <w:footnoteReference w:id="33"/>
      </w:r>
      <w:r w:rsidR="00526040">
        <w:rPr>
          <w:rFonts w:cs="Calibri"/>
          <w:noProof/>
          <w:sz w:val="22"/>
          <w:szCs w:val="22"/>
          <w:lang w:eastAsia="en-IE"/>
        </w:rPr>
        <w:t>.</w:t>
      </w:r>
    </w:p>
    <w:p w14:paraId="54D087AC" w14:textId="73DE2215" w:rsidR="002E67A5" w:rsidRPr="00417E18" w:rsidRDefault="2F800D90" w:rsidP="00967EE0">
      <w:pPr>
        <w:pStyle w:val="Heading4"/>
        <w:rPr>
          <w:noProof/>
        </w:rPr>
      </w:pPr>
      <w:bookmarkStart w:id="39" w:name="_Toc226710899"/>
      <w:bookmarkStart w:id="40" w:name="_Toc685895610"/>
      <w:bookmarkStart w:id="41" w:name="_Toc760012303"/>
      <w:r w:rsidRPr="00417E18">
        <w:rPr>
          <w:noProof/>
        </w:rPr>
        <w:t>Fixed access networks</w:t>
      </w:r>
      <w:bookmarkEnd w:id="39"/>
      <w:bookmarkEnd w:id="40"/>
      <w:bookmarkEnd w:id="41"/>
    </w:p>
    <w:p w14:paraId="49017206" w14:textId="0413919B" w:rsidR="00C46363" w:rsidRPr="00417E18" w:rsidRDefault="00B712F2" w:rsidP="00315E4B">
      <w:pPr>
        <w:spacing w:before="0" w:after="240" w:line="259" w:lineRule="auto"/>
        <w:rPr>
          <w:rFonts w:eastAsia="Times New Roman" w:cs="Calibri"/>
          <w:noProof/>
          <w:sz w:val="22"/>
          <w:szCs w:val="22"/>
        </w:rPr>
      </w:pPr>
      <w:r w:rsidRPr="00417E18">
        <w:rPr>
          <w:rFonts w:eastAsia="Times New Roman" w:cs="Calibri"/>
          <w:b/>
          <w:noProof/>
          <w:sz w:val="22"/>
          <w:szCs w:val="22"/>
        </w:rPr>
        <w:t xml:space="preserve">The next </w:t>
      </w:r>
      <w:r w:rsidR="001C2455" w:rsidRPr="0C856F1D">
        <w:rPr>
          <w:rFonts w:eastAsia="Times New Roman" w:cs="Calibri"/>
          <w:b/>
          <w:bCs/>
          <w:noProof/>
          <w:sz w:val="22"/>
          <w:szCs w:val="22"/>
        </w:rPr>
        <w:t>five</w:t>
      </w:r>
      <w:r w:rsidRPr="00417E18">
        <w:rPr>
          <w:rFonts w:eastAsia="Times New Roman" w:cs="Calibri"/>
          <w:b/>
          <w:noProof/>
          <w:sz w:val="22"/>
          <w:szCs w:val="22"/>
        </w:rPr>
        <w:t xml:space="preserve"> years will be characterised by a progressive shift</w:t>
      </w:r>
      <w:r w:rsidR="5DAAAA1E" w:rsidRPr="00417E18" w:rsidDel="00762A7F">
        <w:rPr>
          <w:rFonts w:eastAsia="Times New Roman" w:cs="Calibri"/>
          <w:b/>
          <w:noProof/>
          <w:sz w:val="22"/>
          <w:szCs w:val="22"/>
        </w:rPr>
        <w:t xml:space="preserve"> </w:t>
      </w:r>
      <w:r w:rsidR="00762A7F">
        <w:rPr>
          <w:rFonts w:eastAsia="Times New Roman" w:cs="Calibri"/>
          <w:b/>
          <w:noProof/>
          <w:sz w:val="22"/>
          <w:szCs w:val="22"/>
        </w:rPr>
        <w:t>from the current</w:t>
      </w:r>
      <w:r w:rsidR="00762A7F" w:rsidRPr="00417E18">
        <w:rPr>
          <w:rFonts w:eastAsia="Times New Roman" w:cs="Calibri"/>
          <w:b/>
          <w:noProof/>
          <w:sz w:val="22"/>
          <w:szCs w:val="22"/>
        </w:rPr>
        <w:t xml:space="preserve"> </w:t>
      </w:r>
      <w:r w:rsidRPr="00417E18">
        <w:rPr>
          <w:rFonts w:eastAsia="Times New Roman" w:cs="Calibri"/>
          <w:b/>
          <w:noProof/>
          <w:sz w:val="22"/>
          <w:szCs w:val="22"/>
        </w:rPr>
        <w:t>fixed access networks towards ubiquitous, full-fibre infrastructures</w:t>
      </w:r>
      <w:r w:rsidRPr="00417E18">
        <w:rPr>
          <w:rFonts w:eastAsia="Times New Roman" w:cs="Calibri"/>
          <w:noProof/>
          <w:sz w:val="22"/>
          <w:szCs w:val="22"/>
        </w:rPr>
        <w:t xml:space="preserve"> (from fibre-to-the-premise to fibre-to-the-room), offering symmetrical multi-gigabit speeds, ultra-low latency, high reliability and much lower energy consumption. Fibre </w:t>
      </w:r>
      <w:r w:rsidR="4A1AC095" w:rsidRPr="00417E18">
        <w:rPr>
          <w:rFonts w:eastAsia="Times New Roman" w:cs="Calibri"/>
          <w:noProof/>
          <w:sz w:val="22"/>
          <w:szCs w:val="22"/>
        </w:rPr>
        <w:t>is</w:t>
      </w:r>
      <w:r w:rsidRPr="00417E18">
        <w:rPr>
          <w:rFonts w:eastAsia="Times New Roman" w:cs="Calibri"/>
          <w:noProof/>
          <w:sz w:val="22"/>
          <w:szCs w:val="22"/>
        </w:rPr>
        <w:t xml:space="preserve"> increasingly viewed as a strategic, future-proof asset, capable of supporting data-intensive applications such as cloud and edge computing, AI, </w:t>
      </w:r>
      <w:r w:rsidR="2CDB9568" w:rsidRPr="00417E18">
        <w:rPr>
          <w:rFonts w:eastAsia="Times New Roman" w:cs="Calibri"/>
          <w:noProof/>
          <w:sz w:val="22"/>
          <w:szCs w:val="22"/>
        </w:rPr>
        <w:t xml:space="preserve">Augmented and </w:t>
      </w:r>
      <w:r w:rsidRPr="00417E18">
        <w:rPr>
          <w:rFonts w:eastAsia="Times New Roman" w:cs="Calibri"/>
          <w:noProof/>
          <w:sz w:val="22"/>
          <w:szCs w:val="22"/>
        </w:rPr>
        <w:t>virtual</w:t>
      </w:r>
      <w:r w:rsidR="34C1E26E" w:rsidRPr="00417E18">
        <w:rPr>
          <w:rFonts w:eastAsia="Times New Roman" w:cs="Calibri"/>
          <w:noProof/>
          <w:sz w:val="22"/>
          <w:szCs w:val="22"/>
        </w:rPr>
        <w:t xml:space="preserve"> reality (AR/VR)</w:t>
      </w:r>
      <w:r w:rsidRPr="00417E18">
        <w:rPr>
          <w:rFonts w:eastAsia="Times New Roman" w:cs="Calibri"/>
          <w:noProof/>
          <w:sz w:val="22"/>
          <w:szCs w:val="22"/>
        </w:rPr>
        <w:t xml:space="preserve">, remote healthcare, smart grids and </w:t>
      </w:r>
      <w:r w:rsidR="7C3A7CC5" w:rsidRPr="00417E18">
        <w:rPr>
          <w:rFonts w:eastAsia="Times New Roman" w:cs="Calibri"/>
          <w:noProof/>
          <w:sz w:val="22"/>
          <w:szCs w:val="22"/>
        </w:rPr>
        <w:t xml:space="preserve">cities, </w:t>
      </w:r>
      <w:r w:rsidRPr="00417E18">
        <w:rPr>
          <w:rFonts w:eastAsia="Times New Roman" w:cs="Calibri"/>
          <w:noProof/>
          <w:sz w:val="22"/>
          <w:szCs w:val="22"/>
        </w:rPr>
        <w:t xml:space="preserve">and industrial automation. The growing need for </w:t>
      </w:r>
      <w:r w:rsidRPr="0C856F1D">
        <w:rPr>
          <w:rFonts w:eastAsia="Times New Roman" w:cs="Calibri"/>
          <w:noProof/>
          <w:sz w:val="22"/>
          <w:szCs w:val="22"/>
        </w:rPr>
        <w:t>symmetr</w:t>
      </w:r>
      <w:r w:rsidR="009A640F" w:rsidRPr="0C856F1D">
        <w:rPr>
          <w:rFonts w:eastAsia="Times New Roman" w:cs="Calibri"/>
          <w:noProof/>
          <w:sz w:val="22"/>
          <w:szCs w:val="22"/>
        </w:rPr>
        <w:t>ical capacit</w:t>
      </w:r>
      <w:r w:rsidRPr="0C856F1D">
        <w:rPr>
          <w:rFonts w:eastAsia="Times New Roman" w:cs="Calibri"/>
          <w:noProof/>
          <w:sz w:val="22"/>
          <w:szCs w:val="22"/>
        </w:rPr>
        <w:t>y</w:t>
      </w:r>
      <w:r w:rsidRPr="00417E18">
        <w:rPr>
          <w:rFonts w:eastAsia="Times New Roman" w:cs="Calibri"/>
          <w:noProof/>
          <w:sz w:val="22"/>
          <w:szCs w:val="22"/>
        </w:rPr>
        <w:t xml:space="preserve"> will require significant infrastructural </w:t>
      </w:r>
      <w:r w:rsidRPr="0C856F1D">
        <w:rPr>
          <w:rFonts w:eastAsia="Times New Roman" w:cs="Calibri"/>
          <w:noProof/>
          <w:sz w:val="22"/>
          <w:szCs w:val="22"/>
        </w:rPr>
        <w:t>upgrade</w:t>
      </w:r>
      <w:r w:rsidR="00CC1FD0" w:rsidRPr="0C856F1D">
        <w:rPr>
          <w:rFonts w:eastAsia="Times New Roman" w:cs="Calibri"/>
          <w:noProof/>
          <w:sz w:val="22"/>
          <w:szCs w:val="22"/>
        </w:rPr>
        <w:t>s</w:t>
      </w:r>
      <w:r w:rsidRPr="00417E18">
        <w:rPr>
          <w:rFonts w:eastAsia="Times New Roman" w:cs="Calibri"/>
          <w:noProof/>
          <w:sz w:val="22"/>
          <w:szCs w:val="22"/>
        </w:rPr>
        <w:t xml:space="preserve"> towards </w:t>
      </w:r>
      <w:r w:rsidR="00CC1FD0" w:rsidRPr="0C856F1D">
        <w:rPr>
          <w:rFonts w:eastAsia="Times New Roman" w:cs="Calibri"/>
          <w:noProof/>
          <w:sz w:val="22"/>
          <w:szCs w:val="22"/>
        </w:rPr>
        <w:t xml:space="preserve">large scale </w:t>
      </w:r>
      <w:r w:rsidRPr="00417E18">
        <w:rPr>
          <w:rFonts w:eastAsia="Times New Roman" w:cs="Calibri"/>
          <w:noProof/>
          <w:sz w:val="22"/>
          <w:szCs w:val="22"/>
        </w:rPr>
        <w:t>multi-gigabit architectures</w:t>
      </w:r>
      <w:r w:rsidR="008B09B7" w:rsidRPr="00417E18">
        <w:rPr>
          <w:rFonts w:eastAsia="Times New Roman" w:cs="Calibri"/>
          <w:noProof/>
          <w:sz w:val="22"/>
          <w:szCs w:val="22"/>
        </w:rPr>
        <w:t>.</w:t>
      </w:r>
    </w:p>
    <w:p w14:paraId="67B1B8ED" w14:textId="47F67934" w:rsidR="00B712F2" w:rsidRPr="00417E18" w:rsidRDefault="0097577C" w:rsidP="698D0C64">
      <w:pPr>
        <w:spacing w:before="0" w:after="240" w:line="259" w:lineRule="auto"/>
        <w:rPr>
          <w:rFonts w:eastAsia="Times New Roman" w:cs="Calibri"/>
          <w:b/>
          <w:bCs/>
          <w:noProof/>
          <w:sz w:val="22"/>
          <w:szCs w:val="22"/>
        </w:rPr>
      </w:pPr>
      <w:r w:rsidRPr="07868930">
        <w:rPr>
          <w:rFonts w:eastAsia="Times New Roman" w:cs="Calibri"/>
          <w:noProof/>
          <w:sz w:val="22"/>
          <w:szCs w:val="22"/>
        </w:rPr>
        <w:t>Despite</w:t>
      </w:r>
      <w:r w:rsidR="00773CCD" w:rsidRPr="00417E18">
        <w:rPr>
          <w:rFonts w:eastAsia="Times New Roman" w:cs="Calibri"/>
          <w:noProof/>
          <w:sz w:val="22"/>
          <w:szCs w:val="22"/>
        </w:rPr>
        <w:t xml:space="preserve"> these increasing stakes, </w:t>
      </w:r>
      <w:r w:rsidR="00773CCD" w:rsidRPr="00417E18">
        <w:rPr>
          <w:rFonts w:eastAsia="Times New Roman" w:cs="Calibri"/>
          <w:b/>
          <w:bCs/>
          <w:noProof/>
          <w:sz w:val="22"/>
          <w:szCs w:val="22"/>
        </w:rPr>
        <w:t>the</w:t>
      </w:r>
      <w:r w:rsidR="00B712F2" w:rsidRPr="00417E18">
        <w:rPr>
          <w:rFonts w:eastAsia="Times New Roman" w:cs="Calibri"/>
          <w:b/>
          <w:bCs/>
          <w:noProof/>
          <w:sz w:val="22"/>
          <w:szCs w:val="22"/>
        </w:rPr>
        <w:t xml:space="preserve"> current pace of evolution</w:t>
      </w:r>
      <w:r w:rsidR="00773CCD" w:rsidRPr="00417E18">
        <w:rPr>
          <w:rFonts w:eastAsia="Times New Roman" w:cs="Calibri"/>
          <w:b/>
          <w:bCs/>
          <w:noProof/>
          <w:sz w:val="22"/>
          <w:szCs w:val="22"/>
        </w:rPr>
        <w:t xml:space="preserve"> </w:t>
      </w:r>
      <w:r w:rsidR="0074073A" w:rsidRPr="00417E18">
        <w:rPr>
          <w:rFonts w:eastAsia="Times New Roman" w:cs="Calibri"/>
          <w:b/>
          <w:bCs/>
          <w:noProof/>
          <w:sz w:val="22"/>
          <w:szCs w:val="22"/>
        </w:rPr>
        <w:t xml:space="preserve">in FTTH rollout </w:t>
      </w:r>
      <w:r w:rsidR="00773CCD" w:rsidRPr="00417E18">
        <w:rPr>
          <w:rFonts w:eastAsia="Times New Roman" w:cs="Calibri"/>
          <w:b/>
          <w:bCs/>
          <w:noProof/>
          <w:sz w:val="22"/>
          <w:szCs w:val="22"/>
        </w:rPr>
        <w:t>remains i</w:t>
      </w:r>
      <w:r w:rsidR="00F1208D" w:rsidRPr="00417E18">
        <w:rPr>
          <w:rFonts w:eastAsia="Times New Roman" w:cs="Calibri"/>
          <w:b/>
          <w:bCs/>
          <w:noProof/>
          <w:sz w:val="22"/>
          <w:szCs w:val="22"/>
        </w:rPr>
        <w:t xml:space="preserve">nsufficient. </w:t>
      </w:r>
    </w:p>
    <w:p w14:paraId="4A27F439" w14:textId="33BDB141" w:rsidR="002049FE" w:rsidRPr="00417E18" w:rsidRDefault="1252D6C2" w:rsidP="00944EB1">
      <w:pPr>
        <w:spacing w:before="0" w:after="240" w:line="278" w:lineRule="auto"/>
        <w:rPr>
          <w:rFonts w:eastAsia="Times New Roman" w:cs="Calibri"/>
          <w:noProof/>
          <w:color w:val="000000" w:themeColor="text1"/>
          <w:sz w:val="22"/>
          <w:szCs w:val="22"/>
        </w:rPr>
      </w:pPr>
      <w:r w:rsidRPr="0C856F1D">
        <w:rPr>
          <w:rFonts w:eastAsia="Times New Roman" w:cs="Calibri"/>
          <w:b/>
          <w:noProof/>
          <w:color w:val="000000" w:themeColor="text1"/>
          <w:sz w:val="22"/>
          <w:szCs w:val="22"/>
        </w:rPr>
        <w:t xml:space="preserve">The percentage of households with fibre </w:t>
      </w:r>
      <w:r w:rsidRPr="00417E18">
        <w:rPr>
          <w:rFonts w:eastAsia="Times New Roman" w:cs="Calibri"/>
          <w:b/>
          <w:noProof/>
          <w:color w:val="000000" w:themeColor="text1"/>
          <w:sz w:val="22"/>
          <w:szCs w:val="22"/>
        </w:rPr>
        <w:t>connection rose by 4.9 percentage points</w:t>
      </w:r>
      <w:r w:rsidRPr="00417E18">
        <w:rPr>
          <w:rFonts w:eastAsia="Times New Roman" w:cs="Calibri"/>
          <w:noProof/>
          <w:color w:val="000000" w:themeColor="text1"/>
          <w:sz w:val="22"/>
          <w:szCs w:val="22"/>
        </w:rPr>
        <w:t>, from 69.2% in 2024 to 74.1% in 2025</w:t>
      </w:r>
      <w:r w:rsidR="005C09B7" w:rsidRPr="00417E18">
        <w:rPr>
          <w:rFonts w:eastAsia="Times New Roman" w:cs="Calibri"/>
          <w:noProof/>
          <w:color w:val="000000" w:themeColor="text1"/>
          <w:sz w:val="22"/>
          <w:szCs w:val="22"/>
        </w:rPr>
        <w:t>,</w:t>
      </w:r>
      <w:r w:rsidRPr="00417E18">
        <w:rPr>
          <w:rFonts w:eastAsia="Times New Roman" w:cs="Calibri"/>
          <w:noProof/>
          <w:color w:val="000000" w:themeColor="text1"/>
          <w:sz w:val="22"/>
          <w:szCs w:val="22"/>
        </w:rPr>
        <w:t xml:space="preserve"> represent</w:t>
      </w:r>
      <w:r w:rsidR="005C09B7" w:rsidRPr="00417E18">
        <w:rPr>
          <w:rFonts w:eastAsia="Times New Roman" w:cs="Calibri"/>
          <w:noProof/>
          <w:color w:val="000000" w:themeColor="text1"/>
          <w:sz w:val="22"/>
          <w:szCs w:val="22"/>
        </w:rPr>
        <w:t>ing</w:t>
      </w:r>
      <w:r w:rsidRPr="00417E18">
        <w:rPr>
          <w:rFonts w:eastAsia="Times New Roman" w:cs="Calibri"/>
          <w:noProof/>
          <w:color w:val="000000" w:themeColor="text1"/>
          <w:sz w:val="22"/>
          <w:szCs w:val="22"/>
        </w:rPr>
        <w:t xml:space="preserve"> a </w:t>
      </w:r>
      <w:r w:rsidRPr="00417E18">
        <w:rPr>
          <w:rFonts w:eastAsia="Times New Roman" w:cs="Calibri"/>
          <w:b/>
          <w:noProof/>
          <w:color w:val="000000" w:themeColor="text1"/>
          <w:sz w:val="22"/>
          <w:szCs w:val="22"/>
        </w:rPr>
        <w:t>year-on-year increase of 7.1%</w:t>
      </w:r>
      <w:r w:rsidRPr="00417E18">
        <w:rPr>
          <w:rFonts w:eastAsia="Times New Roman" w:cs="Calibri"/>
          <w:noProof/>
          <w:color w:val="000000" w:themeColor="text1"/>
          <w:sz w:val="22"/>
          <w:szCs w:val="22"/>
        </w:rPr>
        <w:t>.</w:t>
      </w:r>
      <w:r w:rsidR="00E94154" w:rsidRPr="00417E18">
        <w:rPr>
          <w:rFonts w:eastAsia="Times New Roman" w:cs="Calibri"/>
          <w:noProof/>
          <w:color w:val="000000" w:themeColor="text1"/>
          <w:sz w:val="22"/>
          <w:szCs w:val="22"/>
        </w:rPr>
        <w:t xml:space="preserve"> </w:t>
      </w:r>
      <w:r w:rsidRPr="00417E18">
        <w:rPr>
          <w:rFonts w:eastAsia="Times New Roman" w:cs="Calibri"/>
          <w:noProof/>
          <w:color w:val="000000" w:themeColor="text1"/>
          <w:sz w:val="22"/>
          <w:szCs w:val="22"/>
        </w:rPr>
        <w:t xml:space="preserve">According to the forecast along the baseline trajectory, </w:t>
      </w:r>
      <w:r w:rsidRPr="00417E18">
        <w:rPr>
          <w:rFonts w:eastAsia="Times New Roman" w:cs="Calibri"/>
          <w:b/>
          <w:noProof/>
          <w:color w:val="000000" w:themeColor="text1"/>
          <w:sz w:val="22"/>
          <w:szCs w:val="22"/>
        </w:rPr>
        <w:t>90.1% of the target is expected to be achieved by 2030</w:t>
      </w:r>
      <w:r w:rsidRPr="00417E18">
        <w:rPr>
          <w:rFonts w:eastAsia="Times New Roman" w:cs="Calibri"/>
          <w:noProof/>
          <w:color w:val="000000" w:themeColor="text1"/>
          <w:sz w:val="22"/>
          <w:szCs w:val="22"/>
        </w:rPr>
        <w:t xml:space="preserve"> (</w:t>
      </w:r>
      <w:r w:rsidR="00E04CB9" w:rsidRPr="00C03894">
        <w:rPr>
          <w:rFonts w:eastAsia="Times New Roman" w:cs="Calibri"/>
          <w:noProof/>
          <w:color w:val="000000" w:themeColor="text1"/>
          <w:sz w:val="22"/>
          <w:szCs w:val="22"/>
        </w:rPr>
        <w:fldChar w:fldCharType="begin"/>
      </w:r>
      <w:r w:rsidR="00E04CB9" w:rsidRPr="00C03894">
        <w:rPr>
          <w:rFonts w:eastAsia="Times New Roman" w:cs="Calibri"/>
          <w:noProof/>
          <w:color w:val="000000" w:themeColor="text1"/>
          <w:sz w:val="22"/>
          <w:szCs w:val="22"/>
        </w:rPr>
        <w:instrText xml:space="preserve"> REF _Ref229039474 \h </w:instrText>
      </w:r>
      <w:r w:rsidR="00C03894">
        <w:rPr>
          <w:rFonts w:eastAsia="Times New Roman" w:cs="Calibri"/>
          <w:noProof/>
          <w:color w:val="000000" w:themeColor="text1"/>
          <w:sz w:val="22"/>
          <w:szCs w:val="22"/>
        </w:rPr>
        <w:instrText xml:space="preserve"> \* MERGEFORMAT </w:instrText>
      </w:r>
      <w:r w:rsidR="00E04CB9" w:rsidRPr="00C03894">
        <w:rPr>
          <w:rFonts w:eastAsia="Times New Roman" w:cs="Calibri"/>
          <w:noProof/>
          <w:color w:val="000000" w:themeColor="text1"/>
          <w:sz w:val="22"/>
          <w:szCs w:val="22"/>
        </w:rPr>
      </w:r>
      <w:r w:rsidR="00E04CB9" w:rsidRPr="00C03894">
        <w:rPr>
          <w:rFonts w:eastAsia="Times New Roman" w:cs="Calibri"/>
          <w:noProof/>
          <w:color w:val="000000" w:themeColor="text1"/>
          <w:sz w:val="22"/>
          <w:szCs w:val="22"/>
        </w:rPr>
        <w:fldChar w:fldCharType="separate"/>
      </w:r>
      <w:r w:rsidR="00E04CB9" w:rsidRPr="00C03894">
        <w:rPr>
          <w:noProof/>
          <w:sz w:val="22"/>
          <w:szCs w:val="22"/>
          <w:u w:val="single"/>
        </w:rPr>
        <w:t>Figure 4</w:t>
      </w:r>
      <w:r w:rsidR="00E04CB9" w:rsidRPr="00C03894">
        <w:rPr>
          <w:rFonts w:eastAsia="Times New Roman" w:cs="Calibri"/>
          <w:noProof/>
          <w:color w:val="000000" w:themeColor="text1"/>
          <w:sz w:val="22"/>
          <w:szCs w:val="22"/>
        </w:rPr>
        <w:fldChar w:fldCharType="end"/>
      </w:r>
      <w:r w:rsidRPr="00417E18">
        <w:rPr>
          <w:rFonts w:eastAsia="Times New Roman" w:cs="Calibri"/>
          <w:noProof/>
          <w:color w:val="000000" w:themeColor="text1"/>
          <w:sz w:val="22"/>
          <w:szCs w:val="22"/>
        </w:rPr>
        <w:t xml:space="preserve">). </w:t>
      </w:r>
      <w:r w:rsidRPr="00417E18">
        <w:rPr>
          <w:rFonts w:eastAsia="Times New Roman" w:cs="Calibri"/>
          <w:b/>
          <w:noProof/>
          <w:color w:val="000000" w:themeColor="text1"/>
          <w:sz w:val="22"/>
          <w:szCs w:val="22"/>
        </w:rPr>
        <w:t>In 2025,</w:t>
      </w:r>
      <w:r w:rsidRPr="00417E18">
        <w:rPr>
          <w:rFonts w:eastAsia="Times New Roman" w:cs="Calibri"/>
          <w:noProof/>
          <w:color w:val="000000" w:themeColor="text1"/>
          <w:sz w:val="22"/>
          <w:szCs w:val="22"/>
        </w:rPr>
        <w:t xml:space="preserve"> </w:t>
      </w:r>
      <w:r w:rsidRPr="00417E18">
        <w:rPr>
          <w:rFonts w:eastAsia="Times New Roman" w:cs="Calibri"/>
          <w:b/>
          <w:noProof/>
          <w:color w:val="000000" w:themeColor="text1"/>
          <w:sz w:val="22"/>
          <w:szCs w:val="22"/>
        </w:rPr>
        <w:t xml:space="preserve">the FTTP coverage stood at about 80% of the ideal value along the digital decade trajectory </w:t>
      </w:r>
      <w:r w:rsidRPr="00417E18">
        <w:rPr>
          <w:rFonts w:eastAsia="Times New Roman" w:cs="Calibri"/>
          <w:noProof/>
          <w:color w:val="000000" w:themeColor="text1"/>
          <w:sz w:val="22"/>
          <w:szCs w:val="22"/>
        </w:rPr>
        <w:t xml:space="preserve">(74.1% instead of 94.0%). </w:t>
      </w:r>
      <w:r w:rsidR="00E94154" w:rsidRPr="00417E18">
        <w:rPr>
          <w:rFonts w:eastAsia="Times New Roman" w:cs="Calibri"/>
          <w:noProof/>
          <w:color w:val="000000" w:themeColor="text1"/>
          <w:sz w:val="22"/>
          <w:szCs w:val="22"/>
        </w:rPr>
        <w:t>T</w:t>
      </w:r>
      <w:r w:rsidRPr="00417E18">
        <w:rPr>
          <w:rFonts w:eastAsia="Times New Roman" w:cs="Calibri"/>
          <w:noProof/>
          <w:color w:val="000000" w:themeColor="text1"/>
          <w:sz w:val="22"/>
          <w:szCs w:val="22"/>
        </w:rPr>
        <w:t xml:space="preserve">he full target </w:t>
      </w:r>
      <w:r w:rsidR="12127DF6" w:rsidRPr="00417E18">
        <w:rPr>
          <w:rFonts w:eastAsia="Times New Roman" w:cs="Calibri"/>
          <w:noProof/>
          <w:color w:val="000000" w:themeColor="text1"/>
          <w:sz w:val="22"/>
          <w:szCs w:val="22"/>
        </w:rPr>
        <w:t>-</w:t>
      </w:r>
      <w:r w:rsidRPr="00417E18">
        <w:rPr>
          <w:rFonts w:eastAsia="Times New Roman" w:cs="Calibri"/>
          <w:noProof/>
          <w:color w:val="000000" w:themeColor="text1"/>
          <w:sz w:val="22"/>
          <w:szCs w:val="22"/>
        </w:rPr>
        <w:t xml:space="preserve"> 100% of households covered </w:t>
      </w:r>
      <w:r w:rsidR="12127DF6" w:rsidRPr="00417E18">
        <w:rPr>
          <w:rFonts w:eastAsia="Times New Roman" w:cs="Calibri"/>
          <w:noProof/>
          <w:color w:val="000000" w:themeColor="text1"/>
          <w:sz w:val="22"/>
          <w:szCs w:val="22"/>
        </w:rPr>
        <w:t>-</w:t>
      </w:r>
      <w:r w:rsidRPr="00417E18">
        <w:rPr>
          <w:rFonts w:eastAsia="Times New Roman" w:cs="Calibri"/>
          <w:noProof/>
          <w:color w:val="000000" w:themeColor="text1"/>
          <w:sz w:val="22"/>
          <w:szCs w:val="22"/>
        </w:rPr>
        <w:t xml:space="preserve"> is forecast to be reached only in </w:t>
      </w:r>
      <w:r w:rsidRPr="00417E18">
        <w:rPr>
          <w:rFonts w:eastAsia="Times New Roman" w:cs="Calibri"/>
          <w:b/>
          <w:noProof/>
          <w:color w:val="000000" w:themeColor="text1"/>
          <w:sz w:val="22"/>
          <w:szCs w:val="22"/>
        </w:rPr>
        <w:t>2050</w:t>
      </w:r>
      <w:r w:rsidRPr="00417E18">
        <w:rPr>
          <w:rFonts w:eastAsia="Times New Roman" w:cs="Calibri"/>
          <w:noProof/>
          <w:color w:val="000000" w:themeColor="text1"/>
          <w:sz w:val="22"/>
          <w:szCs w:val="22"/>
        </w:rPr>
        <w:t xml:space="preserve"> if no further actions are taken. </w:t>
      </w:r>
      <w:r w:rsidRPr="00417E18">
        <w:rPr>
          <w:rFonts w:eastAsia="Times New Roman" w:cs="Calibri"/>
          <w:b/>
          <w:noProof/>
          <w:color w:val="000000" w:themeColor="text1"/>
          <w:sz w:val="22"/>
          <w:szCs w:val="22"/>
        </w:rPr>
        <w:t>Only 62.6% of households living in rural areas were reached by fibre in 2025, up from 58.8% in 2024 (+6.5%).</w:t>
      </w:r>
    </w:p>
    <w:p w14:paraId="0C4730C5" w14:textId="77777777" w:rsidR="004B66EB" w:rsidRDefault="0A459C07" w:rsidP="004B66EB">
      <w:pPr>
        <w:keepNext/>
        <w:spacing w:after="120" w:line="240" w:lineRule="auto"/>
        <w:rPr>
          <w:noProof/>
        </w:rPr>
      </w:pPr>
      <w:r w:rsidRPr="00417E18">
        <w:rPr>
          <w:noProof/>
          <w:lang w:eastAsia="en-GB"/>
        </w:rPr>
        <w:drawing>
          <wp:inline distT="0" distB="0" distL="0" distR="0" wp14:anchorId="0A772408" wp14:editId="2637E8CF">
            <wp:extent cx="6011504" cy="2271511"/>
            <wp:effectExtent l="0" t="0" r="0" b="0"/>
            <wp:docPr id="1814342290" name="drawing" title="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42290" name="Picture 1814342290"/>
                    <pic:cNvPicPr/>
                  </pic:nvPicPr>
                  <pic:blipFill>
                    <a:blip r:embed="rId26">
                      <a:extLst>
                        <a:ext uri="{28A0092B-C50C-407E-A947-70E740481C1C}">
                          <a14:useLocalDpi xmlns:a14="http://schemas.microsoft.com/office/drawing/2010/main"/>
                        </a:ext>
                      </a:extLst>
                    </a:blip>
                    <a:stretch>
                      <a:fillRect/>
                    </a:stretch>
                  </pic:blipFill>
                  <pic:spPr>
                    <a:xfrm>
                      <a:off x="0" y="0"/>
                      <a:ext cx="6011504" cy="2271511"/>
                    </a:xfrm>
                    <a:prstGeom prst="rect">
                      <a:avLst/>
                    </a:prstGeom>
                  </pic:spPr>
                </pic:pic>
              </a:graphicData>
            </a:graphic>
          </wp:inline>
        </w:drawing>
      </w:r>
    </w:p>
    <w:p w14:paraId="3303F98E" w14:textId="3CCF808D" w:rsidR="002E67A5" w:rsidRPr="00417E18" w:rsidRDefault="004B66EB" w:rsidP="004B66EB">
      <w:pPr>
        <w:pStyle w:val="Caption"/>
        <w:rPr>
          <w:noProof/>
        </w:rPr>
      </w:pPr>
      <w:bookmarkStart w:id="42" w:name="_Ref229039474"/>
      <w:r w:rsidRPr="004B66EB">
        <w:rPr>
          <w:noProof/>
          <w:u w:val="single"/>
        </w:rPr>
        <w:t xml:space="preserve">Figure </w:t>
      </w:r>
      <w:r w:rsidRPr="004B66EB">
        <w:rPr>
          <w:noProof/>
          <w:u w:val="single"/>
        </w:rPr>
        <w:fldChar w:fldCharType="begin"/>
      </w:r>
      <w:r w:rsidRPr="004B66EB">
        <w:rPr>
          <w:noProof/>
          <w:u w:val="single"/>
        </w:rPr>
        <w:instrText xml:space="preserve"> SEQ Figure \* ARABIC </w:instrText>
      </w:r>
      <w:r w:rsidRPr="004B66EB">
        <w:rPr>
          <w:noProof/>
          <w:u w:val="single"/>
        </w:rPr>
        <w:fldChar w:fldCharType="separate"/>
      </w:r>
      <w:r>
        <w:rPr>
          <w:noProof/>
          <w:u w:val="single"/>
        </w:rPr>
        <w:t>4</w:t>
      </w:r>
      <w:r w:rsidRPr="004B66EB">
        <w:rPr>
          <w:noProof/>
          <w:u w:val="single"/>
        </w:rPr>
        <w:fldChar w:fldCharType="end"/>
      </w:r>
      <w:bookmarkEnd w:id="42"/>
      <w:r w:rsidR="007B6296" w:rsidRPr="007B6296">
        <w:rPr>
          <w:noProof/>
        </w:rPr>
        <w:t>:</w:t>
      </w:r>
      <w:r>
        <w:rPr>
          <w:noProof/>
        </w:rPr>
        <w:t xml:space="preserve"> </w:t>
      </w:r>
      <w:r w:rsidRPr="00E97A93">
        <w:rPr>
          <w:noProof/>
        </w:rPr>
        <w:t>FTTP coverage in the EU. Historical data, Digital Decade (DD) trajectory and revised baseline trajectory towards 2030</w:t>
      </w:r>
      <w:r w:rsidR="005B1E39">
        <w:rPr>
          <w:noProof/>
        </w:rPr>
        <w:t>.</w:t>
      </w:r>
    </w:p>
    <w:p w14:paraId="18F291B8" w14:textId="64C1786B" w:rsidR="00B712F2" w:rsidRPr="00417E18" w:rsidRDefault="7C01E06D" w:rsidP="00944EB1">
      <w:pPr>
        <w:pStyle w:val="Text3"/>
        <w:spacing w:before="0" w:after="60" w:line="278" w:lineRule="auto"/>
        <w:ind w:left="0"/>
        <w:rPr>
          <w:rFonts w:ascii="Calibri" w:eastAsia="Times New Roman" w:hAnsi="Calibri" w:cs="Calibri"/>
          <w:noProof/>
          <w:color w:val="000000" w:themeColor="text1"/>
          <w:sz w:val="22"/>
          <w:szCs w:val="22"/>
        </w:rPr>
      </w:pPr>
      <w:r w:rsidRPr="00417E18">
        <w:rPr>
          <w:rFonts w:ascii="Calibri" w:eastAsia="Times New Roman" w:hAnsi="Calibri" w:cs="Calibri"/>
          <w:b/>
          <w:noProof/>
          <w:sz w:val="22"/>
          <w:szCs w:val="22"/>
        </w:rPr>
        <w:t xml:space="preserve">Take-up rates for high-speed fibre (FTTH) </w:t>
      </w:r>
      <w:r w:rsidR="009F7018" w:rsidRPr="07868930">
        <w:rPr>
          <w:rFonts w:ascii="Calibri" w:eastAsia="Times New Roman" w:hAnsi="Calibri" w:cs="Calibri"/>
          <w:noProof/>
          <w:sz w:val="22"/>
          <w:szCs w:val="22"/>
        </w:rPr>
        <w:t xml:space="preserve">also </w:t>
      </w:r>
      <w:r w:rsidRPr="00417E18">
        <w:rPr>
          <w:rFonts w:ascii="Calibri" w:eastAsia="Times New Roman" w:hAnsi="Calibri" w:cs="Calibri"/>
          <w:b/>
          <w:noProof/>
          <w:sz w:val="22"/>
          <w:szCs w:val="22"/>
        </w:rPr>
        <w:t xml:space="preserve">vary significantly across </w:t>
      </w:r>
      <w:r w:rsidR="00E64D69" w:rsidRPr="07868930">
        <w:rPr>
          <w:rFonts w:ascii="Calibri" w:eastAsia="Times New Roman" w:hAnsi="Calibri" w:cs="Calibri"/>
          <w:b/>
          <w:bCs/>
          <w:noProof/>
          <w:sz w:val="22"/>
          <w:szCs w:val="22"/>
        </w:rPr>
        <w:t>Member</w:t>
      </w:r>
      <w:r w:rsidR="00E64D69" w:rsidRPr="0C856F1D">
        <w:rPr>
          <w:rFonts w:ascii="Calibri" w:eastAsia="Times New Roman" w:hAnsi="Calibri" w:cs="Calibri"/>
          <w:b/>
          <w:bCs/>
          <w:noProof/>
          <w:sz w:val="22"/>
          <w:szCs w:val="22"/>
        </w:rPr>
        <w:t xml:space="preserve"> States</w:t>
      </w:r>
      <w:r w:rsidRPr="00417E18">
        <w:rPr>
          <w:rFonts w:ascii="Calibri" w:eastAsia="Times New Roman" w:hAnsi="Calibri" w:cs="Calibri"/>
          <w:b/>
          <w:noProof/>
          <w:sz w:val="22"/>
          <w:szCs w:val="22"/>
        </w:rPr>
        <w:t>,</w:t>
      </w:r>
      <w:r w:rsidRPr="00417E18">
        <w:rPr>
          <w:rFonts w:ascii="Calibri" w:eastAsia="Times New Roman" w:hAnsi="Calibri" w:cs="Calibri"/>
          <w:noProof/>
          <w:sz w:val="22"/>
          <w:szCs w:val="22"/>
        </w:rPr>
        <w:t xml:space="preserve"> remaining </w:t>
      </w:r>
      <w:r w:rsidR="3EF0782E" w:rsidRPr="00417E18">
        <w:rPr>
          <w:rFonts w:ascii="Calibri" w:eastAsia="Times New Roman" w:hAnsi="Calibri" w:cs="Calibri"/>
          <w:noProof/>
          <w:sz w:val="22"/>
          <w:szCs w:val="22"/>
        </w:rPr>
        <w:t>below</w:t>
      </w:r>
      <w:r w:rsidR="3870A6DF" w:rsidRPr="00417E18">
        <w:rPr>
          <w:rFonts w:ascii="Calibri" w:eastAsia="Times New Roman" w:hAnsi="Calibri" w:cs="Calibri"/>
          <w:noProof/>
          <w:sz w:val="22"/>
          <w:szCs w:val="22"/>
        </w:rPr>
        <w:t xml:space="preserve"> </w:t>
      </w:r>
      <w:r w:rsidR="3EF0782E" w:rsidRPr="00417E18">
        <w:rPr>
          <w:rFonts w:ascii="Calibri" w:eastAsia="Times New Roman" w:hAnsi="Calibri" w:cs="Calibri"/>
          <w:noProof/>
          <w:sz w:val="22"/>
          <w:szCs w:val="22"/>
        </w:rPr>
        <w:t>30%</w:t>
      </w:r>
      <w:r w:rsidR="609E3129" w:rsidRPr="00417E18">
        <w:rPr>
          <w:rFonts w:ascii="Calibri" w:eastAsia="Times New Roman" w:hAnsi="Calibri" w:cs="Calibri"/>
          <w:noProof/>
          <w:sz w:val="22"/>
          <w:szCs w:val="22"/>
        </w:rPr>
        <w:t xml:space="preserve"> </w:t>
      </w:r>
      <w:r w:rsidRPr="00417E18">
        <w:rPr>
          <w:rFonts w:ascii="Calibri" w:eastAsia="Times New Roman" w:hAnsi="Calibri" w:cs="Calibri"/>
          <w:noProof/>
          <w:sz w:val="22"/>
          <w:szCs w:val="22"/>
        </w:rPr>
        <w:t xml:space="preserve">in some </w:t>
      </w:r>
      <w:r w:rsidR="00E64D69" w:rsidRPr="0C856F1D">
        <w:rPr>
          <w:rFonts w:ascii="Calibri" w:eastAsia="Times New Roman" w:hAnsi="Calibri" w:cs="Calibri"/>
          <w:noProof/>
          <w:sz w:val="22"/>
          <w:szCs w:val="22"/>
        </w:rPr>
        <w:t xml:space="preserve">of </w:t>
      </w:r>
      <w:r w:rsidR="00E64D69" w:rsidRPr="07868930">
        <w:rPr>
          <w:rFonts w:ascii="Calibri" w:eastAsia="Times New Roman" w:hAnsi="Calibri" w:cs="Calibri"/>
          <w:noProof/>
          <w:sz w:val="22"/>
          <w:szCs w:val="22"/>
        </w:rPr>
        <w:t>them</w:t>
      </w:r>
      <w:r w:rsidR="3EF0782E" w:rsidRPr="07868930">
        <w:rPr>
          <w:rFonts w:ascii="Calibri" w:eastAsia="Times New Roman" w:hAnsi="Calibri" w:cs="Calibri"/>
          <w:noProof/>
          <w:sz w:val="22"/>
          <w:szCs w:val="22"/>
        </w:rPr>
        <w:t>.</w:t>
      </w:r>
      <w:r w:rsidRPr="00417E18">
        <w:rPr>
          <w:rFonts w:ascii="Calibri" w:eastAsia="Times New Roman" w:hAnsi="Calibri" w:cs="Calibri"/>
          <w:noProof/>
          <w:sz w:val="22"/>
          <w:szCs w:val="22"/>
        </w:rPr>
        <w:t xml:space="preserve"> Low adoption rates have reduced operators’ returns on investment, particularly for smaller fibre providers without an established customer base, consequently </w:t>
      </w:r>
      <w:r w:rsidR="50F22B22" w:rsidRPr="00417E18">
        <w:rPr>
          <w:rFonts w:ascii="Calibri" w:eastAsia="Times New Roman" w:hAnsi="Calibri" w:cs="Calibri"/>
          <w:noProof/>
          <w:sz w:val="22"/>
          <w:szCs w:val="22"/>
        </w:rPr>
        <w:t>reducing incentives fo</w:t>
      </w:r>
      <w:r w:rsidR="0C7896BA" w:rsidRPr="00417E18">
        <w:rPr>
          <w:rFonts w:ascii="Calibri" w:eastAsia="Times New Roman" w:hAnsi="Calibri" w:cs="Calibri"/>
          <w:noProof/>
          <w:sz w:val="22"/>
          <w:szCs w:val="22"/>
        </w:rPr>
        <w:t>r</w:t>
      </w:r>
      <w:r w:rsidR="50F22B22" w:rsidRPr="00417E18">
        <w:rPr>
          <w:rFonts w:ascii="Calibri" w:eastAsia="Times New Roman" w:hAnsi="Calibri" w:cs="Calibri"/>
          <w:noProof/>
          <w:sz w:val="22"/>
          <w:szCs w:val="22"/>
        </w:rPr>
        <w:t xml:space="preserve"> further investments</w:t>
      </w:r>
      <w:r w:rsidR="3EF0782E" w:rsidRPr="00417E18">
        <w:rPr>
          <w:rFonts w:ascii="Calibri" w:eastAsia="Times New Roman" w:hAnsi="Calibri" w:cs="Calibri"/>
          <w:noProof/>
          <w:sz w:val="22"/>
          <w:szCs w:val="22"/>
        </w:rPr>
        <w:t>.</w:t>
      </w:r>
      <w:r w:rsidR="31DB4DD5" w:rsidRPr="00417E18">
        <w:rPr>
          <w:rFonts w:ascii="Calibri" w:eastAsia="Times New Roman" w:hAnsi="Calibri" w:cs="Calibri"/>
          <w:noProof/>
          <w:sz w:val="22"/>
          <w:szCs w:val="22"/>
        </w:rPr>
        <w:t xml:space="preserve"> </w:t>
      </w:r>
    </w:p>
    <w:p w14:paraId="27207927" w14:textId="0F86FE14" w:rsidR="00B712F2" w:rsidRPr="00417E18" w:rsidRDefault="00B712F2" w:rsidP="00944EB1">
      <w:pPr>
        <w:pStyle w:val="Text3"/>
        <w:spacing w:before="0" w:after="60" w:line="278" w:lineRule="auto"/>
        <w:ind w:left="0"/>
        <w:rPr>
          <w:rFonts w:ascii="Calibri" w:eastAsia="Times New Roman" w:hAnsi="Calibri" w:cs="Calibri"/>
          <w:noProof/>
          <w:color w:val="000000" w:themeColor="text1"/>
          <w:sz w:val="22"/>
          <w:szCs w:val="22"/>
        </w:rPr>
      </w:pPr>
      <w:r w:rsidRPr="00417E18">
        <w:rPr>
          <w:rFonts w:ascii="Calibri" w:eastAsia="Times New Roman" w:hAnsi="Calibri" w:cs="Calibri"/>
          <w:noProof/>
          <w:color w:val="000000" w:themeColor="text1"/>
          <w:sz w:val="22"/>
          <w:szCs w:val="22"/>
        </w:rPr>
        <w:t>To accelerate the transition from copper to fibre, the Digital Networks Act proposal</w:t>
      </w:r>
      <w:r w:rsidR="00F74094" w:rsidRPr="00417E18">
        <w:rPr>
          <w:rStyle w:val="FootnoteReference"/>
          <w:rFonts w:ascii="Calibri" w:eastAsia="Times New Roman" w:hAnsi="Calibri" w:cs="Calibri"/>
          <w:noProof/>
          <w:color w:val="000000" w:themeColor="text1"/>
          <w:sz w:val="22"/>
          <w:szCs w:val="22"/>
        </w:rPr>
        <w:footnoteReference w:id="34"/>
      </w:r>
      <w:r w:rsidR="15408F22" w:rsidRPr="00417E18">
        <w:rPr>
          <w:rFonts w:ascii="Calibri" w:eastAsia="Times New Roman" w:hAnsi="Calibri" w:cs="Calibri"/>
          <w:noProof/>
          <w:color w:val="000000" w:themeColor="text1"/>
          <w:sz w:val="22"/>
          <w:szCs w:val="22"/>
        </w:rPr>
        <w:t xml:space="preserve"> </w:t>
      </w:r>
      <w:r w:rsidRPr="00417E18">
        <w:rPr>
          <w:rFonts w:ascii="Calibri" w:eastAsia="Times New Roman" w:hAnsi="Calibri" w:cs="Calibri"/>
          <w:noProof/>
          <w:color w:val="000000" w:themeColor="text1"/>
          <w:sz w:val="22"/>
          <w:szCs w:val="22"/>
        </w:rPr>
        <w:t xml:space="preserve">sets </w:t>
      </w:r>
      <w:r w:rsidRPr="00417E18">
        <w:rPr>
          <w:rFonts w:ascii="Calibri" w:eastAsia="Times New Roman" w:hAnsi="Calibri" w:cs="Calibri"/>
          <w:b/>
          <w:noProof/>
          <w:color w:val="000000" w:themeColor="text1"/>
          <w:sz w:val="22"/>
          <w:szCs w:val="22"/>
        </w:rPr>
        <w:t>an EU-wide copper switch-off objective for 203</w:t>
      </w:r>
      <w:r w:rsidR="009117FF">
        <w:rPr>
          <w:rFonts w:ascii="Calibri" w:eastAsia="Times New Roman" w:hAnsi="Calibri" w:cs="Calibri"/>
          <w:b/>
          <w:noProof/>
          <w:color w:val="000000" w:themeColor="text1"/>
          <w:sz w:val="22"/>
          <w:szCs w:val="22"/>
        </w:rPr>
        <w:t>5</w:t>
      </w:r>
      <w:r w:rsidRPr="00417E18">
        <w:rPr>
          <w:rFonts w:ascii="Calibri" w:eastAsia="Times New Roman" w:hAnsi="Calibri" w:cs="Calibri"/>
          <w:noProof/>
          <w:color w:val="000000" w:themeColor="text1"/>
          <w:sz w:val="22"/>
          <w:szCs w:val="22"/>
        </w:rPr>
        <w:t xml:space="preserve">. This </w:t>
      </w:r>
      <w:r w:rsidR="00FF5B1C" w:rsidRPr="00417E18">
        <w:rPr>
          <w:rFonts w:ascii="Calibri" w:eastAsia="Times New Roman" w:hAnsi="Calibri" w:cs="Calibri"/>
          <w:noProof/>
          <w:color w:val="000000" w:themeColor="text1"/>
          <w:sz w:val="22"/>
          <w:szCs w:val="22"/>
        </w:rPr>
        <w:t>would however be</w:t>
      </w:r>
      <w:r w:rsidRPr="00417E18">
        <w:rPr>
          <w:rFonts w:ascii="Calibri" w:eastAsia="Times New Roman" w:hAnsi="Calibri" w:cs="Calibri"/>
          <w:noProof/>
          <w:color w:val="000000" w:themeColor="text1"/>
          <w:sz w:val="22"/>
          <w:szCs w:val="22"/>
        </w:rPr>
        <w:t xml:space="preserve"> subject to strict conditions on fibre coverage (95%) and availability of comparable retail offers. The proposal is also accompanied by several safeguards and supporting regulatory measures</w:t>
      </w:r>
      <w:r w:rsidR="3286BF5E" w:rsidRPr="00417E18">
        <w:rPr>
          <w:rFonts w:ascii="Calibri" w:eastAsia="Times New Roman" w:hAnsi="Calibri" w:cs="Calibri"/>
          <w:noProof/>
          <w:color w:val="000000" w:themeColor="text1"/>
          <w:sz w:val="22"/>
          <w:szCs w:val="22"/>
        </w:rPr>
        <w:t xml:space="preserve">, </w:t>
      </w:r>
      <w:r w:rsidR="74682D0D" w:rsidRPr="00417E18">
        <w:rPr>
          <w:rFonts w:ascii="Calibri" w:eastAsia="Times New Roman" w:hAnsi="Calibri" w:cs="Calibri"/>
          <w:noProof/>
          <w:color w:val="000000" w:themeColor="text1"/>
          <w:sz w:val="22"/>
          <w:szCs w:val="22"/>
        </w:rPr>
        <w:t>regarding, in particular,</w:t>
      </w:r>
      <w:r w:rsidR="3286BF5E" w:rsidRPr="00417E18">
        <w:rPr>
          <w:rFonts w:ascii="Calibri" w:eastAsia="Times New Roman" w:hAnsi="Calibri" w:cs="Calibri"/>
          <w:noProof/>
          <w:color w:val="000000" w:themeColor="text1"/>
          <w:sz w:val="22"/>
          <w:szCs w:val="22"/>
        </w:rPr>
        <w:t xml:space="preserve"> the deployment of the last part of the </w:t>
      </w:r>
      <w:r w:rsidR="7327D309" w:rsidRPr="00417E18">
        <w:rPr>
          <w:rFonts w:ascii="Calibri" w:eastAsia="Times New Roman" w:hAnsi="Calibri" w:cs="Calibri"/>
          <w:noProof/>
          <w:color w:val="000000" w:themeColor="text1"/>
          <w:sz w:val="22"/>
          <w:szCs w:val="22"/>
        </w:rPr>
        <w:t>fibre</w:t>
      </w:r>
      <w:r w:rsidR="3286BF5E" w:rsidRPr="00417E18">
        <w:rPr>
          <w:rFonts w:ascii="Calibri" w:eastAsia="Times New Roman" w:hAnsi="Calibri" w:cs="Calibri"/>
          <w:noProof/>
          <w:color w:val="000000" w:themeColor="text1"/>
          <w:sz w:val="22"/>
          <w:szCs w:val="22"/>
        </w:rPr>
        <w:t xml:space="preserve"> network connecting the end-user</w:t>
      </w:r>
      <w:r w:rsidRPr="00417E18">
        <w:rPr>
          <w:rFonts w:ascii="Calibri" w:eastAsia="Times New Roman" w:hAnsi="Calibri" w:cs="Calibri"/>
          <w:noProof/>
          <w:color w:val="000000" w:themeColor="text1"/>
          <w:sz w:val="22"/>
          <w:szCs w:val="22"/>
        </w:rPr>
        <w:t xml:space="preserve">. </w:t>
      </w:r>
    </w:p>
    <w:p w14:paraId="3C03DEC3" w14:textId="35F6A881" w:rsidR="00181E0C" w:rsidRPr="00417E18" w:rsidRDefault="001F795D" w:rsidP="00944EB1">
      <w:pPr>
        <w:pStyle w:val="Text3"/>
        <w:spacing w:before="0" w:after="60" w:line="278" w:lineRule="auto"/>
        <w:ind w:left="0"/>
        <w:rPr>
          <w:rFonts w:ascii="Calibri" w:eastAsia="Times New Roman" w:hAnsi="Calibri" w:cs="Calibri"/>
          <w:noProof/>
          <w:sz w:val="22"/>
          <w:szCs w:val="22"/>
        </w:rPr>
      </w:pPr>
      <w:r w:rsidRPr="00417E18">
        <w:rPr>
          <w:rFonts w:ascii="Calibri" w:eastAsia="Times New Roman" w:hAnsi="Calibri" w:cs="Calibri"/>
          <w:noProof/>
          <w:color w:val="000000" w:themeColor="text1"/>
          <w:sz w:val="22"/>
          <w:szCs w:val="22"/>
        </w:rPr>
        <w:t xml:space="preserve">The investment </w:t>
      </w:r>
      <w:r w:rsidR="3BB876C4" w:rsidRPr="07868930">
        <w:rPr>
          <w:rFonts w:ascii="Calibri" w:eastAsia="Times New Roman" w:hAnsi="Calibri" w:cs="Calibri"/>
          <w:noProof/>
          <w:color w:val="000000" w:themeColor="text1"/>
          <w:sz w:val="22"/>
          <w:szCs w:val="22"/>
        </w:rPr>
        <w:t>need</w:t>
      </w:r>
      <w:r w:rsidR="00B91D49" w:rsidRPr="07868930">
        <w:rPr>
          <w:rFonts w:ascii="Calibri" w:eastAsia="Times New Roman" w:hAnsi="Calibri" w:cs="Calibri"/>
          <w:noProof/>
          <w:color w:val="000000" w:themeColor="text1"/>
          <w:sz w:val="22"/>
          <w:szCs w:val="22"/>
        </w:rPr>
        <w:t>ed</w:t>
      </w:r>
      <w:r w:rsidRPr="00417E18">
        <w:rPr>
          <w:rFonts w:ascii="Calibri" w:eastAsia="Times New Roman" w:hAnsi="Calibri" w:cs="Calibri"/>
          <w:noProof/>
          <w:color w:val="000000" w:themeColor="text1"/>
          <w:sz w:val="22"/>
          <w:szCs w:val="22"/>
        </w:rPr>
        <w:t xml:space="preserve"> to achieve 100% FTTP coverage</w:t>
      </w:r>
      <w:r w:rsidR="4CD7EA72" w:rsidRPr="248428D2">
        <w:rPr>
          <w:rFonts w:ascii="Calibri" w:eastAsia="Times New Roman" w:hAnsi="Calibri" w:cs="Calibri"/>
          <w:noProof/>
          <w:color w:val="000000" w:themeColor="text1"/>
          <w:sz w:val="22"/>
          <w:szCs w:val="22"/>
        </w:rPr>
        <w:t xml:space="preserve"> </w:t>
      </w:r>
      <w:r w:rsidR="00944EB1">
        <w:rPr>
          <w:rFonts w:ascii="Calibri" w:eastAsia="Times New Roman" w:hAnsi="Calibri" w:cs="Calibri"/>
          <w:noProof/>
          <w:color w:val="000000" w:themeColor="text1"/>
          <w:sz w:val="22"/>
          <w:szCs w:val="22"/>
        </w:rPr>
        <w:t>-</w:t>
      </w:r>
      <w:r w:rsidRPr="00417E18">
        <w:rPr>
          <w:rFonts w:ascii="Calibri" w:eastAsia="Times New Roman" w:hAnsi="Calibri" w:cs="Calibri"/>
          <w:noProof/>
          <w:color w:val="000000" w:themeColor="text1"/>
          <w:sz w:val="22"/>
          <w:szCs w:val="22"/>
        </w:rPr>
        <w:t xml:space="preserve"> the Digital Decade target for 2030 </w:t>
      </w:r>
      <w:r w:rsidR="00944EB1">
        <w:rPr>
          <w:rFonts w:ascii="Calibri" w:eastAsia="Times New Roman" w:hAnsi="Calibri" w:cs="Calibri"/>
          <w:noProof/>
          <w:color w:val="000000" w:themeColor="text1"/>
          <w:sz w:val="22"/>
          <w:szCs w:val="22"/>
        </w:rPr>
        <w:t>-</w:t>
      </w:r>
      <w:r w:rsidRPr="00417E18">
        <w:rPr>
          <w:rFonts w:ascii="Calibri" w:eastAsia="Times New Roman" w:hAnsi="Calibri" w:cs="Calibri"/>
          <w:noProof/>
          <w:color w:val="000000" w:themeColor="text1"/>
          <w:sz w:val="22"/>
          <w:szCs w:val="22"/>
        </w:rPr>
        <w:t xml:space="preserve"> is estimated at EUR 40 billion, or EUR 29 billion if 5G Fixed Wireless Access (FWA) is used for remote areas. </w:t>
      </w:r>
      <w:r w:rsidRPr="00417E18">
        <w:rPr>
          <w:rFonts w:ascii="Calibri" w:eastAsia="Times New Roman" w:hAnsi="Calibri" w:cs="Calibri"/>
          <w:noProof/>
          <w:sz w:val="22"/>
          <w:szCs w:val="22"/>
        </w:rPr>
        <w:t xml:space="preserve">Therefore, </w:t>
      </w:r>
      <w:r w:rsidRPr="00417E18">
        <w:rPr>
          <w:rFonts w:ascii="Calibri" w:eastAsia="Times New Roman" w:hAnsi="Calibri" w:cs="Calibri"/>
          <w:b/>
          <w:noProof/>
          <w:sz w:val="22"/>
          <w:szCs w:val="22"/>
        </w:rPr>
        <w:t xml:space="preserve">in order for the Digital </w:t>
      </w:r>
      <w:r w:rsidR="6D255168" w:rsidRPr="00417E18">
        <w:rPr>
          <w:rFonts w:ascii="Calibri" w:eastAsia="Times New Roman" w:hAnsi="Calibri" w:cs="Calibri"/>
          <w:b/>
          <w:noProof/>
          <w:sz w:val="22"/>
          <w:szCs w:val="22"/>
        </w:rPr>
        <w:t>D</w:t>
      </w:r>
      <w:r w:rsidR="322D459D" w:rsidRPr="00417E18">
        <w:rPr>
          <w:rFonts w:ascii="Calibri" w:eastAsia="Times New Roman" w:hAnsi="Calibri" w:cs="Calibri"/>
          <w:b/>
          <w:noProof/>
          <w:sz w:val="22"/>
          <w:szCs w:val="22"/>
        </w:rPr>
        <w:t>ecade</w:t>
      </w:r>
      <w:r w:rsidRPr="00417E18">
        <w:rPr>
          <w:rFonts w:ascii="Calibri" w:eastAsia="Times New Roman" w:hAnsi="Calibri" w:cs="Calibri"/>
          <w:b/>
          <w:noProof/>
          <w:sz w:val="22"/>
          <w:szCs w:val="22"/>
        </w:rPr>
        <w:t xml:space="preserve"> targe</w:t>
      </w:r>
      <w:r w:rsidR="7515EE7C" w:rsidRPr="00417E18">
        <w:rPr>
          <w:rFonts w:ascii="Calibri" w:eastAsia="Times New Roman" w:hAnsi="Calibri" w:cs="Calibri"/>
          <w:b/>
          <w:noProof/>
          <w:sz w:val="22"/>
          <w:szCs w:val="22"/>
        </w:rPr>
        <w:t>t</w:t>
      </w:r>
      <w:r w:rsidRPr="00417E18">
        <w:rPr>
          <w:rFonts w:ascii="Calibri" w:eastAsia="Times New Roman" w:hAnsi="Calibri" w:cs="Calibri"/>
          <w:b/>
          <w:noProof/>
          <w:sz w:val="22"/>
          <w:szCs w:val="22"/>
        </w:rPr>
        <w:t xml:space="preserve"> to be achieved</w:t>
      </w:r>
      <w:r w:rsidRPr="00417E18" w:rsidDel="00481D05">
        <w:rPr>
          <w:rFonts w:ascii="Calibri" w:eastAsia="Times New Roman" w:hAnsi="Calibri" w:cs="Calibri"/>
          <w:b/>
          <w:noProof/>
          <w:sz w:val="22"/>
          <w:szCs w:val="22"/>
        </w:rPr>
        <w:t xml:space="preserve">, </w:t>
      </w:r>
      <w:r w:rsidRPr="00417E18">
        <w:rPr>
          <w:rFonts w:ascii="Calibri" w:eastAsia="Times New Roman" w:hAnsi="Calibri" w:cs="Calibri"/>
          <w:b/>
          <w:noProof/>
          <w:sz w:val="22"/>
          <w:szCs w:val="22"/>
        </w:rPr>
        <w:t xml:space="preserve">it will be necessary to continue </w:t>
      </w:r>
      <w:r w:rsidR="5E29DE4E" w:rsidRPr="00417E18">
        <w:rPr>
          <w:rFonts w:ascii="Calibri" w:eastAsia="Times New Roman" w:hAnsi="Calibri" w:cs="Calibri"/>
          <w:b/>
          <w:noProof/>
          <w:sz w:val="22"/>
          <w:szCs w:val="22"/>
        </w:rPr>
        <w:t>supporting fibre rollout</w:t>
      </w:r>
      <w:r w:rsidR="0013111B">
        <w:rPr>
          <w:rFonts w:ascii="Calibri" w:eastAsia="Times New Roman" w:hAnsi="Calibri" w:cs="Calibri"/>
          <w:b/>
          <w:noProof/>
          <w:sz w:val="22"/>
          <w:szCs w:val="22"/>
        </w:rPr>
        <w:t xml:space="preserve">, </w:t>
      </w:r>
      <w:r w:rsidR="0ADB2AD0" w:rsidRPr="7DD8A33D">
        <w:rPr>
          <w:rFonts w:ascii="Calibri" w:eastAsia="Times New Roman" w:hAnsi="Calibri" w:cs="Calibri"/>
          <w:b/>
          <w:bCs/>
          <w:noProof/>
          <w:sz w:val="22"/>
          <w:szCs w:val="22"/>
        </w:rPr>
        <w:t>through</w:t>
      </w:r>
      <w:r w:rsidR="00A64C62">
        <w:rPr>
          <w:rFonts w:ascii="Calibri" w:eastAsia="Times New Roman" w:hAnsi="Calibri" w:cs="Calibri"/>
          <w:b/>
          <w:noProof/>
          <w:sz w:val="22"/>
          <w:szCs w:val="22"/>
        </w:rPr>
        <w:t xml:space="preserve"> the transition away from legacy</w:t>
      </w:r>
      <w:r w:rsidR="0013111B">
        <w:rPr>
          <w:rFonts w:ascii="Calibri" w:eastAsia="Times New Roman" w:hAnsi="Calibri" w:cs="Calibri"/>
          <w:b/>
          <w:noProof/>
          <w:sz w:val="22"/>
          <w:szCs w:val="22"/>
        </w:rPr>
        <w:t xml:space="preserve"> copper</w:t>
      </w:r>
      <w:r w:rsidR="00A64C62">
        <w:rPr>
          <w:rFonts w:ascii="Calibri" w:eastAsia="Times New Roman" w:hAnsi="Calibri" w:cs="Calibri"/>
          <w:b/>
          <w:noProof/>
          <w:sz w:val="22"/>
          <w:szCs w:val="22"/>
        </w:rPr>
        <w:t xml:space="preserve"> networks</w:t>
      </w:r>
      <w:r w:rsidR="5E29DE4E" w:rsidRPr="00417E18">
        <w:rPr>
          <w:rFonts w:ascii="Calibri" w:eastAsia="Times New Roman" w:hAnsi="Calibri" w:cs="Calibri"/>
          <w:b/>
          <w:noProof/>
          <w:sz w:val="22"/>
          <w:szCs w:val="22"/>
        </w:rPr>
        <w:t>.</w:t>
      </w:r>
    </w:p>
    <w:p w14:paraId="5E70C753" w14:textId="7CB42D23" w:rsidR="00050A34" w:rsidRPr="00417E18" w:rsidRDefault="6D50BE0C" w:rsidP="00967EE0">
      <w:pPr>
        <w:pStyle w:val="Heading4"/>
        <w:rPr>
          <w:noProof/>
        </w:rPr>
      </w:pPr>
      <w:bookmarkStart w:id="43" w:name="_Toc226710900"/>
      <w:bookmarkStart w:id="44" w:name="_Toc1521993802"/>
      <w:bookmarkStart w:id="45" w:name="_Toc63671201"/>
      <w:r w:rsidRPr="00417E18">
        <w:rPr>
          <w:noProof/>
        </w:rPr>
        <w:t>Mobile networks</w:t>
      </w:r>
      <w:bookmarkEnd w:id="43"/>
      <w:bookmarkEnd w:id="44"/>
      <w:bookmarkEnd w:id="45"/>
      <w:r w:rsidRPr="00417E18">
        <w:rPr>
          <w:noProof/>
        </w:rPr>
        <w:t xml:space="preserve"> </w:t>
      </w:r>
    </w:p>
    <w:p w14:paraId="36C1B3B1" w14:textId="048A032E" w:rsidR="6D50BE0C" w:rsidRPr="00944EB1" w:rsidRDefault="00092049" w:rsidP="00944EB1">
      <w:pPr>
        <w:spacing w:line="278" w:lineRule="auto"/>
        <w:rPr>
          <w:rFonts w:cs="Calibri"/>
          <w:noProof/>
          <w:sz w:val="22"/>
          <w:szCs w:val="22"/>
        </w:rPr>
      </w:pPr>
      <w:r w:rsidRPr="00944EB1">
        <w:rPr>
          <w:rFonts w:eastAsia="Times New Roman" w:cs="Calibri"/>
          <w:noProof/>
          <w:sz w:val="22"/>
          <w:szCs w:val="22"/>
        </w:rPr>
        <w:t xml:space="preserve">In the coming </w:t>
      </w:r>
      <w:r w:rsidR="001C2455" w:rsidRPr="00944EB1">
        <w:rPr>
          <w:rFonts w:eastAsia="Times New Roman" w:cs="Calibri"/>
          <w:noProof/>
          <w:sz w:val="22"/>
          <w:szCs w:val="22"/>
        </w:rPr>
        <w:t>five to ten</w:t>
      </w:r>
      <w:r w:rsidRPr="00944EB1">
        <w:rPr>
          <w:rFonts w:eastAsia="Times New Roman" w:cs="Calibri"/>
          <w:noProof/>
          <w:sz w:val="22"/>
          <w:szCs w:val="22"/>
        </w:rPr>
        <w:t xml:space="preserve"> years</w:t>
      </w:r>
      <w:r w:rsidR="6D50BE0C" w:rsidRPr="00944EB1">
        <w:rPr>
          <w:rFonts w:eastAsia="Times New Roman" w:cs="Calibri"/>
          <w:noProof/>
          <w:sz w:val="22"/>
          <w:szCs w:val="22"/>
        </w:rPr>
        <w:t xml:space="preserve">, </w:t>
      </w:r>
      <w:r w:rsidR="6D50BE0C" w:rsidRPr="00944EB1">
        <w:rPr>
          <w:rFonts w:eastAsia="Times New Roman" w:cs="Calibri"/>
          <w:b/>
          <w:noProof/>
          <w:sz w:val="22"/>
          <w:szCs w:val="22"/>
        </w:rPr>
        <w:t>mobile networks</w:t>
      </w:r>
      <w:r w:rsidR="6D50BE0C" w:rsidRPr="00944EB1">
        <w:rPr>
          <w:rFonts w:eastAsia="Times New Roman" w:cs="Calibri"/>
          <w:noProof/>
          <w:sz w:val="22"/>
          <w:szCs w:val="22"/>
        </w:rPr>
        <w:t xml:space="preserve"> </w:t>
      </w:r>
      <w:r w:rsidR="00132DDB" w:rsidRPr="00944EB1">
        <w:rPr>
          <w:rFonts w:eastAsia="Times New Roman" w:cs="Calibri"/>
          <w:noProof/>
          <w:sz w:val="22"/>
          <w:szCs w:val="22"/>
        </w:rPr>
        <w:t>are expected to</w:t>
      </w:r>
      <w:r w:rsidR="6D50BE0C" w:rsidRPr="00944EB1">
        <w:rPr>
          <w:rFonts w:eastAsia="Times New Roman" w:cs="Calibri"/>
          <w:noProof/>
          <w:sz w:val="22"/>
          <w:szCs w:val="22"/>
        </w:rPr>
        <w:t xml:space="preserve"> evolve from basic 5G to advanced 5G standalone (5G</w:t>
      </w:r>
      <w:r w:rsidR="00B23812" w:rsidRPr="00944EB1">
        <w:rPr>
          <w:rFonts w:eastAsia="Times New Roman" w:cs="Calibri"/>
          <w:noProof/>
          <w:sz w:val="22"/>
          <w:szCs w:val="22"/>
        </w:rPr>
        <w:t xml:space="preserve"> </w:t>
      </w:r>
      <w:r w:rsidR="6D50BE0C" w:rsidRPr="00944EB1">
        <w:rPr>
          <w:rFonts w:eastAsia="Times New Roman" w:cs="Calibri"/>
          <w:noProof/>
          <w:sz w:val="22"/>
          <w:szCs w:val="22"/>
        </w:rPr>
        <w:t xml:space="preserve">SA) and to 6G, delivering much higher capacity, ultra-low latency, and native support for AI-driven and immersive applications. They will become increasingly </w:t>
      </w:r>
      <w:r w:rsidR="6D50BE0C" w:rsidRPr="00944EB1">
        <w:rPr>
          <w:rFonts w:eastAsia="Times New Roman" w:cs="Calibri"/>
          <w:b/>
          <w:noProof/>
          <w:sz w:val="22"/>
          <w:szCs w:val="22"/>
        </w:rPr>
        <w:t>software-defined, virtualised, and smart</w:t>
      </w:r>
      <w:r w:rsidR="6D50BE0C" w:rsidRPr="00944EB1">
        <w:rPr>
          <w:rFonts w:eastAsia="Times New Roman" w:cs="Calibri"/>
          <w:noProof/>
          <w:sz w:val="22"/>
          <w:szCs w:val="22"/>
        </w:rPr>
        <w:t xml:space="preserve">, as AI is embedded in network management, optimisation, and security. Mobile networks will </w:t>
      </w:r>
      <w:r w:rsidR="00132DDB" w:rsidRPr="00944EB1">
        <w:rPr>
          <w:rFonts w:eastAsia="Times New Roman" w:cs="Calibri"/>
          <w:noProof/>
          <w:sz w:val="22"/>
          <w:szCs w:val="22"/>
        </w:rPr>
        <w:t>also</w:t>
      </w:r>
      <w:r w:rsidR="6D50BE0C" w:rsidRPr="00944EB1">
        <w:rPr>
          <w:rFonts w:eastAsia="Times New Roman" w:cs="Calibri"/>
          <w:noProof/>
          <w:sz w:val="22"/>
          <w:szCs w:val="22"/>
        </w:rPr>
        <w:t xml:space="preserve"> be tightly integrated with fixed fibre networks to support dense small-cell deployments</w:t>
      </w:r>
      <w:r w:rsidR="503DA8F4" w:rsidRPr="00944EB1">
        <w:rPr>
          <w:rFonts w:eastAsia="Times New Roman" w:cs="Calibri"/>
          <w:noProof/>
          <w:sz w:val="22"/>
          <w:szCs w:val="22"/>
        </w:rPr>
        <w:t xml:space="preserve"> and with non-terrestrial networks to </w:t>
      </w:r>
      <w:r w:rsidR="5961C307" w:rsidRPr="00944EB1">
        <w:rPr>
          <w:rFonts w:eastAsia="Times New Roman" w:cs="Calibri"/>
          <w:noProof/>
          <w:sz w:val="22"/>
          <w:szCs w:val="22"/>
        </w:rPr>
        <w:t>ensure</w:t>
      </w:r>
      <w:r w:rsidR="503DA8F4" w:rsidRPr="00944EB1">
        <w:rPr>
          <w:rFonts w:eastAsia="Times New Roman" w:cs="Calibri"/>
          <w:noProof/>
          <w:sz w:val="22"/>
          <w:szCs w:val="22"/>
        </w:rPr>
        <w:t xml:space="preserve"> </w:t>
      </w:r>
      <w:r w:rsidR="455ACC87" w:rsidRPr="00944EB1">
        <w:rPr>
          <w:rFonts w:eastAsia="Times New Roman" w:cs="Calibri"/>
          <w:noProof/>
          <w:sz w:val="22"/>
          <w:szCs w:val="22"/>
        </w:rPr>
        <w:t>ubiquitous connectivity</w:t>
      </w:r>
      <w:r w:rsidR="6D50BE0C" w:rsidRPr="00944EB1">
        <w:rPr>
          <w:rFonts w:eastAsia="Times New Roman" w:cs="Calibri"/>
          <w:noProof/>
          <w:sz w:val="22"/>
          <w:szCs w:val="22"/>
        </w:rPr>
        <w:t xml:space="preserve">. Beyond consumer connectivity, future mobile networks will increasingly serve </w:t>
      </w:r>
      <w:r w:rsidR="6D50BE0C" w:rsidRPr="00944EB1">
        <w:rPr>
          <w:rFonts w:eastAsia="Times New Roman" w:cs="Calibri"/>
          <w:b/>
          <w:noProof/>
          <w:sz w:val="22"/>
          <w:szCs w:val="22"/>
        </w:rPr>
        <w:t>industrial, public-sector, and mission-critical use cases</w:t>
      </w:r>
      <w:r w:rsidR="00432B9D" w:rsidRPr="00944EB1">
        <w:rPr>
          <w:rFonts w:eastAsia="Times New Roman" w:cs="Calibri"/>
          <w:b/>
          <w:noProof/>
          <w:sz w:val="22"/>
          <w:szCs w:val="22"/>
        </w:rPr>
        <w:t>.</w:t>
      </w:r>
      <w:r w:rsidR="6D50BE0C" w:rsidRPr="00944EB1">
        <w:rPr>
          <w:rFonts w:eastAsia="Times New Roman" w:cs="Calibri"/>
          <w:noProof/>
          <w:sz w:val="22"/>
          <w:szCs w:val="22"/>
        </w:rPr>
        <w:t xml:space="preserve"> This will enable automation, smart infrastructure, and real-time services, with a </w:t>
      </w:r>
      <w:r w:rsidR="6D50BE0C" w:rsidRPr="00944EB1">
        <w:rPr>
          <w:rFonts w:eastAsia="Times New Roman" w:cs="Calibri"/>
          <w:b/>
          <w:noProof/>
          <w:sz w:val="22"/>
          <w:szCs w:val="22"/>
        </w:rPr>
        <w:t>stronger focus on energy efficiency, resilience, and security</w:t>
      </w:r>
      <w:r w:rsidR="6D50BE0C" w:rsidRPr="00944EB1">
        <w:rPr>
          <w:rFonts w:eastAsia="Times New Roman" w:cs="Calibri"/>
          <w:noProof/>
          <w:sz w:val="22"/>
          <w:szCs w:val="22"/>
        </w:rPr>
        <w:t xml:space="preserve"> as strategic requirements. </w:t>
      </w:r>
      <w:r w:rsidR="6D50BE0C" w:rsidRPr="00944EB1">
        <w:rPr>
          <w:rFonts w:eastAsia="Times New Roman" w:cs="Calibri"/>
          <w:b/>
          <w:noProof/>
          <w:sz w:val="22"/>
          <w:szCs w:val="22"/>
        </w:rPr>
        <w:t xml:space="preserve">Mobile data usage </w:t>
      </w:r>
      <w:r w:rsidR="00856780" w:rsidRPr="00944EB1">
        <w:rPr>
          <w:rFonts w:eastAsia="Times New Roman" w:cs="Calibri"/>
          <w:b/>
          <w:noProof/>
          <w:sz w:val="22"/>
          <w:szCs w:val="22"/>
        </w:rPr>
        <w:t xml:space="preserve">per mobile connection </w:t>
      </w:r>
      <w:r w:rsidR="6D50BE0C" w:rsidRPr="00944EB1">
        <w:rPr>
          <w:rFonts w:eastAsia="Times New Roman" w:cs="Calibri"/>
          <w:b/>
          <w:noProof/>
          <w:sz w:val="22"/>
          <w:szCs w:val="22"/>
        </w:rPr>
        <w:t>in Western Europe is projected to rise to 49 G</w:t>
      </w:r>
      <w:r w:rsidR="00992651" w:rsidRPr="00944EB1">
        <w:rPr>
          <w:rFonts w:eastAsia="Times New Roman" w:cs="Calibri"/>
          <w:b/>
          <w:noProof/>
          <w:sz w:val="22"/>
          <w:szCs w:val="22"/>
        </w:rPr>
        <w:t>b</w:t>
      </w:r>
      <w:r w:rsidR="6D50BE0C" w:rsidRPr="00944EB1">
        <w:rPr>
          <w:rFonts w:eastAsia="Times New Roman" w:cs="Calibri"/>
          <w:b/>
          <w:noProof/>
          <w:sz w:val="22"/>
          <w:szCs w:val="22"/>
        </w:rPr>
        <w:t xml:space="preserve"> per month by </w:t>
      </w:r>
      <w:r w:rsidR="6D50BE0C" w:rsidRPr="00944EB1">
        <w:rPr>
          <w:rFonts w:eastAsia="Times New Roman" w:cs="Calibri"/>
          <w:b/>
          <w:bCs/>
          <w:noProof/>
          <w:sz w:val="22"/>
          <w:szCs w:val="22"/>
        </w:rPr>
        <w:t>203</w:t>
      </w:r>
      <w:r w:rsidR="6B30B909" w:rsidRPr="00944EB1">
        <w:rPr>
          <w:rFonts w:eastAsia="Times New Roman" w:cs="Calibri"/>
          <w:b/>
          <w:bCs/>
          <w:noProof/>
          <w:sz w:val="22"/>
          <w:szCs w:val="22"/>
        </w:rPr>
        <w:t>0</w:t>
      </w:r>
      <w:r w:rsidR="7FD0984F" w:rsidRPr="00944EB1">
        <w:rPr>
          <w:rFonts w:eastAsia="Times New Roman" w:cs="Calibri"/>
          <w:b/>
          <w:bCs/>
          <w:noProof/>
          <w:sz w:val="22"/>
          <w:szCs w:val="22"/>
        </w:rPr>
        <w:t>,</w:t>
      </w:r>
      <w:r w:rsidR="000B5C7E" w:rsidRPr="00944EB1">
        <w:rPr>
          <w:rFonts w:cs="Calibri"/>
          <w:b/>
          <w:noProof/>
          <w:sz w:val="22"/>
          <w:szCs w:val="22"/>
        </w:rPr>
        <w:t xml:space="preserve"> </w:t>
      </w:r>
      <w:r w:rsidR="000B5C7E" w:rsidRPr="00944EB1">
        <w:rPr>
          <w:rFonts w:eastAsia="Times New Roman" w:cs="Calibri"/>
          <w:b/>
          <w:noProof/>
          <w:sz w:val="22"/>
          <w:szCs w:val="22"/>
        </w:rPr>
        <w:t>compared to approximately 15.3 G</w:t>
      </w:r>
      <w:r w:rsidR="00992651" w:rsidRPr="00944EB1">
        <w:rPr>
          <w:rFonts w:eastAsia="Times New Roman" w:cs="Calibri"/>
          <w:b/>
          <w:noProof/>
          <w:sz w:val="22"/>
          <w:szCs w:val="22"/>
        </w:rPr>
        <w:t>b</w:t>
      </w:r>
      <w:r w:rsidR="000B5C7E" w:rsidRPr="00944EB1">
        <w:rPr>
          <w:rFonts w:eastAsia="Times New Roman" w:cs="Calibri"/>
          <w:b/>
          <w:noProof/>
          <w:sz w:val="22"/>
          <w:szCs w:val="22"/>
        </w:rPr>
        <w:t xml:space="preserve"> per month in </w:t>
      </w:r>
      <w:r w:rsidR="05A1E834" w:rsidRPr="00944EB1">
        <w:rPr>
          <w:rFonts w:eastAsia="Times New Roman" w:cs="Calibri"/>
          <w:b/>
          <w:bCs/>
          <w:noProof/>
          <w:sz w:val="22"/>
          <w:szCs w:val="22"/>
        </w:rPr>
        <w:t>2024</w:t>
      </w:r>
      <w:r w:rsidR="638BFC26" w:rsidRPr="00944EB1">
        <w:rPr>
          <w:rStyle w:val="FootnoteReference"/>
          <w:rFonts w:eastAsia="Times New Roman" w:cs="Calibri"/>
          <w:b/>
          <w:bCs/>
          <w:noProof/>
          <w:sz w:val="22"/>
          <w:szCs w:val="22"/>
        </w:rPr>
        <w:footnoteReference w:id="35"/>
      </w:r>
      <w:r w:rsidR="1E48F27B" w:rsidRPr="00944EB1">
        <w:rPr>
          <w:rFonts w:eastAsia="Times New Roman" w:cs="Calibri"/>
          <w:b/>
          <w:bCs/>
          <w:noProof/>
          <w:sz w:val="22"/>
          <w:szCs w:val="22"/>
        </w:rPr>
        <w:t>.</w:t>
      </w:r>
      <w:r w:rsidR="6D50BE0C" w:rsidRPr="00944EB1">
        <w:rPr>
          <w:rFonts w:eastAsia="Times New Roman" w:cs="Calibri"/>
          <w:noProof/>
          <w:sz w:val="22"/>
          <w:szCs w:val="22"/>
        </w:rPr>
        <w:t xml:space="preserve"> </w:t>
      </w:r>
    </w:p>
    <w:p w14:paraId="56AC54F4" w14:textId="0EEF2F99" w:rsidR="6D50BE0C" w:rsidRPr="00944EB1" w:rsidRDefault="6D50BE0C" w:rsidP="00944EB1">
      <w:pPr>
        <w:spacing w:line="278" w:lineRule="auto"/>
        <w:rPr>
          <w:rFonts w:eastAsia="Times New Roman" w:cs="Calibri"/>
          <w:noProof/>
          <w:sz w:val="22"/>
          <w:szCs w:val="22"/>
        </w:rPr>
      </w:pPr>
      <w:r w:rsidRPr="00944EB1">
        <w:rPr>
          <w:rFonts w:eastAsia="Times New Roman" w:cs="Calibri"/>
          <w:noProof/>
          <w:sz w:val="22"/>
          <w:szCs w:val="22"/>
        </w:rPr>
        <w:t xml:space="preserve">Convergence with fixed networks </w:t>
      </w:r>
      <w:r w:rsidR="00132DDB" w:rsidRPr="00944EB1">
        <w:rPr>
          <w:rFonts w:eastAsia="Times New Roman" w:cs="Calibri"/>
          <w:noProof/>
          <w:sz w:val="22"/>
          <w:szCs w:val="22"/>
        </w:rPr>
        <w:t xml:space="preserve">is expected to </w:t>
      </w:r>
      <w:r w:rsidRPr="00944EB1">
        <w:rPr>
          <w:rFonts w:eastAsia="Times New Roman" w:cs="Calibri"/>
          <w:noProof/>
          <w:sz w:val="22"/>
          <w:szCs w:val="22"/>
        </w:rPr>
        <w:t>deepen, as fibre becomes essential for 5G</w:t>
      </w:r>
      <w:r w:rsidR="00B23812" w:rsidRPr="00944EB1">
        <w:rPr>
          <w:rFonts w:eastAsia="Times New Roman" w:cs="Calibri"/>
          <w:noProof/>
          <w:sz w:val="22"/>
          <w:szCs w:val="22"/>
        </w:rPr>
        <w:t xml:space="preserve"> </w:t>
      </w:r>
      <w:r w:rsidRPr="00944EB1">
        <w:rPr>
          <w:rFonts w:eastAsia="Times New Roman" w:cs="Calibri"/>
          <w:noProof/>
          <w:sz w:val="22"/>
          <w:szCs w:val="22"/>
        </w:rPr>
        <w:t xml:space="preserve">SA/6G backhaul and fronthaul. Functional convergence with satellites is also progressing, </w:t>
      </w:r>
      <w:r w:rsidR="00132DDB" w:rsidRPr="00944EB1">
        <w:rPr>
          <w:rFonts w:eastAsia="Times New Roman" w:cs="Calibri"/>
          <w:noProof/>
          <w:sz w:val="22"/>
          <w:szCs w:val="22"/>
        </w:rPr>
        <w:t>with</w:t>
      </w:r>
      <w:r w:rsidRPr="00944EB1">
        <w:rPr>
          <w:rFonts w:eastAsia="Times New Roman" w:cs="Calibri"/>
          <w:noProof/>
          <w:sz w:val="22"/>
          <w:szCs w:val="22"/>
        </w:rPr>
        <w:t xml:space="preserve"> important implications for mobility and industry verticals and the connection of remote areas.</w:t>
      </w:r>
      <w:r w:rsidR="00D870B0" w:rsidRPr="00944EB1">
        <w:rPr>
          <w:rFonts w:eastAsia="Times New Roman" w:cs="Calibri"/>
          <w:noProof/>
          <w:sz w:val="22"/>
          <w:szCs w:val="22"/>
        </w:rPr>
        <w:t xml:space="preserve"> 6G is expected to enable the seamless integration of terrestrial and non-terrestrial networks (NTNs), including satellite systems, into a unified architecture. This will </w:t>
      </w:r>
      <w:r w:rsidR="4D74DF43" w:rsidRPr="00944EB1">
        <w:rPr>
          <w:rFonts w:eastAsia="Times New Roman" w:cs="Calibri"/>
          <w:noProof/>
          <w:sz w:val="22"/>
          <w:szCs w:val="22"/>
        </w:rPr>
        <w:t xml:space="preserve">support the scaling </w:t>
      </w:r>
      <w:r w:rsidR="001B05E3" w:rsidRPr="00944EB1">
        <w:rPr>
          <w:rFonts w:eastAsia="Times New Roman" w:cs="Calibri"/>
          <w:noProof/>
          <w:sz w:val="22"/>
          <w:szCs w:val="22"/>
        </w:rPr>
        <w:t>of direct</w:t>
      </w:r>
      <w:r w:rsidR="005E4EC7" w:rsidRPr="00944EB1">
        <w:rPr>
          <w:rFonts w:eastAsia="Times New Roman" w:cs="Calibri"/>
          <w:noProof/>
          <w:sz w:val="22"/>
          <w:szCs w:val="22"/>
        </w:rPr>
        <w:t>-to-device (</w:t>
      </w:r>
      <w:r w:rsidR="00D870B0" w:rsidRPr="00944EB1">
        <w:rPr>
          <w:rFonts w:eastAsia="Times New Roman" w:cs="Calibri"/>
          <w:noProof/>
          <w:sz w:val="22"/>
          <w:szCs w:val="22"/>
        </w:rPr>
        <w:t>D2D</w:t>
      </w:r>
      <w:r w:rsidR="005E4EC7" w:rsidRPr="00944EB1">
        <w:rPr>
          <w:rFonts w:eastAsia="Times New Roman" w:cs="Calibri"/>
          <w:noProof/>
          <w:sz w:val="22"/>
          <w:szCs w:val="22"/>
        </w:rPr>
        <w:t>)</w:t>
      </w:r>
      <w:r w:rsidR="00D870B0" w:rsidRPr="00944EB1">
        <w:rPr>
          <w:rFonts w:eastAsia="Times New Roman" w:cs="Calibri"/>
          <w:noProof/>
          <w:sz w:val="22"/>
          <w:szCs w:val="22"/>
        </w:rPr>
        <w:t xml:space="preserve"> connectivity and </w:t>
      </w:r>
      <w:r w:rsidR="130D86B0" w:rsidRPr="00944EB1">
        <w:rPr>
          <w:rFonts w:eastAsia="Times New Roman" w:cs="Calibri"/>
          <w:noProof/>
          <w:sz w:val="22"/>
          <w:szCs w:val="22"/>
        </w:rPr>
        <w:t>enable</w:t>
      </w:r>
      <w:r w:rsidR="00D870B0" w:rsidRPr="00944EB1">
        <w:rPr>
          <w:rFonts w:eastAsia="Times New Roman" w:cs="Calibri"/>
          <w:noProof/>
          <w:sz w:val="22"/>
          <w:szCs w:val="22"/>
        </w:rPr>
        <w:t xml:space="preserve"> ubiquitous, resilient and high-performance connectivity across both ground-based and space-based infrastructures. In this context, satellite connectivity is expected to become a native component of 6G networks, marking a shift from its traditional role in backhaul towards direct connectivity for end users.</w:t>
      </w:r>
    </w:p>
    <w:p w14:paraId="21CB311B" w14:textId="3CAA71E2" w:rsidR="6D50BE0C" w:rsidRPr="00944EB1" w:rsidRDefault="6D50BE0C" w:rsidP="00944EB1">
      <w:pPr>
        <w:spacing w:line="278" w:lineRule="auto"/>
        <w:rPr>
          <w:rFonts w:cs="Calibri"/>
          <w:b/>
          <w:bCs/>
          <w:noProof/>
          <w:sz w:val="22"/>
          <w:szCs w:val="22"/>
        </w:rPr>
      </w:pPr>
      <w:r w:rsidRPr="00944EB1">
        <w:rPr>
          <w:rFonts w:eastAsia="Times New Roman" w:cs="Calibri"/>
          <w:b/>
          <w:bCs/>
          <w:noProof/>
          <w:sz w:val="22"/>
          <w:szCs w:val="22"/>
        </w:rPr>
        <w:t>Nevertheless, the EU’s progress toward</w:t>
      </w:r>
      <w:r w:rsidR="00166B96" w:rsidRPr="00944EB1">
        <w:rPr>
          <w:rFonts w:eastAsia="Times New Roman" w:cs="Calibri"/>
          <w:b/>
          <w:bCs/>
          <w:noProof/>
          <w:sz w:val="22"/>
          <w:szCs w:val="22"/>
        </w:rPr>
        <w:t>s</w:t>
      </w:r>
      <w:r w:rsidRPr="00944EB1">
        <w:rPr>
          <w:rFonts w:eastAsia="Times New Roman" w:cs="Calibri"/>
          <w:b/>
          <w:bCs/>
          <w:noProof/>
          <w:sz w:val="22"/>
          <w:szCs w:val="22"/>
        </w:rPr>
        <w:t xml:space="preserve"> this transition remains very slow</w:t>
      </w:r>
      <w:r w:rsidR="6496F160" w:rsidRPr="00944EB1">
        <w:rPr>
          <w:rFonts w:eastAsia="Times New Roman" w:cs="Calibri"/>
          <w:b/>
          <w:bCs/>
          <w:noProof/>
          <w:sz w:val="22"/>
          <w:szCs w:val="22"/>
        </w:rPr>
        <w:t>,</w:t>
      </w:r>
      <w:r w:rsidR="367F45CD" w:rsidRPr="00944EB1">
        <w:rPr>
          <w:rFonts w:eastAsia="Times New Roman" w:cs="Calibri"/>
          <w:b/>
          <w:bCs/>
          <w:noProof/>
          <w:sz w:val="22"/>
          <w:szCs w:val="22"/>
        </w:rPr>
        <w:t xml:space="preserve"> not when it comes to basic 5G coverage, but </w:t>
      </w:r>
      <w:r w:rsidR="4984DF46" w:rsidRPr="00944EB1">
        <w:rPr>
          <w:rFonts w:eastAsia="Times New Roman" w:cs="Calibri"/>
          <w:b/>
          <w:bCs/>
          <w:noProof/>
          <w:sz w:val="22"/>
          <w:szCs w:val="22"/>
        </w:rPr>
        <w:t>with regard to</w:t>
      </w:r>
      <w:r w:rsidR="367F45CD" w:rsidRPr="00944EB1">
        <w:rPr>
          <w:rFonts w:eastAsia="Times New Roman" w:cs="Calibri"/>
          <w:b/>
          <w:bCs/>
          <w:noProof/>
          <w:sz w:val="22"/>
          <w:szCs w:val="22"/>
        </w:rPr>
        <w:t xml:space="preserve"> the 5G networks able to deliver </w:t>
      </w:r>
      <w:r w:rsidR="1AEB9458" w:rsidRPr="00944EB1">
        <w:rPr>
          <w:rFonts w:eastAsia="Times New Roman" w:cs="Calibri"/>
          <w:b/>
          <w:bCs/>
          <w:noProof/>
          <w:sz w:val="22"/>
          <w:szCs w:val="22"/>
        </w:rPr>
        <w:t>transformative services</w:t>
      </w:r>
      <w:r w:rsidR="60D23143" w:rsidRPr="00944EB1">
        <w:rPr>
          <w:rFonts w:eastAsia="Times New Roman" w:cs="Calibri"/>
          <w:b/>
          <w:bCs/>
          <w:noProof/>
          <w:sz w:val="22"/>
          <w:szCs w:val="22"/>
        </w:rPr>
        <w:t>.</w:t>
      </w:r>
      <w:r w:rsidRPr="00944EB1">
        <w:rPr>
          <w:rFonts w:eastAsia="Times New Roman" w:cs="Calibri"/>
          <w:b/>
          <w:bCs/>
          <w:noProof/>
          <w:sz w:val="22"/>
          <w:szCs w:val="22"/>
        </w:rPr>
        <w:t xml:space="preserve"> </w:t>
      </w:r>
    </w:p>
    <w:p w14:paraId="3493E93E" w14:textId="226D14C4" w:rsidR="1DCB6AB3" w:rsidRPr="00944EB1" w:rsidRDefault="4D546B94" w:rsidP="00944EB1">
      <w:pPr>
        <w:spacing w:line="278" w:lineRule="auto"/>
        <w:rPr>
          <w:rFonts w:eastAsia="Calibri" w:cs="Calibri"/>
          <w:noProof/>
          <w:sz w:val="22"/>
          <w:szCs w:val="22"/>
        </w:rPr>
      </w:pPr>
      <w:r w:rsidRPr="00944EB1">
        <w:rPr>
          <w:rFonts w:eastAsia="Calibri" w:cs="Calibri"/>
          <w:noProof/>
          <w:sz w:val="22"/>
          <w:szCs w:val="22"/>
        </w:rPr>
        <w:t>Member States</w:t>
      </w:r>
      <w:r w:rsidR="00AB6F69" w:rsidRPr="00944EB1">
        <w:rPr>
          <w:rFonts w:eastAsia="Calibri" w:cs="Calibri"/>
          <w:noProof/>
          <w:sz w:val="22"/>
          <w:szCs w:val="22"/>
        </w:rPr>
        <w:t xml:space="preserve"> </w:t>
      </w:r>
      <w:r w:rsidR="4CFA0408" w:rsidRPr="00944EB1">
        <w:rPr>
          <w:rFonts w:eastAsia="Calibri" w:cs="Calibri"/>
          <w:noProof/>
          <w:sz w:val="22"/>
          <w:szCs w:val="22"/>
        </w:rPr>
        <w:t xml:space="preserve">are </w:t>
      </w:r>
      <w:r w:rsidR="5EC784B9" w:rsidRPr="00944EB1">
        <w:rPr>
          <w:rFonts w:eastAsia="Calibri" w:cs="Calibri"/>
          <w:noProof/>
          <w:sz w:val="22"/>
          <w:szCs w:val="22"/>
        </w:rPr>
        <w:t>indeed</w:t>
      </w:r>
      <w:r w:rsidR="53DB03F9" w:rsidRPr="00944EB1">
        <w:rPr>
          <w:rFonts w:eastAsia="Calibri" w:cs="Calibri"/>
          <w:noProof/>
          <w:sz w:val="22"/>
          <w:szCs w:val="22"/>
        </w:rPr>
        <w:t xml:space="preserve"> very close to </w:t>
      </w:r>
      <w:r w:rsidR="642F8C20" w:rsidRPr="00944EB1">
        <w:rPr>
          <w:rFonts w:eastAsia="Calibri" w:cs="Calibri"/>
          <w:noProof/>
          <w:sz w:val="22"/>
          <w:szCs w:val="22"/>
        </w:rPr>
        <w:t xml:space="preserve">full </w:t>
      </w:r>
      <w:r w:rsidR="7765198A" w:rsidRPr="00944EB1">
        <w:rPr>
          <w:rFonts w:eastAsia="Calibri" w:cs="Calibri"/>
          <w:noProof/>
          <w:sz w:val="22"/>
          <w:szCs w:val="22"/>
        </w:rPr>
        <w:t>basic</w:t>
      </w:r>
      <w:r w:rsidR="0225ED32" w:rsidRPr="00944EB1">
        <w:rPr>
          <w:rFonts w:eastAsia="Calibri" w:cs="Calibri"/>
          <w:noProof/>
          <w:sz w:val="22"/>
          <w:szCs w:val="22"/>
        </w:rPr>
        <w:t xml:space="preserve"> 5G</w:t>
      </w:r>
      <w:r w:rsidR="0225ED32" w:rsidRPr="00944EB1">
        <w:rPr>
          <w:rFonts w:cs="Calibri"/>
          <w:noProof/>
          <w:sz w:val="22"/>
          <w:szCs w:val="22"/>
        </w:rPr>
        <w:t xml:space="preserve"> </w:t>
      </w:r>
      <w:r w:rsidR="642F8C20" w:rsidRPr="00944EB1">
        <w:rPr>
          <w:rFonts w:eastAsia="Calibri" w:cs="Calibri"/>
          <w:noProof/>
          <w:sz w:val="22"/>
          <w:szCs w:val="22"/>
        </w:rPr>
        <w:t xml:space="preserve">coverage </w:t>
      </w:r>
      <w:r w:rsidR="1794BD4C" w:rsidRPr="00944EB1">
        <w:rPr>
          <w:rFonts w:eastAsia="Calibri" w:cs="Calibri"/>
          <w:noProof/>
          <w:sz w:val="22"/>
          <w:szCs w:val="22"/>
        </w:rPr>
        <w:t>(</w:t>
      </w:r>
      <w:r w:rsidR="53DACCD9" w:rsidRPr="00944EB1">
        <w:rPr>
          <w:rFonts w:eastAsia="Calibri" w:cs="Calibri"/>
          <w:noProof/>
          <w:sz w:val="22"/>
          <w:szCs w:val="22"/>
        </w:rPr>
        <w:t>96</w:t>
      </w:r>
      <w:r w:rsidR="1794BD4C" w:rsidRPr="00944EB1">
        <w:rPr>
          <w:rFonts w:eastAsia="Calibri" w:cs="Calibri"/>
          <w:noProof/>
          <w:sz w:val="22"/>
          <w:szCs w:val="22"/>
        </w:rPr>
        <w:t>.</w:t>
      </w:r>
      <w:r w:rsidR="2AF36AF5" w:rsidRPr="00944EB1">
        <w:rPr>
          <w:rFonts w:eastAsia="Calibri" w:cs="Calibri"/>
          <w:noProof/>
          <w:sz w:val="22"/>
          <w:szCs w:val="22"/>
        </w:rPr>
        <w:t>8</w:t>
      </w:r>
      <w:r w:rsidR="1794BD4C" w:rsidRPr="00944EB1">
        <w:rPr>
          <w:rFonts w:eastAsia="Calibri" w:cs="Calibri"/>
          <w:noProof/>
          <w:sz w:val="22"/>
          <w:szCs w:val="22"/>
        </w:rPr>
        <w:t xml:space="preserve">% </w:t>
      </w:r>
      <w:r w:rsidR="486583D6" w:rsidRPr="00944EB1">
        <w:rPr>
          <w:rFonts w:eastAsia="Calibri" w:cs="Calibri"/>
          <w:noProof/>
          <w:sz w:val="22"/>
          <w:szCs w:val="22"/>
        </w:rPr>
        <w:t xml:space="preserve">of </w:t>
      </w:r>
      <w:r w:rsidR="1794BD4C" w:rsidRPr="00944EB1">
        <w:rPr>
          <w:rFonts w:eastAsia="Calibri" w:cs="Calibri"/>
          <w:noProof/>
          <w:sz w:val="22"/>
          <w:szCs w:val="22"/>
        </w:rPr>
        <w:t>household</w:t>
      </w:r>
      <w:r w:rsidR="44759155" w:rsidRPr="00944EB1">
        <w:rPr>
          <w:rFonts w:eastAsia="Calibri" w:cs="Calibri"/>
          <w:noProof/>
          <w:sz w:val="22"/>
          <w:szCs w:val="22"/>
        </w:rPr>
        <w:t>s</w:t>
      </w:r>
      <w:r w:rsidR="1794BD4C" w:rsidRPr="00944EB1">
        <w:rPr>
          <w:rFonts w:eastAsia="Calibri" w:cs="Calibri"/>
          <w:noProof/>
          <w:sz w:val="22"/>
          <w:szCs w:val="22"/>
        </w:rPr>
        <w:t>)</w:t>
      </w:r>
      <w:r w:rsidR="00840812" w:rsidRPr="00944EB1">
        <w:rPr>
          <w:rFonts w:eastAsia="Calibri" w:cs="Calibri"/>
          <w:noProof/>
          <w:sz w:val="22"/>
          <w:szCs w:val="22"/>
        </w:rPr>
        <w:t xml:space="preserve"> with substantial coverage increase</w:t>
      </w:r>
      <w:r w:rsidR="00D75713" w:rsidRPr="00944EB1">
        <w:rPr>
          <w:rFonts w:eastAsia="Calibri" w:cs="Calibri"/>
          <w:noProof/>
          <w:sz w:val="22"/>
          <w:szCs w:val="22"/>
        </w:rPr>
        <w:t>s,</w:t>
      </w:r>
      <w:r w:rsidR="00840812" w:rsidRPr="00944EB1">
        <w:rPr>
          <w:rFonts w:eastAsia="Calibri" w:cs="Calibri"/>
          <w:noProof/>
          <w:sz w:val="22"/>
          <w:szCs w:val="22"/>
        </w:rPr>
        <w:t xml:space="preserve"> including in rural areas</w:t>
      </w:r>
      <w:r w:rsidR="5E9DECDF" w:rsidRPr="00944EB1">
        <w:rPr>
          <w:rFonts w:eastAsia="Calibri" w:cs="Calibri"/>
          <w:noProof/>
          <w:sz w:val="22"/>
          <w:szCs w:val="22"/>
        </w:rPr>
        <w:t>;</w:t>
      </w:r>
      <w:r w:rsidR="2D42AE42" w:rsidRPr="00944EB1">
        <w:rPr>
          <w:rFonts w:eastAsia="Calibri" w:cs="Calibri"/>
          <w:noProof/>
          <w:sz w:val="22"/>
          <w:szCs w:val="22"/>
        </w:rPr>
        <w:t xml:space="preserve"> </w:t>
      </w:r>
      <w:r w:rsidR="00C81749" w:rsidRPr="00944EB1">
        <w:rPr>
          <w:rFonts w:eastAsia="Calibri" w:cs="Calibri"/>
          <w:noProof/>
          <w:sz w:val="22"/>
          <w:szCs w:val="22"/>
        </w:rPr>
        <w:t>all EU Member States have basic 5G household coverage above 90%, except Romania.</w:t>
      </w:r>
      <w:r w:rsidR="227DADE9" w:rsidRPr="00944EB1">
        <w:rPr>
          <w:rFonts w:eastAsia="Calibri" w:cs="Calibri"/>
          <w:noProof/>
          <w:sz w:val="22"/>
          <w:szCs w:val="22"/>
        </w:rPr>
        <w:t xml:space="preserve"> </w:t>
      </w:r>
      <w:r w:rsidR="00C81749" w:rsidRPr="00944EB1">
        <w:rPr>
          <w:rFonts w:eastAsia="Calibri" w:cs="Calibri"/>
          <w:noProof/>
          <w:sz w:val="22"/>
          <w:szCs w:val="22"/>
        </w:rPr>
        <w:t>However</w:t>
      </w:r>
      <w:r w:rsidR="30BD8C7D" w:rsidRPr="00944EB1">
        <w:rPr>
          <w:rFonts w:eastAsia="Calibri" w:cs="Calibri"/>
          <w:noProof/>
          <w:sz w:val="22"/>
          <w:szCs w:val="22"/>
        </w:rPr>
        <w:t>,</w:t>
      </w:r>
      <w:r w:rsidR="2D42AE42" w:rsidRPr="00944EB1">
        <w:rPr>
          <w:rFonts w:eastAsia="Calibri" w:cs="Calibri"/>
          <w:noProof/>
          <w:sz w:val="22"/>
          <w:szCs w:val="22"/>
        </w:rPr>
        <w:t xml:space="preserve"> </w:t>
      </w:r>
      <w:r w:rsidR="7C3CE119" w:rsidRPr="00944EB1">
        <w:rPr>
          <w:rFonts w:eastAsia="Calibri" w:cs="Calibri"/>
          <w:noProof/>
          <w:sz w:val="22"/>
          <w:szCs w:val="22"/>
        </w:rPr>
        <w:t xml:space="preserve">basic 5G </w:t>
      </w:r>
      <w:r w:rsidR="4CAD5C2B" w:rsidRPr="00944EB1">
        <w:rPr>
          <w:rFonts w:eastAsia="Calibri" w:cs="Calibri"/>
          <w:noProof/>
          <w:sz w:val="22"/>
          <w:szCs w:val="22"/>
        </w:rPr>
        <w:t xml:space="preserve">coverage </w:t>
      </w:r>
      <w:r w:rsidR="00C81749" w:rsidRPr="00944EB1">
        <w:rPr>
          <w:rFonts w:eastAsia="Calibri" w:cs="Calibri"/>
          <w:noProof/>
          <w:sz w:val="22"/>
          <w:szCs w:val="22"/>
        </w:rPr>
        <w:t xml:space="preserve">is </w:t>
      </w:r>
      <w:r w:rsidR="7C3CE119" w:rsidRPr="00944EB1">
        <w:rPr>
          <w:rFonts w:eastAsia="Calibri" w:cs="Calibri"/>
          <w:noProof/>
          <w:sz w:val="22"/>
          <w:szCs w:val="22"/>
        </w:rPr>
        <w:t>insufficient</w:t>
      </w:r>
      <w:r w:rsidR="00B83B2B" w:rsidRPr="00944EB1">
        <w:rPr>
          <w:rFonts w:eastAsia="Calibri" w:cs="Calibri"/>
          <w:noProof/>
          <w:sz w:val="22"/>
          <w:szCs w:val="22"/>
        </w:rPr>
        <w:t>, given its technological limitations,</w:t>
      </w:r>
      <w:r w:rsidR="7C3CE119" w:rsidRPr="00944EB1">
        <w:rPr>
          <w:rFonts w:eastAsia="Calibri" w:cs="Calibri"/>
          <w:noProof/>
          <w:sz w:val="22"/>
          <w:szCs w:val="22"/>
        </w:rPr>
        <w:t xml:space="preserve"> to support</w:t>
      </w:r>
      <w:r w:rsidR="2D42AE42" w:rsidRPr="00944EB1">
        <w:rPr>
          <w:rFonts w:eastAsia="Calibri" w:cs="Calibri"/>
          <w:noProof/>
          <w:sz w:val="22"/>
          <w:szCs w:val="22"/>
        </w:rPr>
        <w:t xml:space="preserve"> the </w:t>
      </w:r>
      <w:r w:rsidR="7C3CE119" w:rsidRPr="00944EB1">
        <w:rPr>
          <w:rFonts w:eastAsia="Calibri" w:cs="Calibri"/>
          <w:noProof/>
          <w:sz w:val="22"/>
          <w:szCs w:val="22"/>
        </w:rPr>
        <w:t>EU goals in the area of competitiveness</w:t>
      </w:r>
      <w:r w:rsidR="6ADA1227" w:rsidRPr="00944EB1">
        <w:rPr>
          <w:rFonts w:eastAsia="Calibri" w:cs="Calibri"/>
          <w:noProof/>
          <w:sz w:val="22"/>
          <w:szCs w:val="22"/>
        </w:rPr>
        <w:t>.</w:t>
      </w:r>
      <w:r w:rsidR="1794BD4C" w:rsidRPr="00944EB1">
        <w:rPr>
          <w:rFonts w:eastAsia="Calibri" w:cs="Calibri"/>
          <w:noProof/>
          <w:sz w:val="22"/>
          <w:szCs w:val="22"/>
        </w:rPr>
        <w:t xml:space="preserve"> </w:t>
      </w:r>
    </w:p>
    <w:p w14:paraId="6F7E8D19" w14:textId="244D905F" w:rsidR="1DCB6AB3" w:rsidRPr="00944EB1" w:rsidRDefault="6BE11E26" w:rsidP="00944EB1">
      <w:pPr>
        <w:spacing w:line="278" w:lineRule="auto"/>
        <w:rPr>
          <w:rFonts w:eastAsia="Calibri" w:cs="Calibri"/>
          <w:noProof/>
          <w:sz w:val="22"/>
          <w:szCs w:val="22"/>
        </w:rPr>
      </w:pPr>
      <w:r w:rsidRPr="00944EB1">
        <w:rPr>
          <w:rFonts w:eastAsia="Calibri" w:cs="Calibri"/>
          <w:b/>
          <w:bCs/>
          <w:noProof/>
          <w:sz w:val="22"/>
          <w:szCs w:val="22"/>
        </w:rPr>
        <w:t>Mid-band deployment</w:t>
      </w:r>
      <w:r w:rsidRPr="00944EB1">
        <w:rPr>
          <w:rFonts w:eastAsia="Times New Roman" w:cs="Calibri"/>
          <w:noProof/>
          <w:color w:val="000000" w:themeColor="text1"/>
          <w:sz w:val="22"/>
          <w:szCs w:val="22"/>
        </w:rPr>
        <w:t xml:space="preserve"> </w:t>
      </w:r>
      <w:r w:rsidR="007E4072" w:rsidRPr="00944EB1">
        <w:rPr>
          <w:rFonts w:eastAsia="Times New Roman" w:cs="Calibri"/>
          <w:noProof/>
          <w:color w:val="000000" w:themeColor="text1"/>
          <w:sz w:val="22"/>
          <w:szCs w:val="22"/>
        </w:rPr>
        <w:t>-</w:t>
      </w:r>
      <w:r w:rsidR="00B64F4D" w:rsidRPr="00944EB1">
        <w:rPr>
          <w:rFonts w:eastAsia="Calibri" w:cs="Calibri"/>
          <w:b/>
          <w:bCs/>
          <w:noProof/>
          <w:sz w:val="22"/>
          <w:szCs w:val="22"/>
        </w:rPr>
        <w:t xml:space="preserve"> which is associated with high</w:t>
      </w:r>
      <w:r w:rsidR="0041370B" w:rsidRPr="00944EB1">
        <w:rPr>
          <w:rFonts w:eastAsia="Calibri" w:cs="Calibri"/>
          <w:b/>
          <w:bCs/>
          <w:noProof/>
          <w:sz w:val="22"/>
          <w:szCs w:val="22"/>
        </w:rPr>
        <w:t>-</w:t>
      </w:r>
      <w:r w:rsidR="00DB0B16" w:rsidRPr="00944EB1">
        <w:rPr>
          <w:rFonts w:eastAsia="Calibri" w:cs="Calibri"/>
          <w:b/>
          <w:bCs/>
          <w:noProof/>
          <w:sz w:val="22"/>
          <w:szCs w:val="22"/>
        </w:rPr>
        <w:t>capacity</w:t>
      </w:r>
      <w:r w:rsidR="0041370B" w:rsidRPr="00944EB1">
        <w:rPr>
          <w:rFonts w:eastAsia="Calibri" w:cs="Calibri"/>
          <w:b/>
          <w:bCs/>
          <w:noProof/>
          <w:sz w:val="22"/>
          <w:szCs w:val="22"/>
        </w:rPr>
        <w:t>,</w:t>
      </w:r>
      <w:r w:rsidR="00B64F4D" w:rsidRPr="00944EB1">
        <w:rPr>
          <w:rFonts w:eastAsia="Calibri" w:cs="Calibri"/>
          <w:b/>
          <w:bCs/>
          <w:noProof/>
          <w:sz w:val="22"/>
          <w:szCs w:val="22"/>
        </w:rPr>
        <w:t xml:space="preserve"> </w:t>
      </w:r>
      <w:r w:rsidR="00745D7F" w:rsidRPr="00944EB1">
        <w:rPr>
          <w:rFonts w:eastAsia="Calibri" w:cs="Calibri"/>
          <w:b/>
          <w:bCs/>
          <w:noProof/>
          <w:sz w:val="22"/>
          <w:szCs w:val="22"/>
        </w:rPr>
        <w:t xml:space="preserve">high reliability and low </w:t>
      </w:r>
      <w:r w:rsidR="7249AB85" w:rsidRPr="00944EB1">
        <w:rPr>
          <w:rFonts w:eastAsia="Calibri" w:cs="Calibri"/>
          <w:b/>
          <w:bCs/>
          <w:noProof/>
          <w:sz w:val="22"/>
          <w:szCs w:val="22"/>
        </w:rPr>
        <w:t>latency</w:t>
      </w:r>
      <w:r w:rsidR="00B64F4D" w:rsidRPr="00944EB1">
        <w:rPr>
          <w:rFonts w:eastAsia="Times New Roman" w:cs="Calibri"/>
          <w:noProof/>
          <w:color w:val="000000" w:themeColor="text1"/>
          <w:sz w:val="22"/>
          <w:szCs w:val="22"/>
        </w:rPr>
        <w:t xml:space="preserve"> </w:t>
      </w:r>
      <w:r w:rsidR="00944EB1">
        <w:rPr>
          <w:rFonts w:eastAsia="Times New Roman" w:cs="Calibri"/>
          <w:noProof/>
          <w:color w:val="000000" w:themeColor="text1"/>
          <w:sz w:val="22"/>
          <w:szCs w:val="22"/>
        </w:rPr>
        <w:t>-</w:t>
      </w:r>
      <w:r w:rsidR="00B64F4D" w:rsidRPr="00944EB1">
        <w:rPr>
          <w:rFonts w:eastAsia="Calibri" w:cs="Calibri"/>
          <w:b/>
          <w:bCs/>
          <w:noProof/>
          <w:sz w:val="22"/>
          <w:szCs w:val="22"/>
        </w:rPr>
        <w:t xml:space="preserve"> </w:t>
      </w:r>
      <w:r w:rsidRPr="00944EB1">
        <w:rPr>
          <w:rFonts w:eastAsia="Calibri" w:cs="Calibri"/>
          <w:b/>
          <w:bCs/>
          <w:noProof/>
          <w:sz w:val="22"/>
          <w:szCs w:val="22"/>
        </w:rPr>
        <w:t xml:space="preserve">remains </w:t>
      </w:r>
      <w:r w:rsidR="7249AB85" w:rsidRPr="00944EB1">
        <w:rPr>
          <w:rFonts w:eastAsia="Calibri" w:cs="Calibri"/>
          <w:b/>
          <w:bCs/>
          <w:noProof/>
          <w:sz w:val="22"/>
          <w:szCs w:val="22"/>
        </w:rPr>
        <w:t>a</w:t>
      </w:r>
      <w:r w:rsidRPr="00944EB1">
        <w:rPr>
          <w:rFonts w:eastAsia="Calibri" w:cs="Calibri"/>
          <w:b/>
          <w:bCs/>
          <w:noProof/>
          <w:sz w:val="22"/>
          <w:szCs w:val="22"/>
        </w:rPr>
        <w:t xml:space="preserve"> bottleneck.</w:t>
      </w:r>
      <w:r w:rsidRPr="00944EB1">
        <w:rPr>
          <w:rFonts w:eastAsia="Calibri" w:cs="Calibri"/>
          <w:noProof/>
          <w:sz w:val="22"/>
          <w:szCs w:val="22"/>
        </w:rPr>
        <w:t xml:space="preserve"> </w:t>
      </w:r>
      <w:r w:rsidR="5BC966B8" w:rsidRPr="00944EB1">
        <w:rPr>
          <w:rFonts w:eastAsia="Calibri" w:cs="Calibri"/>
          <w:noProof/>
          <w:sz w:val="22"/>
          <w:szCs w:val="22"/>
        </w:rPr>
        <w:t xml:space="preserve">5G </w:t>
      </w:r>
      <w:r w:rsidR="00CA312C" w:rsidRPr="00944EB1">
        <w:rPr>
          <w:rFonts w:eastAsia="Calibri" w:cs="Calibri"/>
          <w:noProof/>
          <w:sz w:val="22"/>
          <w:szCs w:val="22"/>
        </w:rPr>
        <w:t xml:space="preserve">mid-band </w:t>
      </w:r>
      <w:r w:rsidR="5BC966B8" w:rsidRPr="00944EB1">
        <w:rPr>
          <w:rFonts w:eastAsia="Calibri" w:cs="Calibri"/>
          <w:noProof/>
          <w:sz w:val="22"/>
          <w:szCs w:val="22"/>
        </w:rPr>
        <w:t>c</w:t>
      </w:r>
      <w:r w:rsidRPr="00944EB1">
        <w:rPr>
          <w:rFonts w:eastAsia="Calibri" w:cs="Calibri"/>
          <w:noProof/>
          <w:sz w:val="22"/>
          <w:szCs w:val="22"/>
        </w:rPr>
        <w:t>overage in the 3.4</w:t>
      </w:r>
      <w:r w:rsidR="00887CD7" w:rsidRPr="00944EB1">
        <w:rPr>
          <w:rFonts w:eastAsia="Calibri" w:cs="Calibri"/>
          <w:noProof/>
          <w:sz w:val="22"/>
          <w:szCs w:val="22"/>
        </w:rPr>
        <w:t>-</w:t>
      </w:r>
      <w:r w:rsidRPr="00944EB1">
        <w:rPr>
          <w:rFonts w:eastAsia="Calibri" w:cs="Calibri"/>
          <w:noProof/>
          <w:sz w:val="22"/>
          <w:szCs w:val="22"/>
        </w:rPr>
        <w:t xml:space="preserve">3.8 GHz </w:t>
      </w:r>
      <w:r w:rsidR="7FB9658C" w:rsidRPr="00944EB1">
        <w:rPr>
          <w:rFonts w:eastAsia="Calibri" w:cs="Calibri"/>
          <w:noProof/>
          <w:sz w:val="22"/>
          <w:szCs w:val="22"/>
        </w:rPr>
        <w:t xml:space="preserve">spectrum </w:t>
      </w:r>
      <w:r w:rsidRPr="00944EB1">
        <w:rPr>
          <w:rFonts w:eastAsia="Calibri" w:cs="Calibri"/>
          <w:noProof/>
          <w:sz w:val="22"/>
          <w:szCs w:val="22"/>
        </w:rPr>
        <w:t xml:space="preserve">band is substantially lower than general 5G coverage in many </w:t>
      </w:r>
      <w:r w:rsidR="00533A69" w:rsidRPr="00944EB1">
        <w:rPr>
          <w:rFonts w:eastAsia="Calibri" w:cs="Calibri"/>
          <w:noProof/>
          <w:sz w:val="22"/>
          <w:szCs w:val="22"/>
        </w:rPr>
        <w:t>Member States</w:t>
      </w:r>
      <w:r w:rsidRPr="00944EB1">
        <w:rPr>
          <w:rFonts w:eastAsia="Calibri" w:cs="Calibri"/>
          <w:noProof/>
          <w:sz w:val="22"/>
          <w:szCs w:val="22"/>
        </w:rPr>
        <w:t xml:space="preserve"> (7</w:t>
      </w:r>
      <w:r w:rsidR="413A6F90" w:rsidRPr="00944EB1">
        <w:rPr>
          <w:rFonts w:eastAsia="Calibri" w:cs="Calibri"/>
          <w:noProof/>
          <w:sz w:val="22"/>
          <w:szCs w:val="22"/>
        </w:rPr>
        <w:t>4</w:t>
      </w:r>
      <w:r w:rsidRPr="00944EB1">
        <w:rPr>
          <w:rFonts w:eastAsia="Calibri" w:cs="Calibri"/>
          <w:noProof/>
          <w:sz w:val="22"/>
          <w:szCs w:val="22"/>
        </w:rPr>
        <w:t>.</w:t>
      </w:r>
      <w:r w:rsidR="475AD308" w:rsidRPr="00944EB1">
        <w:rPr>
          <w:rFonts w:eastAsia="Calibri" w:cs="Calibri"/>
          <w:noProof/>
          <w:sz w:val="22"/>
          <w:szCs w:val="22"/>
        </w:rPr>
        <w:t>8</w:t>
      </w:r>
      <w:r w:rsidRPr="00944EB1">
        <w:rPr>
          <w:rFonts w:eastAsia="Calibri" w:cs="Calibri"/>
          <w:noProof/>
          <w:sz w:val="22"/>
          <w:szCs w:val="22"/>
        </w:rPr>
        <w:t>%</w:t>
      </w:r>
      <w:r w:rsidR="0085073A" w:rsidRPr="00944EB1">
        <w:rPr>
          <w:rFonts w:eastAsia="Calibri" w:cs="Calibri"/>
          <w:noProof/>
          <w:sz w:val="22"/>
          <w:szCs w:val="22"/>
        </w:rPr>
        <w:t xml:space="preserve"> </w:t>
      </w:r>
      <w:r w:rsidRPr="00944EB1">
        <w:rPr>
          <w:rFonts w:eastAsia="Calibri" w:cs="Calibri"/>
          <w:noProof/>
          <w:sz w:val="22"/>
          <w:szCs w:val="22"/>
        </w:rPr>
        <w:t>overall household coverage).</w:t>
      </w:r>
      <w:r w:rsidR="23A57A8A" w:rsidRPr="00944EB1">
        <w:rPr>
          <w:rFonts w:eastAsia="Calibri" w:cs="Calibri"/>
          <w:noProof/>
          <w:sz w:val="22"/>
          <w:szCs w:val="22"/>
        </w:rPr>
        <w:t xml:space="preserve"> </w:t>
      </w:r>
      <w:r w:rsidRPr="00944EB1">
        <w:rPr>
          <w:rFonts w:eastAsia="Calibri" w:cs="Calibri"/>
          <w:noProof/>
          <w:sz w:val="22"/>
          <w:szCs w:val="22"/>
        </w:rPr>
        <w:t xml:space="preserve">Rural mid-band coverage is particularly weak. The EU27 average </w:t>
      </w:r>
      <w:r w:rsidR="3B2F8B4A" w:rsidRPr="00944EB1">
        <w:rPr>
          <w:rFonts w:eastAsia="Calibri" w:cs="Calibri"/>
          <w:noProof/>
          <w:sz w:val="22"/>
          <w:szCs w:val="22"/>
        </w:rPr>
        <w:t xml:space="preserve">of </w:t>
      </w:r>
      <w:r w:rsidRPr="00944EB1">
        <w:rPr>
          <w:rFonts w:eastAsia="Calibri" w:cs="Calibri"/>
          <w:noProof/>
          <w:sz w:val="22"/>
          <w:szCs w:val="22"/>
        </w:rPr>
        <w:t xml:space="preserve">5G rural household coverage in the </w:t>
      </w:r>
      <w:r w:rsidR="37040C65" w:rsidRPr="00944EB1">
        <w:rPr>
          <w:rFonts w:eastAsia="Calibri" w:cs="Calibri"/>
          <w:noProof/>
          <w:sz w:val="22"/>
          <w:szCs w:val="22"/>
        </w:rPr>
        <w:t>3.4</w:t>
      </w:r>
      <w:r w:rsidR="00887CD7" w:rsidRPr="00944EB1">
        <w:rPr>
          <w:rFonts w:eastAsia="Calibri" w:cs="Calibri"/>
          <w:noProof/>
          <w:sz w:val="22"/>
          <w:szCs w:val="22"/>
        </w:rPr>
        <w:t>-</w:t>
      </w:r>
      <w:r w:rsidR="37040C65" w:rsidRPr="00944EB1">
        <w:rPr>
          <w:rFonts w:eastAsia="Calibri" w:cs="Calibri"/>
          <w:noProof/>
          <w:sz w:val="22"/>
          <w:szCs w:val="22"/>
        </w:rPr>
        <w:t>3.8 GHz</w:t>
      </w:r>
      <w:r w:rsidRPr="00944EB1">
        <w:rPr>
          <w:rFonts w:eastAsia="Calibri" w:cs="Calibri"/>
          <w:noProof/>
          <w:sz w:val="22"/>
          <w:szCs w:val="22"/>
        </w:rPr>
        <w:t xml:space="preserve"> </w:t>
      </w:r>
      <w:r w:rsidR="1D56B34D" w:rsidRPr="00944EB1">
        <w:rPr>
          <w:rFonts w:eastAsia="Calibri" w:cs="Calibri"/>
          <w:noProof/>
          <w:sz w:val="22"/>
          <w:szCs w:val="22"/>
        </w:rPr>
        <w:t xml:space="preserve">band </w:t>
      </w:r>
      <w:r w:rsidRPr="00944EB1">
        <w:rPr>
          <w:rFonts w:eastAsia="Calibri" w:cs="Calibri"/>
          <w:noProof/>
          <w:sz w:val="22"/>
          <w:szCs w:val="22"/>
        </w:rPr>
        <w:t xml:space="preserve">remains </w:t>
      </w:r>
      <w:r w:rsidR="18E12A5F" w:rsidRPr="00944EB1">
        <w:rPr>
          <w:rFonts w:eastAsia="Calibri" w:cs="Calibri"/>
          <w:noProof/>
          <w:sz w:val="22"/>
          <w:szCs w:val="22"/>
        </w:rPr>
        <w:t xml:space="preserve">at </w:t>
      </w:r>
      <w:r w:rsidRPr="00944EB1">
        <w:rPr>
          <w:rFonts w:eastAsia="Calibri" w:cs="Calibri"/>
          <w:noProof/>
          <w:sz w:val="22"/>
          <w:szCs w:val="22"/>
        </w:rPr>
        <w:t xml:space="preserve">around </w:t>
      </w:r>
      <w:r w:rsidR="76132E16" w:rsidRPr="00944EB1">
        <w:rPr>
          <w:rFonts w:eastAsia="Calibri" w:cs="Calibri"/>
          <w:noProof/>
          <w:sz w:val="22"/>
          <w:szCs w:val="22"/>
        </w:rPr>
        <w:t>3</w:t>
      </w:r>
      <w:r w:rsidR="1AB12F50" w:rsidRPr="00944EB1">
        <w:rPr>
          <w:rFonts w:eastAsia="Calibri" w:cs="Calibri"/>
          <w:noProof/>
          <w:sz w:val="22"/>
          <w:szCs w:val="22"/>
        </w:rPr>
        <w:t>3</w:t>
      </w:r>
      <w:r w:rsidRPr="00944EB1">
        <w:rPr>
          <w:rFonts w:eastAsia="Calibri" w:cs="Calibri"/>
          <w:noProof/>
          <w:sz w:val="22"/>
          <w:szCs w:val="22"/>
        </w:rPr>
        <w:t xml:space="preserve">%, indicating that </w:t>
      </w:r>
      <w:r w:rsidR="00197BDF" w:rsidRPr="00944EB1">
        <w:rPr>
          <w:rFonts w:eastAsia="Calibri" w:cs="Calibri"/>
          <w:noProof/>
          <w:sz w:val="22"/>
          <w:szCs w:val="22"/>
        </w:rPr>
        <w:t>progress is</w:t>
      </w:r>
      <w:r w:rsidRPr="00944EB1">
        <w:rPr>
          <w:rFonts w:eastAsia="Calibri" w:cs="Calibri"/>
          <w:noProof/>
          <w:sz w:val="22"/>
          <w:szCs w:val="22"/>
        </w:rPr>
        <w:t xml:space="preserve"> largely </w:t>
      </w:r>
      <w:r w:rsidR="00197BDF" w:rsidRPr="00944EB1">
        <w:rPr>
          <w:rFonts w:eastAsia="Calibri" w:cs="Calibri"/>
          <w:noProof/>
          <w:sz w:val="22"/>
          <w:szCs w:val="22"/>
        </w:rPr>
        <w:t>confined to</w:t>
      </w:r>
      <w:r w:rsidRPr="00944EB1">
        <w:rPr>
          <w:rFonts w:eastAsia="Calibri" w:cs="Calibri"/>
          <w:noProof/>
          <w:sz w:val="22"/>
          <w:szCs w:val="22"/>
        </w:rPr>
        <w:t xml:space="preserve"> urban</w:t>
      </w:r>
      <w:r w:rsidR="00197BDF" w:rsidRPr="00944EB1">
        <w:rPr>
          <w:rFonts w:eastAsia="Calibri" w:cs="Calibri"/>
          <w:noProof/>
          <w:sz w:val="22"/>
          <w:szCs w:val="22"/>
        </w:rPr>
        <w:t xml:space="preserve"> areas</w:t>
      </w:r>
      <w:r w:rsidRPr="00944EB1">
        <w:rPr>
          <w:rFonts w:eastAsia="Calibri" w:cs="Calibri"/>
          <w:noProof/>
          <w:sz w:val="22"/>
          <w:szCs w:val="22"/>
        </w:rPr>
        <w:t>.</w:t>
      </w:r>
    </w:p>
    <w:p w14:paraId="1C01B32E" w14:textId="2A0D1A2B" w:rsidR="1DCB6AB3" w:rsidRPr="00944EB1" w:rsidRDefault="4D364BAC" w:rsidP="00944EB1">
      <w:pPr>
        <w:spacing w:line="278" w:lineRule="auto"/>
        <w:rPr>
          <w:rFonts w:eastAsia="Calibri" w:cs="Calibri"/>
          <w:noProof/>
          <w:sz w:val="22"/>
          <w:szCs w:val="22"/>
        </w:rPr>
      </w:pPr>
      <w:r w:rsidRPr="00944EB1">
        <w:rPr>
          <w:rFonts w:eastAsia="Calibri" w:cs="Calibri"/>
          <w:noProof/>
          <w:sz w:val="22"/>
          <w:szCs w:val="22"/>
        </w:rPr>
        <w:t xml:space="preserve">This gap is closely linked to delays </w:t>
      </w:r>
      <w:r w:rsidR="0009680F" w:rsidRPr="00944EB1">
        <w:rPr>
          <w:rFonts w:eastAsia="Calibri" w:cs="Calibri"/>
          <w:noProof/>
          <w:sz w:val="22"/>
          <w:szCs w:val="22"/>
        </w:rPr>
        <w:t xml:space="preserve">and modalities </w:t>
      </w:r>
      <w:r w:rsidRPr="00944EB1">
        <w:rPr>
          <w:rFonts w:eastAsia="Calibri" w:cs="Calibri"/>
          <w:noProof/>
          <w:sz w:val="22"/>
          <w:szCs w:val="22"/>
        </w:rPr>
        <w:t>in the assignment of all three 5G pioneer bands</w:t>
      </w:r>
      <w:r w:rsidR="26DE0CB1" w:rsidRPr="00944EB1">
        <w:rPr>
          <w:rFonts w:eastAsia="Calibri" w:cs="Calibri"/>
          <w:noProof/>
          <w:sz w:val="22"/>
          <w:szCs w:val="22"/>
        </w:rPr>
        <w:t>.</w:t>
      </w:r>
      <w:r w:rsidRPr="00944EB1">
        <w:rPr>
          <w:rFonts w:eastAsia="Calibri" w:cs="Calibri"/>
          <w:noProof/>
          <w:sz w:val="22"/>
          <w:szCs w:val="22"/>
        </w:rPr>
        <w:t xml:space="preserve"> The process of authorising 5G pioneer spectrum across the EU has been lengthy, </w:t>
      </w:r>
      <w:r w:rsidR="5496C4C9" w:rsidRPr="00944EB1">
        <w:rPr>
          <w:rFonts w:eastAsia="Calibri" w:cs="Calibri"/>
          <w:noProof/>
          <w:sz w:val="22"/>
          <w:szCs w:val="22"/>
        </w:rPr>
        <w:t xml:space="preserve">fragmented and </w:t>
      </w:r>
      <w:r w:rsidR="5F6C3329" w:rsidRPr="00944EB1">
        <w:rPr>
          <w:rFonts w:eastAsia="Calibri" w:cs="Calibri"/>
          <w:noProof/>
          <w:sz w:val="22"/>
          <w:szCs w:val="22"/>
        </w:rPr>
        <w:t>insuf</w:t>
      </w:r>
      <w:r w:rsidR="0B34BC0C" w:rsidRPr="00944EB1">
        <w:rPr>
          <w:rFonts w:eastAsia="Calibri" w:cs="Calibri"/>
          <w:noProof/>
          <w:sz w:val="22"/>
          <w:szCs w:val="22"/>
        </w:rPr>
        <w:t>f</w:t>
      </w:r>
      <w:r w:rsidR="5F6C3329" w:rsidRPr="00944EB1">
        <w:rPr>
          <w:rFonts w:eastAsia="Calibri" w:cs="Calibri"/>
          <w:noProof/>
          <w:sz w:val="22"/>
          <w:szCs w:val="22"/>
        </w:rPr>
        <w:t>iciently</w:t>
      </w:r>
      <w:r w:rsidR="00533A69" w:rsidRPr="00944EB1">
        <w:rPr>
          <w:rFonts w:eastAsia="Calibri" w:cs="Calibri"/>
          <w:noProof/>
          <w:sz w:val="22"/>
          <w:szCs w:val="22"/>
        </w:rPr>
        <w:t xml:space="preserve"> </w:t>
      </w:r>
      <w:r w:rsidR="29BD0645" w:rsidRPr="00944EB1">
        <w:rPr>
          <w:rFonts w:eastAsia="Calibri" w:cs="Calibri"/>
          <w:noProof/>
          <w:sz w:val="22"/>
          <w:szCs w:val="22"/>
        </w:rPr>
        <w:t xml:space="preserve">predictable, </w:t>
      </w:r>
      <w:r w:rsidRPr="00944EB1">
        <w:rPr>
          <w:rFonts w:eastAsia="Calibri" w:cs="Calibri"/>
          <w:noProof/>
          <w:sz w:val="22"/>
          <w:szCs w:val="22"/>
        </w:rPr>
        <w:t>spanning more than a decade. In particular, most national auctions for the 3.4</w:t>
      </w:r>
      <w:r w:rsidR="00944EB1">
        <w:rPr>
          <w:rFonts w:eastAsia="Calibri" w:cs="Calibri"/>
          <w:noProof/>
          <w:sz w:val="22"/>
          <w:szCs w:val="22"/>
        </w:rPr>
        <w:t>-</w:t>
      </w:r>
      <w:r w:rsidRPr="00944EB1">
        <w:rPr>
          <w:rFonts w:eastAsia="Calibri" w:cs="Calibri"/>
          <w:noProof/>
          <w:sz w:val="22"/>
          <w:szCs w:val="22"/>
        </w:rPr>
        <w:t>3.8 GHz took place over a relatively long period, between 2017 and 2024. Member States that assigned spectrum earlier reached higher population coverage more quickly than later movers</w:t>
      </w:r>
      <w:r w:rsidR="00385394" w:rsidRPr="00944EB1">
        <w:rPr>
          <w:rStyle w:val="FootnoteReference"/>
          <w:rFonts w:eastAsia="Calibri" w:cs="Calibri"/>
          <w:noProof/>
          <w:sz w:val="22"/>
          <w:szCs w:val="22"/>
        </w:rPr>
        <w:footnoteReference w:id="36"/>
      </w:r>
      <w:r w:rsidR="286B6D5B" w:rsidRPr="00944EB1">
        <w:rPr>
          <w:rFonts w:eastAsia="Calibri" w:cs="Calibri"/>
          <w:noProof/>
          <w:sz w:val="22"/>
          <w:szCs w:val="22"/>
        </w:rPr>
        <w:t>.</w:t>
      </w:r>
      <w:r w:rsidRPr="00944EB1">
        <w:rPr>
          <w:rFonts w:eastAsia="Calibri" w:cs="Calibri"/>
          <w:noProof/>
          <w:sz w:val="22"/>
          <w:szCs w:val="22"/>
        </w:rPr>
        <w:t xml:space="preserve"> </w:t>
      </w:r>
    </w:p>
    <w:p w14:paraId="0621030D" w14:textId="3C587D51" w:rsidR="1DCB6AB3" w:rsidRPr="00944EB1" w:rsidRDefault="00262884" w:rsidP="00944EB1">
      <w:pPr>
        <w:spacing w:line="278" w:lineRule="auto"/>
        <w:rPr>
          <w:rFonts w:eastAsia="Calibri" w:cs="Calibri"/>
          <w:noProof/>
          <w:sz w:val="22"/>
          <w:szCs w:val="22"/>
        </w:rPr>
      </w:pPr>
      <w:r w:rsidRPr="00944EB1">
        <w:rPr>
          <w:rFonts w:eastAsia="Calibri" w:cs="Calibri"/>
          <w:noProof/>
          <w:sz w:val="22"/>
          <w:szCs w:val="22"/>
        </w:rPr>
        <w:t>This gap in high-capacity 5G deployment</w:t>
      </w:r>
      <w:r w:rsidRPr="00944EB1">
        <w:rPr>
          <w:rFonts w:eastAsia="Calibri" w:cs="Calibri"/>
          <w:b/>
          <w:noProof/>
          <w:sz w:val="22"/>
          <w:szCs w:val="22"/>
        </w:rPr>
        <w:t xml:space="preserve"> limits the ability to deliver quality-assured services and advanced use cases</w:t>
      </w:r>
      <w:r w:rsidRPr="00944EB1">
        <w:rPr>
          <w:rFonts w:eastAsia="Calibri" w:cs="Calibri"/>
          <w:noProof/>
          <w:sz w:val="22"/>
          <w:szCs w:val="22"/>
        </w:rPr>
        <w:t>, such as industrial automation, connected mobility and other mission-critical applications, and</w:t>
      </w:r>
      <w:r w:rsidRPr="00944EB1">
        <w:rPr>
          <w:rFonts w:eastAsia="Calibri" w:cs="Calibri"/>
          <w:b/>
          <w:noProof/>
          <w:sz w:val="22"/>
          <w:szCs w:val="22"/>
        </w:rPr>
        <w:t xml:space="preserve"> risks undermining Europe’s competitiveness in next-generation digital services</w:t>
      </w:r>
      <w:r w:rsidRPr="00944EB1">
        <w:rPr>
          <w:rFonts w:eastAsia="Calibri" w:cs="Calibri"/>
          <w:noProof/>
          <w:sz w:val="22"/>
          <w:szCs w:val="22"/>
        </w:rPr>
        <w:t>.</w:t>
      </w:r>
    </w:p>
    <w:p w14:paraId="75E622D1" w14:textId="6B67561B" w:rsidR="007D3A52" w:rsidRPr="00944EB1" w:rsidRDefault="1747F6E3" w:rsidP="00944EB1">
      <w:pPr>
        <w:spacing w:line="278" w:lineRule="auto"/>
        <w:rPr>
          <w:rFonts w:eastAsia="Calibri" w:cs="Calibri"/>
          <w:noProof/>
          <w:sz w:val="22"/>
          <w:szCs w:val="22"/>
        </w:rPr>
      </w:pPr>
      <w:r w:rsidRPr="00944EB1">
        <w:rPr>
          <w:rFonts w:eastAsia="Calibri" w:cs="Calibri"/>
          <w:noProof/>
          <w:sz w:val="22"/>
          <w:szCs w:val="22"/>
        </w:rPr>
        <w:t>A</w:t>
      </w:r>
      <w:r w:rsidR="0DCEE28E" w:rsidRPr="00944EB1">
        <w:rPr>
          <w:rFonts w:eastAsia="Calibri" w:cs="Calibri"/>
          <w:noProof/>
          <w:sz w:val="22"/>
          <w:szCs w:val="22"/>
        </w:rPr>
        <w:t>cross</w:t>
      </w:r>
      <w:r w:rsidR="007A5F3D" w:rsidRPr="00944EB1" w:rsidDel="00ED7FA9">
        <w:rPr>
          <w:rFonts w:eastAsia="Calibri" w:cs="Calibri"/>
          <w:noProof/>
          <w:sz w:val="22"/>
          <w:szCs w:val="22"/>
        </w:rPr>
        <w:t xml:space="preserve"> </w:t>
      </w:r>
      <w:r w:rsidR="007A5F3D" w:rsidRPr="00944EB1">
        <w:rPr>
          <w:rFonts w:eastAsia="Calibri" w:cs="Calibri"/>
          <w:noProof/>
          <w:sz w:val="22"/>
          <w:szCs w:val="22"/>
        </w:rPr>
        <w:t>Member States, 5G deployment remains predominantly based on Non-Standalone (NSA) architecture, which relies on existing 4G core</w:t>
      </w:r>
      <w:r w:rsidR="00A521B5" w:rsidRPr="00944EB1">
        <w:rPr>
          <w:rFonts w:eastAsia="Calibri" w:cs="Calibri"/>
          <w:noProof/>
          <w:sz w:val="22"/>
          <w:szCs w:val="22"/>
          <w:vertAlign w:val="superscript"/>
        </w:rPr>
        <w:footnoteReference w:id="37"/>
      </w:r>
      <w:r w:rsidR="00526040" w:rsidRPr="00944EB1">
        <w:rPr>
          <w:rFonts w:eastAsia="Calibri" w:cs="Calibri"/>
          <w:noProof/>
          <w:sz w:val="22"/>
          <w:szCs w:val="22"/>
        </w:rPr>
        <w:t>.</w:t>
      </w:r>
      <w:r w:rsidR="00526040" w:rsidRPr="00944EB1">
        <w:rPr>
          <w:rFonts w:eastAsia="Calibri" w:cs="Calibri"/>
          <w:b/>
          <w:bCs/>
          <w:noProof/>
          <w:sz w:val="22"/>
          <w:szCs w:val="22"/>
        </w:rPr>
        <w:t xml:space="preserve"> </w:t>
      </w:r>
      <w:r w:rsidR="5F15A843" w:rsidRPr="00944EB1">
        <w:rPr>
          <w:rFonts w:eastAsia="Calibri" w:cs="Calibri"/>
          <w:b/>
          <w:bCs/>
          <w:noProof/>
          <w:sz w:val="22"/>
          <w:szCs w:val="22"/>
        </w:rPr>
        <w:t xml:space="preserve">5G </w:t>
      </w:r>
      <w:r w:rsidR="37B47EFC" w:rsidRPr="00944EB1">
        <w:rPr>
          <w:rFonts w:eastAsia="Calibri" w:cs="Calibri"/>
          <w:b/>
          <w:bCs/>
          <w:noProof/>
          <w:sz w:val="22"/>
          <w:szCs w:val="22"/>
        </w:rPr>
        <w:t xml:space="preserve">SA deployment (measured as 5G </w:t>
      </w:r>
      <w:r w:rsidR="198FC0BD" w:rsidRPr="00944EB1">
        <w:rPr>
          <w:rFonts w:eastAsia="Calibri" w:cs="Calibri"/>
          <w:b/>
          <w:bCs/>
          <w:noProof/>
          <w:sz w:val="22"/>
          <w:szCs w:val="22"/>
        </w:rPr>
        <w:t xml:space="preserve">SA </w:t>
      </w:r>
      <w:r w:rsidR="37B47EFC" w:rsidRPr="00944EB1">
        <w:rPr>
          <w:rFonts w:eastAsia="Calibri" w:cs="Calibri"/>
          <w:b/>
          <w:bCs/>
          <w:noProof/>
          <w:sz w:val="22"/>
          <w:szCs w:val="22"/>
        </w:rPr>
        <w:t xml:space="preserve">base stations as % of all mobile base stations) stands only at </w:t>
      </w:r>
      <w:r w:rsidR="5F24E81A" w:rsidRPr="00944EB1">
        <w:rPr>
          <w:rFonts w:eastAsia="Calibri" w:cs="Calibri"/>
          <w:b/>
          <w:bCs/>
          <w:noProof/>
          <w:sz w:val="22"/>
          <w:szCs w:val="22"/>
        </w:rPr>
        <w:t>2</w:t>
      </w:r>
      <w:r w:rsidR="413EA71C" w:rsidRPr="00944EB1">
        <w:rPr>
          <w:rFonts w:eastAsia="Calibri" w:cs="Calibri"/>
          <w:b/>
          <w:bCs/>
          <w:noProof/>
          <w:sz w:val="22"/>
          <w:szCs w:val="22"/>
        </w:rPr>
        <w:t>0</w:t>
      </w:r>
      <w:r w:rsidR="5F24E81A" w:rsidRPr="00944EB1">
        <w:rPr>
          <w:rFonts w:eastAsia="Calibri" w:cs="Calibri"/>
          <w:b/>
          <w:bCs/>
          <w:noProof/>
          <w:sz w:val="22"/>
          <w:szCs w:val="22"/>
        </w:rPr>
        <w:t>.</w:t>
      </w:r>
      <w:r w:rsidR="44A47E6E" w:rsidRPr="00944EB1">
        <w:rPr>
          <w:rFonts w:eastAsia="Calibri" w:cs="Calibri"/>
          <w:b/>
          <w:bCs/>
          <w:noProof/>
          <w:sz w:val="22"/>
          <w:szCs w:val="22"/>
        </w:rPr>
        <w:t>9</w:t>
      </w:r>
      <w:r w:rsidR="37B47EFC" w:rsidRPr="00944EB1">
        <w:rPr>
          <w:rFonts w:eastAsia="Calibri" w:cs="Calibri"/>
          <w:b/>
          <w:bCs/>
          <w:noProof/>
          <w:sz w:val="22"/>
          <w:szCs w:val="22"/>
        </w:rPr>
        <w:t>%</w:t>
      </w:r>
      <w:r w:rsidR="36C27E2C" w:rsidRPr="00944EB1">
        <w:rPr>
          <w:rFonts w:eastAsia="Calibri" w:cs="Calibri"/>
          <w:b/>
          <w:bCs/>
          <w:noProof/>
          <w:sz w:val="22"/>
          <w:szCs w:val="22"/>
        </w:rPr>
        <w:t xml:space="preserve"> in the EU</w:t>
      </w:r>
      <w:r w:rsidR="65D26DFD" w:rsidRPr="00944EB1">
        <w:rPr>
          <w:rFonts w:eastAsia="Calibri" w:cs="Calibri"/>
          <w:b/>
          <w:bCs/>
          <w:noProof/>
          <w:sz w:val="22"/>
          <w:szCs w:val="22"/>
        </w:rPr>
        <w:t>,</w:t>
      </w:r>
      <w:r w:rsidR="65D26DFD" w:rsidRPr="00944EB1">
        <w:rPr>
          <w:rFonts w:cs="Calibri"/>
          <w:noProof/>
          <w:sz w:val="22"/>
          <w:szCs w:val="22"/>
        </w:rPr>
        <w:t xml:space="preserve"> </w:t>
      </w:r>
      <w:r w:rsidR="47A91DBB" w:rsidRPr="00944EB1" w:rsidDel="1747F6E3">
        <w:rPr>
          <w:rFonts w:cs="Calibri"/>
          <w:noProof/>
          <w:sz w:val="22"/>
          <w:szCs w:val="22"/>
        </w:rPr>
        <w:t>below</w:t>
      </w:r>
      <w:r w:rsidR="65D26DFD" w:rsidRPr="00944EB1">
        <w:rPr>
          <w:rFonts w:cs="Calibri"/>
          <w:noProof/>
          <w:sz w:val="22"/>
          <w:szCs w:val="22"/>
        </w:rPr>
        <w:t xml:space="preserve"> US</w:t>
      </w:r>
      <w:r w:rsidR="50816728" w:rsidRPr="00944EB1">
        <w:rPr>
          <w:rFonts w:cs="Calibri"/>
          <w:noProof/>
          <w:sz w:val="22"/>
          <w:szCs w:val="22"/>
        </w:rPr>
        <w:t xml:space="preserve"> (36.2%), China (34.8%), Japan (26.3%) and South Korea (26.2</w:t>
      </w:r>
      <w:r w:rsidR="19092B98" w:rsidRPr="00944EB1">
        <w:rPr>
          <w:rFonts w:cs="Calibri"/>
          <w:noProof/>
          <w:sz w:val="22"/>
          <w:szCs w:val="22"/>
        </w:rPr>
        <w:t>%)</w:t>
      </w:r>
      <w:r w:rsidRPr="00944EB1">
        <w:rPr>
          <w:rFonts w:eastAsia="Calibri" w:cs="Calibri"/>
          <w:noProof/>
          <w:sz w:val="22"/>
          <w:szCs w:val="22"/>
          <w:vertAlign w:val="superscript"/>
        </w:rPr>
        <w:footnoteReference w:id="38"/>
      </w:r>
      <w:r w:rsidR="75104013" w:rsidRPr="00944EB1">
        <w:rPr>
          <w:rFonts w:eastAsia="Calibri" w:cs="Calibri"/>
          <w:noProof/>
          <w:sz w:val="22"/>
          <w:szCs w:val="22"/>
        </w:rPr>
        <w:t>.</w:t>
      </w:r>
      <w:r w:rsidR="6D1D544A" w:rsidRPr="00944EB1">
        <w:rPr>
          <w:rFonts w:eastAsia="Calibri" w:cs="Calibri"/>
          <w:noProof/>
          <w:sz w:val="22"/>
          <w:szCs w:val="22"/>
        </w:rPr>
        <w:t xml:space="preserve"> </w:t>
      </w:r>
      <w:r w:rsidR="22E633F1" w:rsidRPr="00944EB1">
        <w:rPr>
          <w:rFonts w:eastAsia="Segoe UI" w:cs="Calibri"/>
          <w:noProof/>
          <w:color w:val="242424"/>
          <w:sz w:val="22"/>
          <w:szCs w:val="22"/>
        </w:rPr>
        <w:t>Other sources estimate that</w:t>
      </w:r>
      <w:r w:rsidR="000C7C80" w:rsidRPr="00944EB1">
        <w:rPr>
          <w:rFonts w:eastAsia="Segoe UI" w:cs="Calibri"/>
          <w:noProof/>
          <w:color w:val="242424"/>
          <w:sz w:val="22"/>
          <w:szCs w:val="22"/>
        </w:rPr>
        <w:t xml:space="preserve"> </w:t>
      </w:r>
      <w:r w:rsidR="000C7C80" w:rsidRPr="00944EB1">
        <w:rPr>
          <w:rFonts w:eastAsia="Segoe UI" w:cs="Calibri"/>
          <w:b/>
          <w:bCs/>
          <w:noProof/>
          <w:color w:val="242424"/>
          <w:sz w:val="22"/>
          <w:szCs w:val="22"/>
        </w:rPr>
        <w:t xml:space="preserve">only around 40% of </w:t>
      </w:r>
      <w:r w:rsidR="008B4C1C" w:rsidRPr="00944EB1">
        <w:rPr>
          <w:rFonts w:eastAsia="Segoe UI" w:cs="Calibri"/>
          <w:b/>
          <w:bCs/>
          <w:noProof/>
          <w:color w:val="242424"/>
          <w:sz w:val="22"/>
          <w:szCs w:val="22"/>
        </w:rPr>
        <w:t xml:space="preserve">the </w:t>
      </w:r>
      <w:r w:rsidR="000C7C80" w:rsidRPr="00944EB1">
        <w:rPr>
          <w:rFonts w:eastAsia="Segoe UI" w:cs="Calibri"/>
          <w:b/>
          <w:bCs/>
          <w:noProof/>
          <w:color w:val="242424"/>
          <w:sz w:val="22"/>
          <w:szCs w:val="22"/>
        </w:rPr>
        <w:t xml:space="preserve">EU territory is covered by high capacity 5G </w:t>
      </w:r>
      <w:r w:rsidR="000C5211" w:rsidRPr="00944EB1">
        <w:rPr>
          <w:rFonts w:eastAsia="Segoe UI" w:cs="Calibri"/>
          <w:b/>
          <w:bCs/>
          <w:noProof/>
          <w:color w:val="242424"/>
          <w:sz w:val="22"/>
          <w:szCs w:val="22"/>
        </w:rPr>
        <w:t>SA</w:t>
      </w:r>
      <w:r w:rsidR="4A02E9A8" w:rsidRPr="00944EB1">
        <w:rPr>
          <w:rFonts w:eastAsia="Segoe UI" w:cs="Calibri"/>
          <w:noProof/>
          <w:color w:val="242424"/>
          <w:sz w:val="22"/>
          <w:szCs w:val="22"/>
        </w:rPr>
        <w:t>,</w:t>
      </w:r>
      <w:r w:rsidR="000C7C80" w:rsidRPr="00944EB1">
        <w:rPr>
          <w:rFonts w:eastAsia="Segoe UI" w:cs="Calibri"/>
          <w:noProof/>
          <w:color w:val="242424"/>
          <w:sz w:val="22"/>
          <w:szCs w:val="22"/>
        </w:rPr>
        <w:t xml:space="preserve"> compared to 91% in North America and 45% in Asia-Pacific, highlighting </w:t>
      </w:r>
      <w:r w:rsidR="12E82681" w:rsidRPr="00944EB1">
        <w:rPr>
          <w:rFonts w:eastAsia="Segoe UI" w:cs="Calibri"/>
          <w:noProof/>
          <w:color w:val="242424"/>
          <w:sz w:val="22"/>
          <w:szCs w:val="22"/>
        </w:rPr>
        <w:t>once again</w:t>
      </w:r>
      <w:r w:rsidR="000C7C80" w:rsidRPr="00944EB1">
        <w:rPr>
          <w:rFonts w:eastAsia="Segoe UI" w:cs="Calibri"/>
          <w:noProof/>
          <w:color w:val="242424"/>
          <w:sz w:val="22"/>
          <w:szCs w:val="22"/>
        </w:rPr>
        <w:t xml:space="preserve"> a significant infrastructure gap</w:t>
      </w:r>
      <w:r w:rsidR="2454A766" w:rsidRPr="00944EB1">
        <w:rPr>
          <w:rFonts w:eastAsia="Segoe UI" w:cs="Calibri"/>
          <w:noProof/>
          <w:color w:val="242424"/>
          <w:sz w:val="22"/>
          <w:szCs w:val="22"/>
        </w:rPr>
        <w:t>.</w:t>
      </w:r>
    </w:p>
    <w:p w14:paraId="67353D02" w14:textId="3F59B5D7" w:rsidR="007D3A52" w:rsidRPr="00944EB1" w:rsidRDefault="007D3A52" w:rsidP="00944EB1">
      <w:pPr>
        <w:spacing w:line="278" w:lineRule="auto"/>
        <w:rPr>
          <w:rFonts w:eastAsia="Calibri" w:cs="Calibri"/>
          <w:noProof/>
          <w:sz w:val="22"/>
          <w:szCs w:val="22"/>
        </w:rPr>
      </w:pPr>
      <w:r w:rsidRPr="00944EB1">
        <w:rPr>
          <w:rFonts w:eastAsia="Calibri" w:cs="Calibri"/>
          <w:noProof/>
          <w:sz w:val="22"/>
          <w:szCs w:val="22"/>
        </w:rPr>
        <w:t xml:space="preserve">Most EU countries launched NSA networks between 2019 and 2021, enabling early market rollout. </w:t>
      </w:r>
      <w:r w:rsidR="000E2B21" w:rsidRPr="00944EB1">
        <w:rPr>
          <w:rFonts w:eastAsia="Calibri" w:cs="Calibri"/>
          <w:noProof/>
          <w:sz w:val="22"/>
          <w:szCs w:val="22"/>
        </w:rPr>
        <w:t>However,</w:t>
      </w:r>
      <w:r w:rsidRPr="00944EB1" w:rsidDel="000E2B21">
        <w:rPr>
          <w:rFonts w:eastAsia="Calibri" w:cs="Calibri"/>
          <w:noProof/>
          <w:sz w:val="22"/>
          <w:szCs w:val="22"/>
        </w:rPr>
        <w:t xml:space="preserve"> </w:t>
      </w:r>
      <w:r w:rsidR="000E2B21" w:rsidRPr="00944EB1">
        <w:rPr>
          <w:rFonts w:eastAsia="Calibri" w:cs="Calibri"/>
          <w:noProof/>
          <w:sz w:val="22"/>
          <w:szCs w:val="22"/>
        </w:rPr>
        <w:t>the</w:t>
      </w:r>
      <w:r w:rsidRPr="00944EB1">
        <w:rPr>
          <w:rFonts w:eastAsia="Calibri" w:cs="Calibri"/>
          <w:noProof/>
          <w:sz w:val="22"/>
          <w:szCs w:val="22"/>
        </w:rPr>
        <w:t xml:space="preserve"> transition to 5G SA, which introduces a fully virtualised 5G core and enables advanced capabilities such as network slicing, ultra-low latency, and </w:t>
      </w:r>
      <w:r w:rsidR="007D7354">
        <w:rPr>
          <w:rFonts w:eastAsia="Calibri" w:cs="Calibri"/>
          <w:noProof/>
          <w:sz w:val="22"/>
          <w:szCs w:val="22"/>
        </w:rPr>
        <w:t>5G SA</w:t>
      </w:r>
      <w:r w:rsidR="003C20C0">
        <w:rPr>
          <w:rFonts w:eastAsia="Calibri" w:cs="Calibri"/>
          <w:noProof/>
          <w:sz w:val="22"/>
          <w:szCs w:val="22"/>
        </w:rPr>
        <w:t xml:space="preserve"> </w:t>
      </w:r>
      <w:r w:rsidRPr="00944EB1">
        <w:rPr>
          <w:rFonts w:eastAsia="Calibri" w:cs="Calibri"/>
          <w:noProof/>
          <w:sz w:val="22"/>
          <w:szCs w:val="22"/>
        </w:rPr>
        <w:t>private network services, i.e. capabilities that are important for competitiveness of EU industry, has been more gradual and uneven</w:t>
      </w:r>
      <w:r w:rsidR="000E2B21" w:rsidRPr="00944EB1">
        <w:rPr>
          <w:rFonts w:eastAsia="Calibri" w:cs="Calibri"/>
          <w:noProof/>
          <w:sz w:val="22"/>
          <w:szCs w:val="22"/>
        </w:rPr>
        <w:t xml:space="preserve"> in the EU </w:t>
      </w:r>
      <w:r w:rsidR="0A3804E9" w:rsidRPr="00944EB1">
        <w:rPr>
          <w:rFonts w:eastAsia="Calibri" w:cs="Calibri"/>
          <w:noProof/>
          <w:sz w:val="22"/>
          <w:szCs w:val="22"/>
        </w:rPr>
        <w:t>tha</w:t>
      </w:r>
      <w:r w:rsidR="63B96F37" w:rsidRPr="00944EB1">
        <w:rPr>
          <w:rFonts w:eastAsia="Calibri" w:cs="Calibri"/>
          <w:noProof/>
          <w:sz w:val="22"/>
          <w:szCs w:val="22"/>
        </w:rPr>
        <w:t>n</w:t>
      </w:r>
      <w:r w:rsidR="000E2B21" w:rsidRPr="00944EB1">
        <w:rPr>
          <w:rFonts w:eastAsia="Calibri" w:cs="Calibri"/>
          <w:noProof/>
          <w:sz w:val="22"/>
          <w:szCs w:val="22"/>
        </w:rPr>
        <w:t xml:space="preserve"> in other</w:t>
      </w:r>
      <w:r w:rsidR="00784E1D" w:rsidRPr="00944EB1">
        <w:rPr>
          <w:rFonts w:eastAsia="Calibri" w:cs="Calibri"/>
          <w:noProof/>
          <w:sz w:val="22"/>
          <w:szCs w:val="22"/>
        </w:rPr>
        <w:t xml:space="preserve"> advanced</w:t>
      </w:r>
      <w:r w:rsidR="0FF5697E" w:rsidRPr="00944EB1">
        <w:rPr>
          <w:rFonts w:eastAsia="Calibri" w:cs="Calibri"/>
          <w:noProof/>
          <w:sz w:val="22"/>
          <w:szCs w:val="22"/>
        </w:rPr>
        <w:t xml:space="preserve"> </w:t>
      </w:r>
      <w:r w:rsidR="001B2CC8" w:rsidRPr="00944EB1">
        <w:rPr>
          <w:rFonts w:eastAsia="Calibri" w:cs="Calibri"/>
          <w:noProof/>
          <w:sz w:val="22"/>
          <w:szCs w:val="22"/>
        </w:rPr>
        <w:t>economies</w:t>
      </w:r>
      <w:r w:rsidRPr="00944EB1">
        <w:rPr>
          <w:rFonts w:eastAsia="Calibri" w:cs="Calibri"/>
          <w:noProof/>
          <w:sz w:val="22"/>
          <w:szCs w:val="22"/>
        </w:rPr>
        <w:t>.</w:t>
      </w:r>
    </w:p>
    <w:p w14:paraId="65D2733F" w14:textId="6FA1C4DB" w:rsidR="000015EF" w:rsidRPr="00944EB1" w:rsidRDefault="000015EF" w:rsidP="00944EB1">
      <w:pPr>
        <w:spacing w:line="278" w:lineRule="auto"/>
        <w:rPr>
          <w:rFonts w:eastAsia="Calibri" w:cs="Calibri"/>
          <w:noProof/>
          <w:sz w:val="22"/>
          <w:szCs w:val="22"/>
        </w:rPr>
      </w:pPr>
      <w:r w:rsidRPr="00944EB1">
        <w:rPr>
          <w:rFonts w:eastAsia="Calibri" w:cs="Calibri"/>
          <w:b/>
          <w:noProof/>
          <w:sz w:val="22"/>
          <w:szCs w:val="22"/>
        </w:rPr>
        <w:t xml:space="preserve">Europe is also significantly lagging behind in take-up as </w:t>
      </w:r>
      <w:r w:rsidR="00526CA2" w:rsidRPr="00944EB1">
        <w:rPr>
          <w:rFonts w:eastAsia="Calibri" w:cs="Calibri"/>
          <w:b/>
          <w:noProof/>
          <w:sz w:val="22"/>
          <w:szCs w:val="22"/>
        </w:rPr>
        <w:t>in</w:t>
      </w:r>
      <w:r w:rsidRPr="00944EB1">
        <w:rPr>
          <w:rFonts w:eastAsia="Calibri" w:cs="Calibri"/>
          <w:b/>
          <w:noProof/>
          <w:sz w:val="22"/>
          <w:szCs w:val="22"/>
        </w:rPr>
        <w:t xml:space="preserve"> </w:t>
      </w:r>
      <w:r w:rsidR="6FB4A78A" w:rsidRPr="00944EB1">
        <w:rPr>
          <w:rFonts w:eastAsia="Calibri" w:cs="Calibri"/>
          <w:b/>
          <w:bCs/>
          <w:noProof/>
          <w:sz w:val="22"/>
          <w:szCs w:val="22"/>
        </w:rPr>
        <w:t>“basic</w:t>
      </w:r>
      <w:r w:rsidRPr="00944EB1">
        <w:rPr>
          <w:rFonts w:eastAsia="Calibri" w:cs="Calibri"/>
          <w:b/>
          <w:noProof/>
          <w:sz w:val="22"/>
          <w:szCs w:val="22"/>
        </w:rPr>
        <w:t>” 5G take-up</w:t>
      </w:r>
      <w:r w:rsidR="14B02D49" w:rsidRPr="00944EB1">
        <w:rPr>
          <w:rFonts w:eastAsia="Calibri" w:cs="Calibri"/>
          <w:noProof/>
          <w:sz w:val="22"/>
          <w:szCs w:val="22"/>
        </w:rPr>
        <w:t xml:space="preserve"> </w:t>
      </w:r>
      <w:r w:rsidRPr="00944EB1">
        <w:rPr>
          <w:rFonts w:eastAsia="Calibri" w:cs="Calibri"/>
          <w:noProof/>
          <w:sz w:val="22"/>
          <w:szCs w:val="22"/>
        </w:rPr>
        <w:t xml:space="preserve">(measured as a share of 5G SIM cards among all SIM cards), the EU stands at </w:t>
      </w:r>
      <w:r w:rsidR="6671782B" w:rsidRPr="00944EB1">
        <w:rPr>
          <w:rFonts w:eastAsia="Calibri" w:cs="Calibri"/>
          <w:noProof/>
          <w:sz w:val="22"/>
          <w:szCs w:val="22"/>
        </w:rPr>
        <w:t>(</w:t>
      </w:r>
      <w:r w:rsidR="7EE65AA3" w:rsidRPr="00944EB1">
        <w:rPr>
          <w:rFonts w:eastAsia="Calibri" w:cs="Calibri"/>
          <w:noProof/>
          <w:sz w:val="22"/>
          <w:szCs w:val="22"/>
        </w:rPr>
        <w:t>28.1</w:t>
      </w:r>
      <w:r w:rsidR="14B02D49" w:rsidRPr="00944EB1">
        <w:rPr>
          <w:rFonts w:eastAsia="Calibri" w:cs="Calibri"/>
          <w:noProof/>
          <w:sz w:val="22"/>
          <w:szCs w:val="22"/>
        </w:rPr>
        <w:t>%</w:t>
      </w:r>
      <w:r w:rsidR="6671782B" w:rsidRPr="00944EB1">
        <w:rPr>
          <w:rFonts w:eastAsia="Calibri" w:cs="Calibri"/>
          <w:noProof/>
          <w:sz w:val="22"/>
          <w:szCs w:val="22"/>
        </w:rPr>
        <w:t>)</w:t>
      </w:r>
      <w:r w:rsidR="14B02D49" w:rsidRPr="00944EB1">
        <w:rPr>
          <w:rFonts w:eastAsia="Calibri" w:cs="Calibri"/>
          <w:noProof/>
          <w:sz w:val="22"/>
          <w:szCs w:val="22"/>
        </w:rPr>
        <w:t>,</w:t>
      </w:r>
      <w:r w:rsidRPr="00944EB1">
        <w:rPr>
          <w:rFonts w:eastAsia="Calibri" w:cs="Calibri"/>
          <w:noProof/>
          <w:sz w:val="22"/>
          <w:szCs w:val="22"/>
        </w:rPr>
        <w:t xml:space="preserve"> which again places the region behind the leading developed countries. </w:t>
      </w:r>
      <w:r w:rsidRPr="00944EB1">
        <w:rPr>
          <w:rFonts w:cs="Calibri"/>
          <w:noProof/>
          <w:sz w:val="22"/>
          <w:szCs w:val="22"/>
        </w:rPr>
        <w:t xml:space="preserve">The US </w:t>
      </w:r>
      <w:r w:rsidR="6671782B" w:rsidRPr="00944EB1">
        <w:rPr>
          <w:rFonts w:cs="Calibri"/>
          <w:noProof/>
          <w:sz w:val="22"/>
          <w:szCs w:val="22"/>
        </w:rPr>
        <w:t>(</w:t>
      </w:r>
      <w:r w:rsidRPr="00944EB1">
        <w:rPr>
          <w:rFonts w:cs="Calibri"/>
          <w:noProof/>
          <w:sz w:val="22"/>
          <w:szCs w:val="22"/>
        </w:rPr>
        <w:t>56.7</w:t>
      </w:r>
      <w:r w:rsidR="14B02D49" w:rsidRPr="00944EB1">
        <w:rPr>
          <w:rFonts w:cs="Calibri"/>
          <w:noProof/>
          <w:sz w:val="22"/>
          <w:szCs w:val="22"/>
        </w:rPr>
        <w:t>%</w:t>
      </w:r>
      <w:r w:rsidR="6671782B" w:rsidRPr="00944EB1">
        <w:rPr>
          <w:rFonts w:cs="Calibri"/>
          <w:noProof/>
          <w:sz w:val="22"/>
          <w:szCs w:val="22"/>
        </w:rPr>
        <w:t>)</w:t>
      </w:r>
      <w:r w:rsidR="14B02D49" w:rsidRPr="00944EB1">
        <w:rPr>
          <w:rFonts w:cs="Calibri"/>
          <w:noProof/>
          <w:sz w:val="22"/>
          <w:szCs w:val="22"/>
        </w:rPr>
        <w:t>,</w:t>
      </w:r>
      <w:r w:rsidRPr="00944EB1">
        <w:rPr>
          <w:rFonts w:cs="Calibri"/>
          <w:noProof/>
          <w:sz w:val="22"/>
          <w:szCs w:val="22"/>
        </w:rPr>
        <w:t xml:space="preserve"> Japan </w:t>
      </w:r>
      <w:r w:rsidR="6671782B" w:rsidRPr="00944EB1">
        <w:rPr>
          <w:rFonts w:cs="Calibri"/>
          <w:noProof/>
          <w:sz w:val="22"/>
          <w:szCs w:val="22"/>
        </w:rPr>
        <w:t>(</w:t>
      </w:r>
      <w:r w:rsidRPr="00944EB1">
        <w:rPr>
          <w:rFonts w:cs="Calibri"/>
          <w:noProof/>
          <w:sz w:val="22"/>
          <w:szCs w:val="22"/>
        </w:rPr>
        <w:t>54.7</w:t>
      </w:r>
      <w:r w:rsidR="14B02D49" w:rsidRPr="00944EB1">
        <w:rPr>
          <w:rFonts w:cs="Calibri"/>
          <w:noProof/>
          <w:sz w:val="22"/>
          <w:szCs w:val="22"/>
        </w:rPr>
        <w:t>%</w:t>
      </w:r>
      <w:r w:rsidR="6671782B" w:rsidRPr="00944EB1">
        <w:rPr>
          <w:rFonts w:cs="Calibri"/>
          <w:noProof/>
          <w:sz w:val="22"/>
          <w:szCs w:val="22"/>
        </w:rPr>
        <w:t>)</w:t>
      </w:r>
      <w:r w:rsidR="14B02D49" w:rsidRPr="00944EB1">
        <w:rPr>
          <w:rFonts w:cs="Calibri"/>
          <w:noProof/>
          <w:sz w:val="22"/>
          <w:szCs w:val="22"/>
        </w:rPr>
        <w:t>,</w:t>
      </w:r>
      <w:r w:rsidRPr="00944EB1">
        <w:rPr>
          <w:rFonts w:cs="Calibri"/>
          <w:noProof/>
          <w:sz w:val="22"/>
          <w:szCs w:val="22"/>
        </w:rPr>
        <w:t xml:space="preserve"> So</w:t>
      </w:r>
      <w:r w:rsidRPr="00944EB1">
        <w:rPr>
          <w:rFonts w:eastAsia="Calibri" w:cs="Calibri"/>
          <w:noProof/>
          <w:sz w:val="22"/>
          <w:szCs w:val="22"/>
        </w:rPr>
        <w:t xml:space="preserve">uth Korea </w:t>
      </w:r>
      <w:r w:rsidR="6671782B" w:rsidRPr="00944EB1">
        <w:rPr>
          <w:rFonts w:eastAsia="Calibri" w:cs="Calibri"/>
          <w:noProof/>
          <w:sz w:val="22"/>
          <w:szCs w:val="22"/>
        </w:rPr>
        <w:t>(</w:t>
      </w:r>
      <w:r w:rsidRPr="00944EB1">
        <w:rPr>
          <w:rFonts w:eastAsia="Calibri" w:cs="Calibri"/>
          <w:noProof/>
          <w:sz w:val="22"/>
          <w:szCs w:val="22"/>
        </w:rPr>
        <w:t>41.</w:t>
      </w:r>
      <w:r w:rsidR="2CBAEF11" w:rsidRPr="00944EB1">
        <w:rPr>
          <w:rFonts w:eastAsia="Calibri" w:cs="Calibri"/>
          <w:noProof/>
          <w:sz w:val="22"/>
          <w:szCs w:val="22"/>
        </w:rPr>
        <w:t>0</w:t>
      </w:r>
      <w:r w:rsidR="14B02D49" w:rsidRPr="00944EB1">
        <w:rPr>
          <w:rFonts w:eastAsia="Calibri" w:cs="Calibri"/>
          <w:noProof/>
          <w:sz w:val="22"/>
          <w:szCs w:val="22"/>
        </w:rPr>
        <w:t>%</w:t>
      </w:r>
      <w:r w:rsidR="6671782B" w:rsidRPr="00944EB1">
        <w:rPr>
          <w:rFonts w:eastAsia="Calibri" w:cs="Calibri"/>
          <w:noProof/>
          <w:sz w:val="22"/>
          <w:szCs w:val="22"/>
        </w:rPr>
        <w:t>)</w:t>
      </w:r>
      <w:r w:rsidRPr="00944EB1">
        <w:rPr>
          <w:rFonts w:eastAsia="Calibri" w:cs="Calibri"/>
          <w:noProof/>
          <w:sz w:val="22"/>
          <w:szCs w:val="22"/>
        </w:rPr>
        <w:t xml:space="preserve"> and China </w:t>
      </w:r>
      <w:r w:rsidR="6671782B" w:rsidRPr="00944EB1">
        <w:rPr>
          <w:rFonts w:eastAsia="Calibri" w:cs="Calibri"/>
          <w:noProof/>
          <w:sz w:val="22"/>
          <w:szCs w:val="22"/>
        </w:rPr>
        <w:t>(</w:t>
      </w:r>
      <w:r w:rsidRPr="00944EB1">
        <w:rPr>
          <w:rFonts w:eastAsia="Calibri" w:cs="Calibri"/>
          <w:noProof/>
          <w:sz w:val="22"/>
          <w:szCs w:val="22"/>
        </w:rPr>
        <w:t>39.6</w:t>
      </w:r>
      <w:r w:rsidR="0E007B52" w:rsidRPr="00944EB1">
        <w:rPr>
          <w:rFonts w:eastAsia="Calibri" w:cs="Calibri"/>
          <w:noProof/>
          <w:sz w:val="22"/>
          <w:szCs w:val="22"/>
        </w:rPr>
        <w:t>%</w:t>
      </w:r>
      <w:r w:rsidRPr="00944EB1">
        <w:rPr>
          <w:rFonts w:eastAsia="Calibri" w:cs="Calibri"/>
          <w:noProof/>
          <w:sz w:val="22"/>
          <w:szCs w:val="22"/>
        </w:rPr>
        <w:t xml:space="preserve"> all have higher rates</w:t>
      </w:r>
      <w:r w:rsidR="00BF78E3" w:rsidRPr="00944EB1">
        <w:rPr>
          <w:rStyle w:val="FootnoteReference"/>
          <w:rFonts w:eastAsia="Calibri" w:cs="Calibri"/>
          <w:noProof/>
          <w:sz w:val="22"/>
          <w:szCs w:val="22"/>
        </w:rPr>
        <w:footnoteReference w:id="39"/>
      </w:r>
      <w:r w:rsidR="00EF01B6" w:rsidRPr="00944EB1">
        <w:rPr>
          <w:rFonts w:eastAsia="Calibri" w:cs="Calibri"/>
          <w:noProof/>
          <w:sz w:val="22"/>
          <w:szCs w:val="22"/>
        </w:rPr>
        <w:t>.</w:t>
      </w:r>
      <w:r w:rsidRPr="00944EB1">
        <w:rPr>
          <w:rFonts w:eastAsia="Calibri" w:cs="Calibri"/>
          <w:noProof/>
          <w:sz w:val="22"/>
          <w:szCs w:val="22"/>
        </w:rPr>
        <w:t xml:space="preserve"> </w:t>
      </w:r>
      <w:r w:rsidR="006938FF" w:rsidRPr="00944EB1">
        <w:rPr>
          <w:rFonts w:eastAsia="Calibri" w:cs="Calibri"/>
          <w:noProof/>
          <w:sz w:val="22"/>
          <w:szCs w:val="22"/>
        </w:rPr>
        <w:t xml:space="preserve">As of Q4 2025, only </w:t>
      </w:r>
      <w:r w:rsidR="00DD2AB6" w:rsidRPr="00944EB1">
        <w:rPr>
          <w:rFonts w:eastAsia="Calibri" w:cs="Calibri"/>
          <w:noProof/>
          <w:sz w:val="22"/>
          <w:szCs w:val="22"/>
        </w:rPr>
        <w:t xml:space="preserve">around </w:t>
      </w:r>
      <w:r w:rsidR="006938FF" w:rsidRPr="00944EB1">
        <w:rPr>
          <w:rFonts w:eastAsia="Calibri" w:cs="Calibri"/>
          <w:noProof/>
          <w:sz w:val="22"/>
          <w:szCs w:val="22"/>
        </w:rPr>
        <w:t>2.8%</w:t>
      </w:r>
      <w:r w:rsidR="00FF7DE8" w:rsidRPr="00944EB1">
        <w:rPr>
          <w:rFonts w:eastAsia="Calibri" w:cs="Calibri"/>
          <w:noProof/>
          <w:sz w:val="22"/>
          <w:szCs w:val="22"/>
        </w:rPr>
        <w:t xml:space="preserve"> </w:t>
      </w:r>
      <w:r w:rsidR="006938FF" w:rsidRPr="00944EB1">
        <w:rPr>
          <w:rFonts w:eastAsia="Calibri" w:cs="Calibri"/>
          <w:noProof/>
          <w:sz w:val="22"/>
          <w:szCs w:val="22"/>
        </w:rPr>
        <w:t>of 5G users in Europe are connected via SA networks, compared with approximately 30% in the United States, and far behind India and China, which have reached around 52% and 81% respectively</w:t>
      </w:r>
      <w:r w:rsidR="001B5BC3" w:rsidRPr="00944EB1">
        <w:rPr>
          <w:rStyle w:val="FootnoteReference"/>
          <w:rFonts w:eastAsia="Calibri" w:cs="Calibri"/>
          <w:noProof/>
          <w:sz w:val="22"/>
          <w:szCs w:val="22"/>
        </w:rPr>
        <w:footnoteReference w:id="40"/>
      </w:r>
      <w:r w:rsidR="20334ACE" w:rsidRPr="00944EB1">
        <w:rPr>
          <w:rFonts w:eastAsia="Calibri" w:cs="Calibri"/>
          <w:noProof/>
          <w:sz w:val="22"/>
          <w:szCs w:val="22"/>
        </w:rPr>
        <w:t>.</w:t>
      </w:r>
    </w:p>
    <w:p w14:paraId="1F348C1A" w14:textId="64FF8EAD" w:rsidR="005D6271" w:rsidRPr="00944EB1" w:rsidRDefault="000015EF" w:rsidP="00944EB1">
      <w:pPr>
        <w:spacing w:line="278" w:lineRule="auto"/>
        <w:rPr>
          <w:rFonts w:eastAsia="Calibri" w:cs="Calibri"/>
          <w:noProof/>
          <w:sz w:val="22"/>
          <w:szCs w:val="22"/>
        </w:rPr>
      </w:pPr>
      <w:r w:rsidRPr="00944EB1">
        <w:rPr>
          <w:rFonts w:eastAsia="Calibri" w:cs="Calibri"/>
          <w:b/>
          <w:bCs/>
          <w:noProof/>
          <w:sz w:val="22"/>
          <w:szCs w:val="22"/>
        </w:rPr>
        <w:t xml:space="preserve">The slow </w:t>
      </w:r>
      <w:r w:rsidR="00CB1939" w:rsidRPr="00CB1939">
        <w:rPr>
          <w:rFonts w:eastAsia="Calibri" w:cs="Calibri"/>
          <w:b/>
          <w:bCs/>
          <w:noProof/>
          <w:sz w:val="22"/>
          <w:szCs w:val="22"/>
        </w:rPr>
        <w:t xml:space="preserve">rollout of mid-band 5G, combined with the </w:t>
      </w:r>
      <w:r w:rsidR="00E53DBE">
        <w:rPr>
          <w:rFonts w:eastAsia="Calibri" w:cs="Calibri"/>
          <w:b/>
          <w:bCs/>
          <w:noProof/>
          <w:sz w:val="22"/>
          <w:szCs w:val="22"/>
        </w:rPr>
        <w:t xml:space="preserve">low </w:t>
      </w:r>
      <w:r w:rsidRPr="00944EB1">
        <w:rPr>
          <w:rFonts w:eastAsia="Calibri" w:cs="Calibri"/>
          <w:b/>
          <w:bCs/>
          <w:noProof/>
          <w:sz w:val="22"/>
          <w:szCs w:val="22"/>
        </w:rPr>
        <w:t>pace of 5G SA adoption in Europe</w:t>
      </w:r>
      <w:r w:rsidR="003D75DD">
        <w:rPr>
          <w:rFonts w:eastAsia="Calibri" w:cs="Calibri"/>
          <w:b/>
          <w:bCs/>
          <w:noProof/>
          <w:sz w:val="22"/>
          <w:szCs w:val="22"/>
        </w:rPr>
        <w:t xml:space="preserve"> </w:t>
      </w:r>
      <w:r w:rsidRPr="00944EB1">
        <w:rPr>
          <w:rFonts w:eastAsia="Calibri" w:cs="Calibri"/>
          <w:b/>
          <w:bCs/>
          <w:noProof/>
          <w:sz w:val="22"/>
          <w:szCs w:val="22"/>
        </w:rPr>
        <w:t>has direct repercussions for user experience</w:t>
      </w:r>
      <w:r w:rsidRPr="00944EB1">
        <w:rPr>
          <w:rFonts w:eastAsia="Calibri" w:cs="Calibri"/>
          <w:noProof/>
          <w:sz w:val="22"/>
          <w:szCs w:val="22"/>
        </w:rPr>
        <w:t>. The EU27 average download speed of 69.9 Mb</w:t>
      </w:r>
      <w:permStart w:id="1664449623" w:ed="eric.peters@ec.europa.eu"/>
      <w:permStart w:id="1241983166" w:ed="lovisa.kastensson@ec.europa.eu"/>
      <w:permStart w:id="335950854" w:ed="edoardo.bombardieri@ec.europa.eu"/>
      <w:permEnd w:id="1664449623"/>
      <w:permEnd w:id="1241983166"/>
      <w:permEnd w:id="335950854"/>
      <w:r w:rsidRPr="00944EB1">
        <w:rPr>
          <w:rFonts w:eastAsia="Calibri" w:cs="Calibri"/>
          <w:noProof/>
          <w:sz w:val="22"/>
          <w:szCs w:val="22"/>
        </w:rPr>
        <w:t>ps remains below that of South Korea (162.2 Mbps), the US (129.3 Mbps), and China (100 Mbps)</w:t>
      </w:r>
      <w:r w:rsidRPr="00944EB1">
        <w:rPr>
          <w:rFonts w:cs="Calibri"/>
          <w:noProof/>
          <w:sz w:val="22"/>
          <w:szCs w:val="22"/>
          <w:vertAlign w:val="superscript"/>
        </w:rPr>
        <w:footnoteReference w:id="41"/>
      </w:r>
      <w:r w:rsidR="19CB703C" w:rsidRPr="00944EB1">
        <w:rPr>
          <w:rFonts w:eastAsia="Calibri" w:cs="Calibri"/>
          <w:noProof/>
          <w:sz w:val="22"/>
          <w:szCs w:val="22"/>
        </w:rPr>
        <w:t>.</w:t>
      </w:r>
      <w:r w:rsidRPr="00944EB1">
        <w:rPr>
          <w:rFonts w:eastAsia="Calibri" w:cs="Calibri"/>
          <w:noProof/>
          <w:sz w:val="22"/>
          <w:szCs w:val="22"/>
        </w:rPr>
        <w:t xml:space="preserve"> </w:t>
      </w:r>
      <w:r w:rsidRPr="00944EB1">
        <w:rPr>
          <w:rFonts w:eastAsia="Calibri" w:cs="Calibri"/>
          <w:b/>
          <w:bCs/>
          <w:noProof/>
          <w:sz w:val="22"/>
          <w:szCs w:val="22"/>
        </w:rPr>
        <w:t>This performance gap is economically significant, as empirical evidence shows that improvements in mobile broadband capabilities</w:t>
      </w:r>
      <w:r w:rsidR="315C773A" w:rsidRPr="00944EB1">
        <w:rPr>
          <w:rFonts w:eastAsia="Times New Roman" w:cs="Calibri"/>
          <w:b/>
          <w:noProof/>
          <w:color w:val="000000" w:themeColor="text1"/>
          <w:sz w:val="22"/>
          <w:szCs w:val="22"/>
        </w:rPr>
        <w:t xml:space="preserve"> </w:t>
      </w:r>
      <w:r w:rsidR="00944EB1">
        <w:rPr>
          <w:rFonts w:eastAsia="Times New Roman" w:cs="Calibri"/>
          <w:b/>
          <w:noProof/>
          <w:color w:val="000000" w:themeColor="text1"/>
          <w:sz w:val="22"/>
          <w:szCs w:val="22"/>
        </w:rPr>
        <w:t>-</w:t>
      </w:r>
      <w:r w:rsidR="6A35B3AE" w:rsidRPr="00944EB1">
        <w:rPr>
          <w:rFonts w:eastAsia="Calibri" w:cs="Calibri"/>
          <w:b/>
          <w:noProof/>
          <w:sz w:val="22"/>
          <w:szCs w:val="22"/>
        </w:rPr>
        <w:t xml:space="preserve"> </w:t>
      </w:r>
      <w:r w:rsidRPr="00944EB1">
        <w:rPr>
          <w:rFonts w:eastAsia="Calibri" w:cs="Calibri"/>
          <w:b/>
          <w:bCs/>
          <w:noProof/>
          <w:sz w:val="22"/>
          <w:szCs w:val="22"/>
        </w:rPr>
        <w:t>particularly speed</w:t>
      </w:r>
      <w:r w:rsidR="72BE6FEC" w:rsidRPr="00944EB1">
        <w:rPr>
          <w:rFonts w:eastAsia="Calibri" w:cs="Calibri"/>
          <w:b/>
          <w:bCs/>
          <w:noProof/>
          <w:sz w:val="22"/>
          <w:szCs w:val="22"/>
        </w:rPr>
        <w:t xml:space="preserve"> </w:t>
      </w:r>
      <w:r w:rsidR="00944EB1">
        <w:rPr>
          <w:rFonts w:eastAsia="Calibri" w:cs="Calibri"/>
          <w:b/>
          <w:bCs/>
          <w:noProof/>
          <w:sz w:val="22"/>
          <w:szCs w:val="22"/>
        </w:rPr>
        <w:t>-</w:t>
      </w:r>
      <w:r w:rsidR="72BE6FEC" w:rsidRPr="00944EB1">
        <w:rPr>
          <w:rFonts w:eastAsia="Calibri" w:cs="Calibri"/>
          <w:b/>
          <w:bCs/>
          <w:noProof/>
          <w:sz w:val="22"/>
          <w:szCs w:val="22"/>
        </w:rPr>
        <w:t xml:space="preserve"> </w:t>
      </w:r>
      <w:r w:rsidRPr="00944EB1">
        <w:rPr>
          <w:rFonts w:eastAsia="Calibri" w:cs="Calibri"/>
          <w:b/>
          <w:bCs/>
          <w:noProof/>
          <w:sz w:val="22"/>
          <w:szCs w:val="22"/>
        </w:rPr>
        <w:t>are associated with higher productivity and GDP</w:t>
      </w:r>
      <w:r w:rsidRPr="00944EB1">
        <w:rPr>
          <w:rStyle w:val="FootnoteReference"/>
          <w:rFonts w:eastAsia="Calibri" w:cs="Calibri"/>
          <w:b/>
          <w:bCs/>
          <w:noProof/>
          <w:sz w:val="22"/>
          <w:szCs w:val="22"/>
        </w:rPr>
        <w:footnoteReference w:id="42"/>
      </w:r>
      <w:r w:rsidR="6300D842" w:rsidRPr="00944EB1">
        <w:rPr>
          <w:rFonts w:eastAsia="Calibri" w:cs="Calibri"/>
          <w:noProof/>
          <w:sz w:val="22"/>
          <w:szCs w:val="22"/>
        </w:rPr>
        <w:t>.</w:t>
      </w:r>
      <w:r w:rsidRPr="00944EB1">
        <w:rPr>
          <w:rFonts w:eastAsia="Calibri" w:cs="Calibri"/>
          <w:noProof/>
          <w:sz w:val="22"/>
          <w:szCs w:val="22"/>
        </w:rPr>
        <w:t xml:space="preserve"> Supporting evidence suggests that a 10% increase in mobile broadband speed is associated with a 0.2% increase in labour productivity in the subsequent period</w:t>
      </w:r>
      <w:r w:rsidRPr="00944EB1">
        <w:rPr>
          <w:rStyle w:val="FootnoteReference"/>
          <w:rFonts w:eastAsia="Calibri" w:cs="Calibri"/>
          <w:noProof/>
          <w:sz w:val="22"/>
          <w:szCs w:val="22"/>
        </w:rPr>
        <w:footnoteReference w:id="43"/>
      </w:r>
      <w:r w:rsidR="02C7A4F2" w:rsidRPr="00944EB1">
        <w:rPr>
          <w:rFonts w:eastAsia="Calibri" w:cs="Calibri"/>
          <w:noProof/>
          <w:sz w:val="22"/>
          <w:szCs w:val="22"/>
        </w:rPr>
        <w:t>.</w:t>
      </w:r>
      <w:r w:rsidRPr="00944EB1">
        <w:rPr>
          <w:rFonts w:eastAsia="Calibri" w:cs="Calibri"/>
          <w:noProof/>
          <w:sz w:val="22"/>
          <w:szCs w:val="22"/>
        </w:rPr>
        <w:t xml:space="preserve"> In this context, Europe’s comparatively weaker 5G performance may limit the realisation of potential productivity and economic growth gains. </w:t>
      </w:r>
    </w:p>
    <w:p w14:paraId="5697DB8B" w14:textId="460E24A7" w:rsidR="000015EF" w:rsidRPr="00944EB1" w:rsidRDefault="002E01B7" w:rsidP="00944EB1">
      <w:pPr>
        <w:spacing w:line="278" w:lineRule="auto"/>
        <w:rPr>
          <w:rFonts w:eastAsia="Calibri" w:cs="Calibri"/>
          <w:noProof/>
          <w:sz w:val="22"/>
          <w:szCs w:val="22"/>
        </w:rPr>
      </w:pPr>
      <w:r w:rsidRPr="00944EB1">
        <w:rPr>
          <w:rFonts w:eastAsia="Calibri" w:cs="Calibri"/>
          <w:noProof/>
          <w:sz w:val="22"/>
          <w:szCs w:val="22"/>
        </w:rPr>
        <w:t>I</w:t>
      </w:r>
      <w:r w:rsidR="000015EF" w:rsidRPr="00944EB1">
        <w:rPr>
          <w:rFonts w:eastAsia="Calibri" w:cs="Calibri"/>
          <w:noProof/>
          <w:sz w:val="22"/>
          <w:szCs w:val="22"/>
        </w:rPr>
        <w:t xml:space="preserve">n addition, </w:t>
      </w:r>
      <w:r w:rsidR="000015EF" w:rsidRPr="00944EB1">
        <w:rPr>
          <w:rFonts w:eastAsia="Calibri" w:cs="Calibri"/>
          <w:b/>
          <w:bCs/>
          <w:noProof/>
          <w:sz w:val="22"/>
          <w:szCs w:val="22"/>
        </w:rPr>
        <w:t>the EU trails other regions in the deployment of private networks</w:t>
      </w:r>
      <w:r w:rsidR="000015EF" w:rsidRPr="00944EB1">
        <w:rPr>
          <w:rFonts w:eastAsia="Calibri" w:cs="Calibri"/>
          <w:noProof/>
          <w:sz w:val="22"/>
          <w:szCs w:val="22"/>
        </w:rPr>
        <w:t xml:space="preserve">, which are early </w:t>
      </w:r>
      <w:r w:rsidR="004C0FB8" w:rsidRPr="00944EB1">
        <w:rPr>
          <w:rFonts w:eastAsia="Calibri" w:cs="Calibri"/>
          <w:noProof/>
          <w:sz w:val="22"/>
          <w:szCs w:val="22"/>
        </w:rPr>
        <w:t xml:space="preserve">(industrial) </w:t>
      </w:r>
      <w:r w:rsidR="000015EF" w:rsidRPr="00944EB1">
        <w:rPr>
          <w:rFonts w:eastAsia="Calibri" w:cs="Calibri"/>
          <w:noProof/>
          <w:sz w:val="22"/>
          <w:szCs w:val="22"/>
        </w:rPr>
        <w:t>adopters of 5G SA. Globally, 1489 private mobile network deployments have been identified, of which only 694 (47%) use 5G</w:t>
      </w:r>
      <w:r w:rsidR="00750A33" w:rsidRPr="00944EB1">
        <w:rPr>
          <w:rStyle w:val="FootnoteReference"/>
          <w:rFonts w:eastAsia="Calibri" w:cs="Calibri"/>
          <w:noProof/>
          <w:sz w:val="22"/>
          <w:szCs w:val="22"/>
        </w:rPr>
        <w:footnoteReference w:id="44"/>
      </w:r>
      <w:r w:rsidR="764B8BE2" w:rsidRPr="00944EB1">
        <w:rPr>
          <w:rFonts w:eastAsia="Calibri" w:cs="Calibri"/>
          <w:noProof/>
          <w:sz w:val="22"/>
          <w:szCs w:val="22"/>
        </w:rPr>
        <w:t>.</w:t>
      </w:r>
      <w:r w:rsidR="37F332C1" w:rsidRPr="00944EB1">
        <w:rPr>
          <w:rFonts w:eastAsia="Calibri" w:cs="Calibri"/>
          <w:noProof/>
          <w:sz w:val="22"/>
          <w:szCs w:val="22"/>
        </w:rPr>
        <w:t xml:space="preserve"> </w:t>
      </w:r>
      <w:r w:rsidR="000015EF" w:rsidRPr="00944EB1">
        <w:rPr>
          <w:rFonts w:eastAsia="Calibri" w:cs="Calibri"/>
          <w:noProof/>
          <w:sz w:val="22"/>
          <w:szCs w:val="22"/>
        </w:rPr>
        <w:t xml:space="preserve">Manufacturing remains the leading sector for such networks, with 298 deployments recorded, of which around 60% include 5G. Asia-Pacific countries such as Japan and South Korea have progressed more rapidly, supported by more </w:t>
      </w:r>
      <w:r w:rsidR="5DEB2405" w:rsidRPr="00944EB1">
        <w:rPr>
          <w:rFonts w:eastAsia="Calibri" w:cs="Calibri"/>
          <w:noProof/>
          <w:sz w:val="22"/>
          <w:szCs w:val="22"/>
        </w:rPr>
        <w:t>favourable</w:t>
      </w:r>
      <w:r w:rsidR="000015EF" w:rsidRPr="00944EB1">
        <w:rPr>
          <w:rFonts w:eastAsia="Calibri" w:cs="Calibri"/>
          <w:noProof/>
          <w:sz w:val="22"/>
          <w:szCs w:val="22"/>
        </w:rPr>
        <w:t xml:space="preserve"> policy frameworks and coordinated industrial strategies.</w:t>
      </w:r>
    </w:p>
    <w:p w14:paraId="30734FCA" w14:textId="3F3C3C19" w:rsidR="00A9692B" w:rsidRPr="00944EB1" w:rsidRDefault="1C3B8ACE" w:rsidP="00944EB1">
      <w:pPr>
        <w:spacing w:line="278" w:lineRule="auto"/>
        <w:rPr>
          <w:rFonts w:eastAsia="Calibri" w:cs="Calibri"/>
          <w:noProof/>
          <w:sz w:val="22"/>
          <w:szCs w:val="22"/>
        </w:rPr>
      </w:pPr>
      <w:r w:rsidRPr="00944EB1">
        <w:rPr>
          <w:rFonts w:eastAsia="Calibri" w:cs="Calibri"/>
          <w:b/>
          <w:bCs/>
          <w:noProof/>
          <w:sz w:val="22"/>
          <w:szCs w:val="22"/>
        </w:rPr>
        <w:t>R</w:t>
      </w:r>
      <w:r w:rsidR="16A6CD0B" w:rsidRPr="00944EB1">
        <w:rPr>
          <w:rFonts w:eastAsia="Calibri" w:cs="Calibri"/>
          <w:b/>
          <w:bCs/>
          <w:noProof/>
          <w:sz w:val="22"/>
          <w:szCs w:val="22"/>
        </w:rPr>
        <w:t>elative</w:t>
      </w:r>
      <w:r w:rsidR="007D3A52" w:rsidRPr="00944EB1">
        <w:rPr>
          <w:rFonts w:eastAsia="Calibri" w:cs="Calibri"/>
          <w:b/>
          <w:noProof/>
          <w:sz w:val="22"/>
          <w:szCs w:val="22"/>
        </w:rPr>
        <w:t xml:space="preserve"> to leading global markets, the EU remains less advanced in 5G investment intensity</w:t>
      </w:r>
      <w:r w:rsidR="007D3A52" w:rsidRPr="00944EB1">
        <w:rPr>
          <w:rFonts w:eastAsia="Calibri" w:cs="Calibri"/>
          <w:noProof/>
          <w:sz w:val="22"/>
          <w:szCs w:val="22"/>
          <w:vertAlign w:val="superscript"/>
        </w:rPr>
        <w:footnoteReference w:id="45"/>
      </w:r>
      <w:r w:rsidR="758792A6" w:rsidRPr="00944EB1">
        <w:rPr>
          <w:rFonts w:eastAsia="Calibri" w:cs="Calibri"/>
          <w:noProof/>
          <w:sz w:val="22"/>
          <w:szCs w:val="22"/>
        </w:rPr>
        <w:t>.</w:t>
      </w:r>
      <w:r w:rsidR="007D3A52" w:rsidRPr="00944EB1">
        <w:rPr>
          <w:rFonts w:eastAsia="Calibri" w:cs="Calibri"/>
          <w:noProof/>
          <w:sz w:val="22"/>
          <w:szCs w:val="22"/>
        </w:rPr>
        <w:t xml:space="preserve"> Its 51% 5G allocation share is solid (measured as % of all mobile investments), but below China </w:t>
      </w:r>
      <w:r w:rsidR="4AB451BF" w:rsidRPr="00944EB1">
        <w:rPr>
          <w:rFonts w:eastAsia="Calibri" w:cs="Calibri"/>
          <w:noProof/>
          <w:sz w:val="22"/>
          <w:szCs w:val="22"/>
        </w:rPr>
        <w:t>(</w:t>
      </w:r>
      <w:r w:rsidR="007D3A52" w:rsidRPr="00944EB1">
        <w:rPr>
          <w:rFonts w:eastAsia="Calibri" w:cs="Calibri"/>
          <w:noProof/>
          <w:sz w:val="22"/>
          <w:szCs w:val="22"/>
        </w:rPr>
        <w:t>72</w:t>
      </w:r>
      <w:r w:rsidR="078BB326" w:rsidRPr="00944EB1">
        <w:rPr>
          <w:rFonts w:eastAsia="Calibri" w:cs="Calibri"/>
          <w:noProof/>
          <w:sz w:val="22"/>
          <w:szCs w:val="22"/>
        </w:rPr>
        <w:t>%</w:t>
      </w:r>
      <w:r w:rsidR="5FCF7F98" w:rsidRPr="00944EB1">
        <w:rPr>
          <w:rFonts w:eastAsia="Calibri" w:cs="Calibri"/>
          <w:noProof/>
          <w:sz w:val="22"/>
          <w:szCs w:val="22"/>
        </w:rPr>
        <w:t>)</w:t>
      </w:r>
      <w:r w:rsidR="078BB326" w:rsidRPr="00944EB1">
        <w:rPr>
          <w:rFonts w:eastAsia="Calibri" w:cs="Calibri"/>
          <w:noProof/>
          <w:sz w:val="22"/>
          <w:szCs w:val="22"/>
        </w:rPr>
        <w:t>,</w:t>
      </w:r>
      <w:r w:rsidR="007D3A52" w:rsidRPr="00944EB1">
        <w:rPr>
          <w:rFonts w:eastAsia="Calibri" w:cs="Calibri"/>
          <w:noProof/>
          <w:sz w:val="22"/>
          <w:szCs w:val="22"/>
        </w:rPr>
        <w:t xml:space="preserve"> South Korea </w:t>
      </w:r>
      <w:r w:rsidR="4AB451BF" w:rsidRPr="00944EB1">
        <w:rPr>
          <w:rFonts w:eastAsia="Calibri" w:cs="Calibri"/>
          <w:noProof/>
          <w:sz w:val="22"/>
          <w:szCs w:val="22"/>
        </w:rPr>
        <w:t>(</w:t>
      </w:r>
      <w:r w:rsidR="007D3A52" w:rsidRPr="00944EB1">
        <w:rPr>
          <w:rFonts w:eastAsia="Calibri" w:cs="Calibri"/>
          <w:noProof/>
          <w:sz w:val="22"/>
          <w:szCs w:val="22"/>
        </w:rPr>
        <w:t>67</w:t>
      </w:r>
      <w:r w:rsidR="078BB326" w:rsidRPr="00944EB1">
        <w:rPr>
          <w:rFonts w:eastAsia="Calibri" w:cs="Calibri"/>
          <w:noProof/>
          <w:sz w:val="22"/>
          <w:szCs w:val="22"/>
        </w:rPr>
        <w:t>%</w:t>
      </w:r>
      <w:r w:rsidR="4AB451BF" w:rsidRPr="00944EB1">
        <w:rPr>
          <w:rFonts w:eastAsia="Calibri" w:cs="Calibri"/>
          <w:noProof/>
          <w:sz w:val="22"/>
          <w:szCs w:val="22"/>
        </w:rPr>
        <w:t>)</w:t>
      </w:r>
      <w:r w:rsidR="078BB326" w:rsidRPr="00944EB1">
        <w:rPr>
          <w:rFonts w:eastAsia="Calibri" w:cs="Calibri"/>
          <w:noProof/>
          <w:sz w:val="22"/>
          <w:szCs w:val="22"/>
        </w:rPr>
        <w:t>,</w:t>
      </w:r>
      <w:r w:rsidR="007D3A52" w:rsidRPr="00944EB1">
        <w:rPr>
          <w:rFonts w:eastAsia="Calibri" w:cs="Calibri"/>
          <w:noProof/>
          <w:sz w:val="22"/>
          <w:szCs w:val="22"/>
        </w:rPr>
        <w:t xml:space="preserve"> the US </w:t>
      </w:r>
      <w:r w:rsidR="4AB451BF" w:rsidRPr="00944EB1">
        <w:rPr>
          <w:rFonts w:eastAsia="Calibri" w:cs="Calibri"/>
          <w:noProof/>
          <w:sz w:val="22"/>
          <w:szCs w:val="22"/>
        </w:rPr>
        <w:t>(</w:t>
      </w:r>
      <w:r w:rsidR="007D3A52" w:rsidRPr="00944EB1">
        <w:rPr>
          <w:rFonts w:eastAsia="Calibri" w:cs="Calibri"/>
          <w:noProof/>
          <w:sz w:val="22"/>
          <w:szCs w:val="22"/>
        </w:rPr>
        <w:t>62</w:t>
      </w:r>
      <w:r w:rsidR="078BB326" w:rsidRPr="00944EB1">
        <w:rPr>
          <w:rFonts w:eastAsia="Calibri" w:cs="Calibri"/>
          <w:noProof/>
          <w:sz w:val="22"/>
          <w:szCs w:val="22"/>
        </w:rPr>
        <w:t>%</w:t>
      </w:r>
      <w:r w:rsidR="4AB451BF" w:rsidRPr="00944EB1">
        <w:rPr>
          <w:rFonts w:eastAsia="Calibri" w:cs="Calibri"/>
          <w:noProof/>
          <w:sz w:val="22"/>
          <w:szCs w:val="22"/>
        </w:rPr>
        <w:t>)</w:t>
      </w:r>
      <w:r w:rsidR="078BB326" w:rsidRPr="00944EB1">
        <w:rPr>
          <w:rFonts w:eastAsia="Calibri" w:cs="Calibri"/>
          <w:noProof/>
          <w:sz w:val="22"/>
          <w:szCs w:val="22"/>
        </w:rPr>
        <w:t>,</w:t>
      </w:r>
      <w:r w:rsidR="007D3A52" w:rsidRPr="00944EB1">
        <w:rPr>
          <w:rFonts w:eastAsia="Calibri" w:cs="Calibri"/>
          <w:noProof/>
          <w:sz w:val="22"/>
          <w:szCs w:val="22"/>
        </w:rPr>
        <w:t xml:space="preserve"> and Japan </w:t>
      </w:r>
      <w:r w:rsidR="4AB451BF" w:rsidRPr="00944EB1">
        <w:rPr>
          <w:rFonts w:eastAsia="Calibri" w:cs="Calibri"/>
          <w:noProof/>
          <w:sz w:val="22"/>
          <w:szCs w:val="22"/>
        </w:rPr>
        <w:t>(</w:t>
      </w:r>
      <w:r w:rsidR="007D3A52" w:rsidRPr="00944EB1">
        <w:rPr>
          <w:rFonts w:eastAsia="Calibri" w:cs="Calibri"/>
          <w:noProof/>
          <w:sz w:val="22"/>
          <w:szCs w:val="22"/>
        </w:rPr>
        <w:t>58</w:t>
      </w:r>
      <w:r w:rsidR="078BB326" w:rsidRPr="00944EB1">
        <w:rPr>
          <w:rFonts w:eastAsia="Calibri" w:cs="Calibri"/>
          <w:noProof/>
          <w:sz w:val="22"/>
          <w:szCs w:val="22"/>
        </w:rPr>
        <w:t>%</w:t>
      </w:r>
      <w:r w:rsidR="4AB451BF" w:rsidRPr="00944EB1">
        <w:rPr>
          <w:rFonts w:eastAsia="Calibri" w:cs="Calibri"/>
          <w:noProof/>
          <w:sz w:val="22"/>
          <w:szCs w:val="22"/>
        </w:rPr>
        <w:t>)</w:t>
      </w:r>
      <w:r w:rsidR="078BB326" w:rsidRPr="00944EB1">
        <w:rPr>
          <w:rFonts w:eastAsia="Calibri" w:cs="Calibri"/>
          <w:noProof/>
          <w:sz w:val="22"/>
          <w:szCs w:val="22"/>
        </w:rPr>
        <w:t xml:space="preserve">. </w:t>
      </w:r>
    </w:p>
    <w:p w14:paraId="548A2881" w14:textId="7C89EEF8" w:rsidR="00ED0343" w:rsidRPr="00944EB1" w:rsidRDefault="003547BB" w:rsidP="00944EB1">
      <w:pPr>
        <w:pStyle w:val="NoSpacing"/>
        <w:spacing w:before="120" w:after="60" w:line="278" w:lineRule="auto"/>
        <w:jc w:val="both"/>
        <w:rPr>
          <w:rFonts w:ascii="Calibri" w:hAnsi="Calibri" w:cs="Calibri"/>
          <w:noProof/>
          <w:sz w:val="22"/>
          <w:szCs w:val="22"/>
          <w:lang w:val="en-GB"/>
        </w:rPr>
      </w:pPr>
      <w:r w:rsidRPr="00944EB1">
        <w:rPr>
          <w:rFonts w:ascii="Calibri" w:eastAsia="Times New Roman" w:hAnsi="Calibri" w:cs="Calibri"/>
          <w:noProof/>
          <w:sz w:val="22"/>
          <w:szCs w:val="22"/>
          <w:lang w:val="en-GB"/>
        </w:rPr>
        <w:t xml:space="preserve">Achieving high-quality 5G SA coverage is estimated to require EUR 33.5 billion for network densification, with an additional EUR 26-79 billion </w:t>
      </w:r>
      <w:r w:rsidR="000B06B6" w:rsidRPr="00944EB1">
        <w:rPr>
          <w:rFonts w:ascii="Calibri" w:eastAsia="Times New Roman" w:hAnsi="Calibri" w:cs="Calibri"/>
          <w:noProof/>
          <w:sz w:val="22"/>
          <w:szCs w:val="22"/>
          <w:lang w:val="en-GB"/>
        </w:rPr>
        <w:t>needed</w:t>
      </w:r>
      <w:r w:rsidRPr="00944EB1">
        <w:rPr>
          <w:rFonts w:ascii="Calibri" w:eastAsia="Times New Roman" w:hAnsi="Calibri" w:cs="Calibri"/>
          <w:noProof/>
          <w:sz w:val="22"/>
          <w:szCs w:val="22"/>
          <w:lang w:val="en-GB"/>
        </w:rPr>
        <w:t xml:space="preserve"> to cover main transport paths</w:t>
      </w:r>
      <w:r w:rsidRPr="00944EB1">
        <w:rPr>
          <w:rStyle w:val="FootnoteReference"/>
          <w:rFonts w:ascii="Calibri" w:hAnsi="Calibri" w:cs="Calibri"/>
          <w:noProof/>
          <w:sz w:val="22"/>
          <w:szCs w:val="22"/>
          <w:lang w:val="en-GB"/>
        </w:rPr>
        <w:footnoteReference w:id="46"/>
      </w:r>
      <w:r w:rsidR="6FF9B01A" w:rsidRPr="00944EB1">
        <w:rPr>
          <w:rFonts w:ascii="Calibri" w:eastAsia="Times New Roman" w:hAnsi="Calibri" w:cs="Calibri"/>
          <w:noProof/>
          <w:sz w:val="22"/>
          <w:szCs w:val="22"/>
          <w:lang w:val="en-GB"/>
        </w:rPr>
        <w:t>.</w:t>
      </w:r>
      <w:r w:rsidR="76E08492" w:rsidRPr="00944EB1">
        <w:rPr>
          <w:rFonts w:ascii="Calibri" w:eastAsia="Times New Roman" w:hAnsi="Calibri" w:cs="Calibri"/>
          <w:noProof/>
          <w:sz w:val="22"/>
          <w:szCs w:val="22"/>
          <w:lang w:val="en-GB"/>
        </w:rPr>
        <w:t xml:space="preserve"> </w:t>
      </w:r>
      <w:r w:rsidR="00ED0343" w:rsidRPr="00944EB1">
        <w:rPr>
          <w:rFonts w:ascii="Calibri" w:eastAsia="Times New Roman" w:hAnsi="Calibri" w:cs="Calibri"/>
          <w:noProof/>
          <w:sz w:val="22"/>
          <w:szCs w:val="22"/>
          <w:lang w:val="en-GB"/>
        </w:rPr>
        <w:t xml:space="preserve">The </w:t>
      </w:r>
      <w:r w:rsidR="000B06B6" w:rsidRPr="00944EB1">
        <w:rPr>
          <w:rFonts w:ascii="Calibri" w:eastAsia="Times New Roman" w:hAnsi="Calibri" w:cs="Calibri"/>
          <w:noProof/>
          <w:sz w:val="22"/>
          <w:szCs w:val="22"/>
          <w:lang w:val="en-GB"/>
        </w:rPr>
        <w:t>Digital Networks Act (</w:t>
      </w:r>
      <w:r w:rsidR="00ED0343" w:rsidRPr="00944EB1">
        <w:rPr>
          <w:rFonts w:ascii="Calibri" w:eastAsia="Times New Roman" w:hAnsi="Calibri" w:cs="Calibri"/>
          <w:noProof/>
          <w:sz w:val="22"/>
          <w:szCs w:val="22"/>
          <w:lang w:val="en-GB"/>
        </w:rPr>
        <w:t>DNA</w:t>
      </w:r>
      <w:r w:rsidR="000B06B6" w:rsidRPr="00944EB1">
        <w:rPr>
          <w:rFonts w:ascii="Calibri" w:eastAsia="Times New Roman" w:hAnsi="Calibri" w:cs="Calibri"/>
          <w:noProof/>
          <w:sz w:val="22"/>
          <w:szCs w:val="22"/>
          <w:lang w:val="en-GB"/>
        </w:rPr>
        <w:t>)</w:t>
      </w:r>
      <w:r w:rsidR="00ED0343" w:rsidRPr="00944EB1">
        <w:rPr>
          <w:rFonts w:ascii="Calibri" w:eastAsia="Times New Roman" w:hAnsi="Calibri" w:cs="Calibri"/>
          <w:noProof/>
          <w:sz w:val="22"/>
          <w:szCs w:val="22"/>
          <w:lang w:val="en-GB"/>
        </w:rPr>
        <w:t xml:space="preserve"> proposal identifies disincentives and fragmentation in spectrum regulation as one of the main root causes of insufficient investments by European tel</w:t>
      </w:r>
      <w:r w:rsidR="00544F58" w:rsidRPr="00944EB1">
        <w:rPr>
          <w:rFonts w:ascii="Calibri" w:eastAsia="Times New Roman" w:hAnsi="Calibri" w:cs="Calibri"/>
          <w:noProof/>
          <w:sz w:val="22"/>
          <w:szCs w:val="22"/>
          <w:lang w:val="en-GB"/>
        </w:rPr>
        <w:t>e</w:t>
      </w:r>
      <w:r w:rsidR="00ED0343" w:rsidRPr="00944EB1">
        <w:rPr>
          <w:rFonts w:ascii="Calibri" w:eastAsia="Times New Roman" w:hAnsi="Calibri" w:cs="Calibri"/>
          <w:noProof/>
          <w:sz w:val="22"/>
          <w:szCs w:val="22"/>
          <w:lang w:val="en-GB"/>
        </w:rPr>
        <w:t>co</w:t>
      </w:r>
      <w:r w:rsidR="00544F58" w:rsidRPr="00944EB1">
        <w:rPr>
          <w:rFonts w:ascii="Calibri" w:eastAsia="Times New Roman" w:hAnsi="Calibri" w:cs="Calibri"/>
          <w:noProof/>
          <w:sz w:val="22"/>
          <w:szCs w:val="22"/>
          <w:lang w:val="en-GB"/>
        </w:rPr>
        <w:t>m</w:t>
      </w:r>
      <w:r w:rsidR="00ED0343" w:rsidRPr="00944EB1">
        <w:rPr>
          <w:rFonts w:ascii="Calibri" w:eastAsia="Times New Roman" w:hAnsi="Calibri" w:cs="Calibri"/>
          <w:noProof/>
          <w:sz w:val="22"/>
          <w:szCs w:val="22"/>
          <w:lang w:val="en-GB"/>
        </w:rPr>
        <w:t xml:space="preserve"> operators in mobile networks. Other contributing factors include </w:t>
      </w:r>
      <w:r w:rsidR="004213BD" w:rsidRPr="00944EB1">
        <w:rPr>
          <w:rFonts w:ascii="Calibri" w:eastAsia="Times New Roman" w:hAnsi="Calibri" w:cs="Calibri"/>
          <w:noProof/>
          <w:sz w:val="22"/>
          <w:szCs w:val="22"/>
          <w:lang w:val="en-GB"/>
        </w:rPr>
        <w:t>limited</w:t>
      </w:r>
      <w:r w:rsidR="00ED0343" w:rsidRPr="00944EB1">
        <w:rPr>
          <w:rFonts w:ascii="Calibri" w:eastAsia="Times New Roman" w:hAnsi="Calibri" w:cs="Calibri"/>
          <w:noProof/>
          <w:sz w:val="22"/>
          <w:szCs w:val="22"/>
          <w:lang w:val="en-GB"/>
        </w:rPr>
        <w:t xml:space="preserve"> financial capacity and attractiveness for investors (itself due to low ARPUs, low predictability, etc.), low demand for advanced connectivity and unexploited economies of scale. For example, spectrum costs represent 7% of mobile </w:t>
      </w:r>
      <w:r w:rsidR="00F4487A" w:rsidRPr="00944EB1">
        <w:rPr>
          <w:rFonts w:ascii="Calibri" w:eastAsia="Times New Roman" w:hAnsi="Calibri" w:cs="Calibri"/>
          <w:noProof/>
          <w:sz w:val="22"/>
          <w:szCs w:val="22"/>
          <w:lang w:val="en-GB"/>
        </w:rPr>
        <w:t>service</w:t>
      </w:r>
      <w:r w:rsidR="00ED0343" w:rsidRPr="00944EB1">
        <w:rPr>
          <w:rFonts w:ascii="Calibri" w:eastAsia="Times New Roman" w:hAnsi="Calibri" w:cs="Calibri"/>
          <w:noProof/>
          <w:sz w:val="22"/>
          <w:szCs w:val="22"/>
          <w:lang w:val="en-GB"/>
        </w:rPr>
        <w:t xml:space="preserve"> revenues and 35</w:t>
      </w:r>
      <w:r w:rsidR="44D4720C" w:rsidRPr="00944EB1">
        <w:rPr>
          <w:rFonts w:ascii="Calibri" w:eastAsia="Times New Roman" w:hAnsi="Calibri" w:cs="Calibri"/>
          <w:noProof/>
          <w:sz w:val="22"/>
          <w:szCs w:val="22"/>
          <w:lang w:val="en-GB"/>
        </w:rPr>
        <w:t>-</w:t>
      </w:r>
      <w:r w:rsidR="00ED0343" w:rsidRPr="00944EB1">
        <w:rPr>
          <w:rFonts w:ascii="Calibri" w:eastAsia="Times New Roman" w:hAnsi="Calibri" w:cs="Calibri"/>
          <w:noProof/>
          <w:sz w:val="22"/>
          <w:szCs w:val="22"/>
          <w:lang w:val="en-GB"/>
        </w:rPr>
        <w:t>40% of capital expenditure, reducing financial flexibility for 5G/6G investments. Additionally, fragmented and short-lived regulatory regimes act as disincentives.</w:t>
      </w:r>
    </w:p>
    <w:p w14:paraId="002046AA" w14:textId="04F1C542" w:rsidR="00F3075D" w:rsidRPr="00944EB1" w:rsidRDefault="00ED0343" w:rsidP="00944EB1">
      <w:pPr>
        <w:spacing w:line="278" w:lineRule="auto"/>
        <w:rPr>
          <w:rFonts w:eastAsia="Calibri" w:cs="Calibri"/>
          <w:noProof/>
          <w:sz w:val="22"/>
          <w:szCs w:val="22"/>
        </w:rPr>
      </w:pPr>
      <w:r w:rsidRPr="00944EB1">
        <w:rPr>
          <w:rFonts w:eastAsia="Times New Roman" w:cs="Calibri"/>
          <w:noProof/>
          <w:sz w:val="22"/>
          <w:szCs w:val="22"/>
        </w:rPr>
        <w:t xml:space="preserve">A series of regulatory responses, essentially tackling the </w:t>
      </w:r>
      <w:r w:rsidRPr="00944EB1">
        <w:rPr>
          <w:rFonts w:eastAsia="Times New Roman" w:cs="Calibri"/>
          <w:b/>
          <w:bCs/>
          <w:noProof/>
          <w:sz w:val="22"/>
          <w:szCs w:val="22"/>
        </w:rPr>
        <w:t>supply side</w:t>
      </w:r>
      <w:r w:rsidRPr="00944EB1">
        <w:rPr>
          <w:rFonts w:eastAsia="Times New Roman" w:cs="Calibri"/>
          <w:noProof/>
          <w:sz w:val="22"/>
          <w:szCs w:val="22"/>
        </w:rPr>
        <w:t xml:space="preserve">, are offered in the DNA proposal, notably on spectrum policy. </w:t>
      </w:r>
      <w:r w:rsidR="00F3075D" w:rsidRPr="00944EB1">
        <w:rPr>
          <w:rFonts w:eastAsia="Calibri" w:cs="Calibri"/>
          <w:noProof/>
          <w:sz w:val="22"/>
          <w:szCs w:val="22"/>
        </w:rPr>
        <w:t>In particular</w:t>
      </w:r>
      <w:r w:rsidR="33769A9D" w:rsidRPr="00944EB1">
        <w:rPr>
          <w:rFonts w:eastAsia="Calibri" w:cs="Calibri"/>
          <w:noProof/>
          <w:sz w:val="22"/>
          <w:szCs w:val="22"/>
        </w:rPr>
        <w:t>, t</w:t>
      </w:r>
      <w:r w:rsidR="2FED2E03" w:rsidRPr="00944EB1">
        <w:rPr>
          <w:rFonts w:eastAsia="Calibri" w:cs="Calibri"/>
          <w:noProof/>
          <w:sz w:val="22"/>
          <w:szCs w:val="22"/>
        </w:rPr>
        <w:t>he</w:t>
      </w:r>
      <w:r w:rsidR="00F3075D" w:rsidRPr="00944EB1">
        <w:rPr>
          <w:rFonts w:eastAsia="Calibri" w:cs="Calibri"/>
          <w:noProof/>
          <w:sz w:val="22"/>
          <w:szCs w:val="22"/>
        </w:rPr>
        <w:t xml:space="preserve"> DNA proposal simplifies and streamlines the regulatory framework that </w:t>
      </w:r>
      <w:r w:rsidR="00694B96" w:rsidRPr="00944EB1">
        <w:rPr>
          <w:rFonts w:eastAsia="Calibri" w:cs="Calibri"/>
          <w:noProof/>
          <w:sz w:val="22"/>
          <w:szCs w:val="22"/>
        </w:rPr>
        <w:t xml:space="preserve">affects </w:t>
      </w:r>
      <w:r w:rsidR="00F3075D" w:rsidRPr="00944EB1">
        <w:rPr>
          <w:rFonts w:eastAsia="Calibri" w:cs="Calibri"/>
          <w:noProof/>
          <w:sz w:val="22"/>
          <w:szCs w:val="22"/>
        </w:rPr>
        <w:t xml:space="preserve">5G and 6G rollout, </w:t>
      </w:r>
      <w:r w:rsidR="00E20A8B" w:rsidRPr="00944EB1">
        <w:rPr>
          <w:rFonts w:eastAsia="Calibri" w:cs="Calibri"/>
          <w:noProof/>
          <w:sz w:val="22"/>
          <w:szCs w:val="22"/>
        </w:rPr>
        <w:t xml:space="preserve">with a view to </w:t>
      </w:r>
      <w:r w:rsidR="00F3075D" w:rsidRPr="00944EB1">
        <w:rPr>
          <w:rFonts w:eastAsia="Calibri" w:cs="Calibri"/>
          <w:noProof/>
          <w:sz w:val="22"/>
          <w:szCs w:val="22"/>
        </w:rPr>
        <w:t>reducing fragmentation across Member States and creating more predictable conditions. In doing so, it lays the groundwork for telecom innovation, particularly for emerging technologies such as 6G and satellite connectivity.</w:t>
      </w:r>
    </w:p>
    <w:p w14:paraId="780D15C6" w14:textId="1DE0C275" w:rsidR="4D9D878A" w:rsidRPr="00944EB1" w:rsidRDefault="00ED0343" w:rsidP="00944EB1">
      <w:pPr>
        <w:pStyle w:val="NoSpacing"/>
        <w:spacing w:before="120" w:after="60" w:line="278" w:lineRule="auto"/>
        <w:jc w:val="both"/>
        <w:rPr>
          <w:rFonts w:ascii="Calibri" w:hAnsi="Calibri" w:cs="Calibri"/>
          <w:noProof/>
          <w:sz w:val="22"/>
          <w:szCs w:val="22"/>
          <w:lang w:val="en-GB"/>
        </w:rPr>
      </w:pPr>
      <w:r w:rsidRPr="00944EB1">
        <w:rPr>
          <w:rFonts w:ascii="Calibri" w:eastAsia="Times New Roman" w:hAnsi="Calibri" w:cs="Calibri"/>
          <w:noProof/>
          <w:sz w:val="22"/>
          <w:szCs w:val="22"/>
          <w:lang w:val="en-GB"/>
        </w:rPr>
        <w:t xml:space="preserve">These </w:t>
      </w:r>
      <w:r w:rsidR="00F86375" w:rsidRPr="00944EB1">
        <w:rPr>
          <w:rFonts w:ascii="Calibri" w:eastAsia="Times New Roman" w:hAnsi="Calibri" w:cs="Calibri"/>
          <w:noProof/>
          <w:sz w:val="22"/>
          <w:szCs w:val="22"/>
          <w:lang w:val="en-GB"/>
        </w:rPr>
        <w:t xml:space="preserve">proposed </w:t>
      </w:r>
      <w:r w:rsidR="007101BC" w:rsidRPr="00944EB1">
        <w:rPr>
          <w:rFonts w:ascii="Calibri" w:eastAsia="Times New Roman" w:hAnsi="Calibri" w:cs="Calibri"/>
          <w:noProof/>
          <w:sz w:val="22"/>
          <w:szCs w:val="22"/>
          <w:lang w:val="en-GB"/>
        </w:rPr>
        <w:t>measures</w:t>
      </w:r>
      <w:r w:rsidR="00F86375" w:rsidRPr="00944EB1">
        <w:rPr>
          <w:rFonts w:ascii="Calibri" w:eastAsia="Times New Roman" w:hAnsi="Calibri" w:cs="Calibri"/>
          <w:noProof/>
          <w:sz w:val="22"/>
          <w:szCs w:val="22"/>
          <w:lang w:val="en-GB"/>
        </w:rPr>
        <w:t xml:space="preserve"> </w:t>
      </w:r>
      <w:r w:rsidRPr="00944EB1">
        <w:rPr>
          <w:rFonts w:ascii="Calibri" w:eastAsia="Times New Roman" w:hAnsi="Calibri" w:cs="Calibri"/>
          <w:noProof/>
          <w:sz w:val="22"/>
          <w:szCs w:val="22"/>
          <w:lang w:val="en-GB"/>
        </w:rPr>
        <w:t>include unlimited spectrum licence duration by default</w:t>
      </w:r>
      <w:r w:rsidR="00F87542" w:rsidRPr="00944EB1">
        <w:rPr>
          <w:rFonts w:ascii="Calibri" w:eastAsia="Times New Roman" w:hAnsi="Calibri" w:cs="Calibri"/>
          <w:noProof/>
          <w:sz w:val="22"/>
          <w:szCs w:val="22"/>
          <w:lang w:val="en-GB"/>
        </w:rPr>
        <w:t xml:space="preserve"> and </w:t>
      </w:r>
      <w:r w:rsidR="00F87542" w:rsidRPr="00944EB1">
        <w:rPr>
          <w:rFonts w:ascii="Calibri" w:eastAsia="Calibri" w:hAnsi="Calibri" w:cs="Calibri"/>
          <w:noProof/>
          <w:sz w:val="22"/>
          <w:szCs w:val="22"/>
          <w:lang w:val="en-GB"/>
        </w:rPr>
        <w:t xml:space="preserve">facilitated renewal procedures, </w:t>
      </w:r>
      <w:r w:rsidR="00DF10B2" w:rsidRPr="00944EB1">
        <w:rPr>
          <w:rFonts w:ascii="Calibri" w:eastAsia="Calibri" w:hAnsi="Calibri" w:cs="Calibri"/>
          <w:noProof/>
          <w:sz w:val="22"/>
          <w:szCs w:val="22"/>
          <w:lang w:val="en-GB"/>
        </w:rPr>
        <w:t>affecting</w:t>
      </w:r>
      <w:r w:rsidR="00F87542" w:rsidRPr="00944EB1">
        <w:rPr>
          <w:rFonts w:ascii="Calibri" w:eastAsia="Calibri" w:hAnsi="Calibri" w:cs="Calibri"/>
          <w:noProof/>
          <w:sz w:val="22"/>
          <w:szCs w:val="22"/>
          <w:lang w:val="en-GB"/>
        </w:rPr>
        <w:t xml:space="preserve"> </w:t>
      </w:r>
      <w:r w:rsidR="000B2A92" w:rsidRPr="00944EB1">
        <w:rPr>
          <w:rFonts w:ascii="Calibri" w:eastAsia="Calibri" w:hAnsi="Calibri" w:cs="Calibri"/>
          <w:noProof/>
          <w:sz w:val="22"/>
          <w:szCs w:val="22"/>
          <w:lang w:val="en-GB"/>
        </w:rPr>
        <w:t>around</w:t>
      </w:r>
      <w:r w:rsidR="00F87542" w:rsidRPr="00944EB1">
        <w:rPr>
          <w:rFonts w:ascii="Calibri" w:eastAsia="Calibri" w:hAnsi="Calibri" w:cs="Calibri"/>
          <w:noProof/>
          <w:sz w:val="22"/>
          <w:szCs w:val="22"/>
          <w:lang w:val="en-GB"/>
        </w:rPr>
        <w:t xml:space="preserve"> 500 licences set to expire across Europe between 2025 and 2035</w:t>
      </w:r>
      <w:r w:rsidRPr="00944EB1">
        <w:rPr>
          <w:rFonts w:ascii="Calibri" w:eastAsia="Times New Roman" w:hAnsi="Calibri" w:cs="Calibri"/>
          <w:noProof/>
          <w:sz w:val="22"/>
          <w:szCs w:val="22"/>
          <w:lang w:val="en-GB"/>
        </w:rPr>
        <w:t xml:space="preserve">, combined with safeguards </w:t>
      </w:r>
      <w:r w:rsidR="00F87542" w:rsidRPr="00944EB1">
        <w:rPr>
          <w:rFonts w:ascii="Calibri" w:eastAsia="Calibri" w:hAnsi="Calibri" w:cs="Calibri"/>
          <w:noProof/>
          <w:sz w:val="22"/>
          <w:szCs w:val="22"/>
          <w:lang w:val="en-GB"/>
        </w:rPr>
        <w:t>such as periodic reviews, the possibility of revocation (e.g. in case of breach of conditions), and strong “use it or share it” obligations. T</w:t>
      </w:r>
      <w:r w:rsidR="00F86375" w:rsidRPr="00944EB1">
        <w:rPr>
          <w:rFonts w:ascii="Calibri" w:eastAsia="Calibri" w:hAnsi="Calibri" w:cs="Calibri"/>
          <w:noProof/>
          <w:sz w:val="22"/>
          <w:szCs w:val="22"/>
          <w:lang w:val="en-GB"/>
        </w:rPr>
        <w:t xml:space="preserve">hey also include </w:t>
      </w:r>
      <w:r w:rsidR="00F86375" w:rsidRPr="00944EB1">
        <w:rPr>
          <w:rFonts w:ascii="Calibri" w:eastAsia="Times New Roman" w:hAnsi="Calibri" w:cs="Calibri"/>
          <w:noProof/>
          <w:sz w:val="22"/>
          <w:szCs w:val="22"/>
          <w:lang w:val="en-GB"/>
        </w:rPr>
        <w:t>a</w:t>
      </w:r>
      <w:r w:rsidRPr="00944EB1">
        <w:rPr>
          <w:rFonts w:ascii="Calibri" w:eastAsia="Times New Roman" w:hAnsi="Calibri" w:cs="Calibri"/>
          <w:noProof/>
          <w:sz w:val="22"/>
          <w:szCs w:val="22"/>
          <w:lang w:val="en-GB"/>
        </w:rPr>
        <w:t xml:space="preserve"> pro-investment auction design, greater EU-level coordination through mandatory spectrum scrutiny and </w:t>
      </w:r>
      <w:r w:rsidR="535BED1B" w:rsidRPr="00944EB1">
        <w:rPr>
          <w:rFonts w:ascii="Calibri" w:eastAsia="Times New Roman" w:hAnsi="Calibri" w:cs="Calibri"/>
          <w:noProof/>
          <w:sz w:val="22"/>
          <w:szCs w:val="22"/>
          <w:lang w:val="en-GB"/>
        </w:rPr>
        <w:t>harmoni</w:t>
      </w:r>
      <w:r w:rsidR="00E005AD" w:rsidRPr="00944EB1">
        <w:rPr>
          <w:rFonts w:ascii="Calibri" w:eastAsia="Times New Roman" w:hAnsi="Calibri" w:cs="Calibri"/>
          <w:noProof/>
          <w:sz w:val="22"/>
          <w:szCs w:val="22"/>
          <w:lang w:val="en-GB"/>
        </w:rPr>
        <w:t>s</w:t>
      </w:r>
      <w:r w:rsidR="535BED1B" w:rsidRPr="00944EB1">
        <w:rPr>
          <w:rFonts w:ascii="Calibri" w:eastAsia="Times New Roman" w:hAnsi="Calibri" w:cs="Calibri"/>
          <w:noProof/>
          <w:sz w:val="22"/>
          <w:szCs w:val="22"/>
          <w:lang w:val="en-GB"/>
        </w:rPr>
        <w:t>ed</w:t>
      </w:r>
      <w:r w:rsidRPr="00944EB1">
        <w:rPr>
          <w:rFonts w:ascii="Calibri" w:eastAsia="Times New Roman" w:hAnsi="Calibri" w:cs="Calibri"/>
          <w:noProof/>
          <w:sz w:val="22"/>
          <w:szCs w:val="22"/>
          <w:lang w:val="en-GB"/>
        </w:rPr>
        <w:t xml:space="preserve"> authorisation conditions </w:t>
      </w:r>
      <w:r w:rsidR="00F86375" w:rsidRPr="00944EB1">
        <w:rPr>
          <w:rFonts w:ascii="Calibri" w:eastAsia="Times New Roman" w:hAnsi="Calibri" w:cs="Calibri"/>
          <w:noProof/>
          <w:sz w:val="22"/>
          <w:szCs w:val="22"/>
          <w:lang w:val="en-GB"/>
        </w:rPr>
        <w:t xml:space="preserve">(i.e. </w:t>
      </w:r>
      <w:r w:rsidR="00F86375" w:rsidRPr="00967EE0">
        <w:rPr>
          <w:rFonts w:ascii="Calibri" w:eastAsia="Calibri" w:hAnsi="Calibri" w:cs="Calibri"/>
          <w:i/>
          <w:noProof/>
          <w:sz w:val="22"/>
          <w:szCs w:val="22"/>
          <w:lang w:val="en-GB"/>
        </w:rPr>
        <w:t>ex-ante</w:t>
      </w:r>
      <w:r w:rsidR="00F86375" w:rsidRPr="00944EB1">
        <w:rPr>
          <w:rFonts w:ascii="Calibri" w:eastAsia="Calibri" w:hAnsi="Calibri" w:cs="Calibri"/>
          <w:noProof/>
          <w:sz w:val="22"/>
          <w:szCs w:val="22"/>
          <w:lang w:val="en-GB"/>
        </w:rPr>
        <w:t xml:space="preserve"> Spectrum Single Market mechanism to ensure that auctions align with the objectives of the DNA)</w:t>
      </w:r>
      <w:r w:rsidR="00F86375" w:rsidRPr="00944EB1">
        <w:rPr>
          <w:rFonts w:ascii="Calibri" w:eastAsia="Times New Roman" w:hAnsi="Calibri" w:cs="Calibri"/>
          <w:noProof/>
          <w:sz w:val="22"/>
          <w:szCs w:val="22"/>
          <w:lang w:val="en-GB"/>
        </w:rPr>
        <w:t xml:space="preserve"> </w:t>
      </w:r>
      <w:r w:rsidRPr="00944EB1">
        <w:rPr>
          <w:rFonts w:ascii="Calibri" w:eastAsia="Times New Roman" w:hAnsi="Calibri" w:cs="Calibri"/>
          <w:noProof/>
          <w:sz w:val="22"/>
          <w:szCs w:val="22"/>
          <w:lang w:val="en-GB"/>
        </w:rPr>
        <w:t>as well as faster and more predictable authorisation of future 6G spectrum to enable timely deployment. The</w:t>
      </w:r>
      <w:r w:rsidR="008446BF" w:rsidRPr="00944EB1">
        <w:rPr>
          <w:rFonts w:ascii="Calibri" w:eastAsia="Times New Roman" w:hAnsi="Calibri" w:cs="Calibri"/>
          <w:noProof/>
          <w:sz w:val="22"/>
          <w:szCs w:val="22"/>
          <w:lang w:val="en-GB"/>
        </w:rPr>
        <w:t>se measures</w:t>
      </w:r>
      <w:r w:rsidRPr="00944EB1">
        <w:rPr>
          <w:rFonts w:ascii="Calibri" w:eastAsia="Times New Roman" w:hAnsi="Calibri" w:cs="Calibri"/>
          <w:noProof/>
          <w:sz w:val="22"/>
          <w:szCs w:val="22"/>
          <w:lang w:val="en-GB"/>
        </w:rPr>
        <w:t xml:space="preserve"> are accompanied by other proposed measures on authorisation and governance, designed to facilitate larger scale operations and unlock the full potential of the single market. </w:t>
      </w:r>
    </w:p>
    <w:p w14:paraId="6DF0995D" w14:textId="4FF18B2B" w:rsidR="4D9D878A" w:rsidRPr="00944EB1" w:rsidRDefault="3E54D363" w:rsidP="00944EB1">
      <w:pPr>
        <w:spacing w:line="278" w:lineRule="auto"/>
        <w:rPr>
          <w:rFonts w:eastAsia="Calibri" w:cs="Calibri"/>
          <w:noProof/>
          <w:sz w:val="22"/>
          <w:szCs w:val="22"/>
        </w:rPr>
      </w:pPr>
      <w:r w:rsidRPr="00944EB1">
        <w:rPr>
          <w:rFonts w:eastAsia="Calibri" w:cs="Calibri"/>
          <w:noProof/>
          <w:sz w:val="22"/>
          <w:szCs w:val="22"/>
        </w:rPr>
        <w:t>The DNA also introduces a Union radio spectrum strategy to guide long-term spectrum planning, identify future needs, and ensure the availability of spectrum for key services and technologies.</w:t>
      </w:r>
    </w:p>
    <w:p w14:paraId="5D871F51" w14:textId="493D774D" w:rsidR="00B10542" w:rsidRPr="00944EB1" w:rsidRDefault="00ED0343" w:rsidP="00944EB1">
      <w:pPr>
        <w:spacing w:line="278" w:lineRule="auto"/>
        <w:rPr>
          <w:rFonts w:eastAsia="Times New Roman" w:cs="Calibri"/>
          <w:noProof/>
          <w:sz w:val="22"/>
          <w:szCs w:val="22"/>
        </w:rPr>
      </w:pPr>
      <w:r w:rsidRPr="00944EB1">
        <w:rPr>
          <w:rFonts w:eastAsia="Times New Roman" w:cs="Calibri"/>
          <w:noProof/>
          <w:sz w:val="22"/>
          <w:szCs w:val="22"/>
        </w:rPr>
        <w:t xml:space="preserve">It will, however, remain important to sustain public intervention in mobile access networks, including on </w:t>
      </w:r>
      <w:r w:rsidRPr="00944EB1">
        <w:rPr>
          <w:rFonts w:eastAsia="Times New Roman" w:cs="Calibri"/>
          <w:b/>
          <w:noProof/>
          <w:sz w:val="22"/>
          <w:szCs w:val="22"/>
        </w:rPr>
        <w:t>supply side</w:t>
      </w:r>
      <w:r w:rsidRPr="00944EB1">
        <w:rPr>
          <w:rFonts w:eastAsia="Times New Roman" w:cs="Calibri"/>
          <w:noProof/>
          <w:sz w:val="22"/>
          <w:szCs w:val="22"/>
        </w:rPr>
        <w:t xml:space="preserve"> measures </w:t>
      </w:r>
      <w:r w:rsidR="005114EA" w:rsidRPr="00944EB1">
        <w:rPr>
          <w:rFonts w:eastAsia="Times New Roman" w:cs="Calibri"/>
          <w:noProof/>
          <w:sz w:val="22"/>
          <w:szCs w:val="22"/>
        </w:rPr>
        <w:t xml:space="preserve">(i.e. public support to 5G/6G rollout) </w:t>
      </w:r>
      <w:r w:rsidRPr="00944EB1">
        <w:rPr>
          <w:rFonts w:eastAsia="Times New Roman" w:cs="Calibri"/>
          <w:noProof/>
          <w:sz w:val="22"/>
          <w:szCs w:val="22"/>
        </w:rPr>
        <w:t xml:space="preserve">targeting areas of market failure in order to meet the Digital Decade targets, support cohesion and ensure that the Union’s full </w:t>
      </w:r>
      <w:r w:rsidR="00E32257" w:rsidRPr="00944EB1">
        <w:rPr>
          <w:rFonts w:eastAsia="Times New Roman" w:cs="Calibri"/>
          <w:noProof/>
          <w:sz w:val="22"/>
          <w:szCs w:val="22"/>
        </w:rPr>
        <w:t xml:space="preserve">industrial </w:t>
      </w:r>
      <w:r w:rsidRPr="00944EB1">
        <w:rPr>
          <w:rFonts w:eastAsia="Times New Roman" w:cs="Calibri"/>
          <w:noProof/>
          <w:sz w:val="22"/>
          <w:szCs w:val="22"/>
        </w:rPr>
        <w:t xml:space="preserve">potential is </w:t>
      </w:r>
      <w:r w:rsidR="00E32257" w:rsidRPr="00944EB1">
        <w:rPr>
          <w:rFonts w:eastAsia="Times New Roman" w:cs="Calibri"/>
          <w:noProof/>
          <w:sz w:val="22"/>
          <w:szCs w:val="22"/>
        </w:rPr>
        <w:t xml:space="preserve">fully </w:t>
      </w:r>
      <w:r w:rsidRPr="00944EB1">
        <w:rPr>
          <w:rFonts w:eastAsia="Times New Roman" w:cs="Calibri"/>
          <w:noProof/>
          <w:sz w:val="22"/>
          <w:szCs w:val="22"/>
        </w:rPr>
        <w:t>exploited.</w:t>
      </w:r>
      <w:r w:rsidR="006519C4">
        <w:rPr>
          <w:rFonts w:eastAsia="Times New Roman" w:cs="Calibri"/>
          <w:noProof/>
          <w:sz w:val="22"/>
          <w:szCs w:val="22"/>
        </w:rPr>
        <w:t xml:space="preserve"> </w:t>
      </w:r>
      <w:r w:rsidR="00174A10" w:rsidRPr="00174A10">
        <w:rPr>
          <w:rFonts w:eastAsia="Times New Roman" w:cs="Calibri"/>
          <w:noProof/>
          <w:sz w:val="22"/>
          <w:szCs w:val="22"/>
        </w:rPr>
        <w:t xml:space="preserve">Further actions remain necessary to support the ongoing implementation of the EU 5G Cybersecurity Toolbox and </w:t>
      </w:r>
      <w:r w:rsidR="3DBC8545" w:rsidRPr="034F9FA2">
        <w:rPr>
          <w:rFonts w:eastAsia="Times New Roman" w:cs="Calibri"/>
          <w:noProof/>
          <w:sz w:val="22"/>
          <w:szCs w:val="22"/>
        </w:rPr>
        <w:t>once adopted,</w:t>
      </w:r>
      <w:r w:rsidR="3DBC8545" w:rsidRPr="365FB871">
        <w:rPr>
          <w:rFonts w:eastAsia="Times New Roman" w:cs="Calibri"/>
          <w:noProof/>
          <w:sz w:val="22"/>
          <w:szCs w:val="22"/>
        </w:rPr>
        <w:t xml:space="preserve"> </w:t>
      </w:r>
      <w:r w:rsidR="00174A10" w:rsidRPr="00174A10">
        <w:rPr>
          <w:rFonts w:eastAsia="Times New Roman" w:cs="Calibri"/>
          <w:noProof/>
          <w:sz w:val="22"/>
          <w:szCs w:val="22"/>
        </w:rPr>
        <w:t xml:space="preserve">to facilitate alignment with the </w:t>
      </w:r>
      <w:r w:rsidR="007BA5C9" w:rsidRPr="185A453F">
        <w:rPr>
          <w:rFonts w:eastAsia="Times New Roman" w:cs="Calibri"/>
          <w:noProof/>
          <w:sz w:val="22"/>
          <w:szCs w:val="22"/>
        </w:rPr>
        <w:t xml:space="preserve">trusted </w:t>
      </w:r>
      <w:r w:rsidR="00174A10" w:rsidRPr="00174A10">
        <w:rPr>
          <w:rFonts w:eastAsia="Times New Roman" w:cs="Calibri"/>
          <w:noProof/>
          <w:sz w:val="22"/>
          <w:szCs w:val="22"/>
        </w:rPr>
        <w:t xml:space="preserve">ICT supply chain security framework </w:t>
      </w:r>
      <w:r w:rsidR="13BF3572" w:rsidRPr="6A33C74B">
        <w:rPr>
          <w:rFonts w:eastAsia="Times New Roman" w:cs="Calibri"/>
          <w:noProof/>
          <w:sz w:val="22"/>
          <w:szCs w:val="22"/>
        </w:rPr>
        <w:t xml:space="preserve">pursuant </w:t>
      </w:r>
      <w:r w:rsidR="13BF3572" w:rsidRPr="7B2E0BA8">
        <w:rPr>
          <w:rFonts w:eastAsia="Times New Roman" w:cs="Calibri"/>
          <w:noProof/>
          <w:sz w:val="22"/>
          <w:szCs w:val="22"/>
        </w:rPr>
        <w:t xml:space="preserve">to </w:t>
      </w:r>
      <w:r w:rsidR="00174A10" w:rsidRPr="00174A10">
        <w:rPr>
          <w:rFonts w:eastAsia="Times New Roman" w:cs="Calibri"/>
          <w:noProof/>
          <w:sz w:val="22"/>
          <w:szCs w:val="22"/>
        </w:rPr>
        <w:t>the revised Cybersecurity Act.</w:t>
      </w:r>
    </w:p>
    <w:p w14:paraId="779063BC" w14:textId="306592FD" w:rsidR="00A91F06" w:rsidRPr="00944EB1" w:rsidRDefault="00ED0343" w:rsidP="00944EB1">
      <w:pPr>
        <w:spacing w:line="278" w:lineRule="auto"/>
        <w:rPr>
          <w:rFonts w:eastAsia="Times New Roman" w:cs="Calibri"/>
          <w:noProof/>
          <w:sz w:val="22"/>
          <w:szCs w:val="22"/>
        </w:rPr>
      </w:pPr>
      <w:r w:rsidRPr="00944EB1">
        <w:rPr>
          <w:rFonts w:eastAsia="Times New Roman" w:cs="Calibri"/>
          <w:noProof/>
          <w:sz w:val="22"/>
          <w:szCs w:val="22"/>
        </w:rPr>
        <w:t xml:space="preserve">Moreover, in </w:t>
      </w:r>
      <w:r w:rsidR="00E31B19" w:rsidRPr="00944EB1">
        <w:rPr>
          <w:rFonts w:eastAsia="Times New Roman" w:cs="Calibri"/>
          <w:noProof/>
          <w:sz w:val="22"/>
          <w:szCs w:val="22"/>
        </w:rPr>
        <w:t xml:space="preserve">order </w:t>
      </w:r>
      <w:r w:rsidR="00474C3F" w:rsidRPr="00944EB1">
        <w:rPr>
          <w:rFonts w:eastAsia="Times New Roman" w:cs="Calibri"/>
          <w:noProof/>
          <w:sz w:val="22"/>
          <w:szCs w:val="22"/>
        </w:rPr>
        <w:t>to address</w:t>
      </w:r>
      <w:r w:rsidRPr="00944EB1">
        <w:rPr>
          <w:rFonts w:eastAsia="Times New Roman" w:cs="Calibri"/>
          <w:noProof/>
          <w:sz w:val="22"/>
          <w:szCs w:val="22"/>
        </w:rPr>
        <w:t xml:space="preserve"> the root causes identified above, regulatory </w:t>
      </w:r>
      <w:r w:rsidR="005114EA" w:rsidRPr="00944EB1">
        <w:rPr>
          <w:rFonts w:eastAsia="Times New Roman" w:cs="Calibri"/>
          <w:noProof/>
          <w:sz w:val="22"/>
          <w:szCs w:val="22"/>
        </w:rPr>
        <w:t xml:space="preserve">and funding </w:t>
      </w:r>
      <w:r w:rsidR="00030F44" w:rsidRPr="00944EB1">
        <w:rPr>
          <w:rFonts w:eastAsia="Times New Roman" w:cs="Calibri"/>
          <w:noProof/>
          <w:sz w:val="22"/>
          <w:szCs w:val="22"/>
        </w:rPr>
        <w:t xml:space="preserve">measures </w:t>
      </w:r>
      <w:r w:rsidR="00D52C4D">
        <w:rPr>
          <w:rFonts w:eastAsia="Times New Roman" w:cs="Calibri"/>
          <w:noProof/>
          <w:sz w:val="22"/>
          <w:szCs w:val="22"/>
        </w:rPr>
        <w:t>may</w:t>
      </w:r>
      <w:r w:rsidR="00D52C4D" w:rsidRPr="00944EB1">
        <w:rPr>
          <w:rFonts w:eastAsia="Times New Roman" w:cs="Calibri"/>
          <w:noProof/>
          <w:sz w:val="22"/>
          <w:szCs w:val="22"/>
        </w:rPr>
        <w:t xml:space="preserve"> </w:t>
      </w:r>
      <w:r w:rsidR="00030F44" w:rsidRPr="00944EB1">
        <w:rPr>
          <w:rFonts w:eastAsia="Times New Roman" w:cs="Calibri"/>
          <w:noProof/>
          <w:sz w:val="22"/>
          <w:szCs w:val="22"/>
        </w:rPr>
        <w:t xml:space="preserve">be complemented by </w:t>
      </w:r>
      <w:r w:rsidRPr="00944EB1">
        <w:rPr>
          <w:rFonts w:eastAsia="Times New Roman" w:cs="Calibri"/>
          <w:b/>
          <w:noProof/>
          <w:sz w:val="22"/>
          <w:szCs w:val="22"/>
        </w:rPr>
        <w:t>demand</w:t>
      </w:r>
      <w:r w:rsidR="001A6D7F" w:rsidRPr="00944EB1">
        <w:rPr>
          <w:rFonts w:eastAsia="Times New Roman" w:cs="Calibri"/>
          <w:b/>
          <w:bCs/>
          <w:noProof/>
          <w:sz w:val="22"/>
          <w:szCs w:val="22"/>
        </w:rPr>
        <w:t>-side</w:t>
      </w:r>
      <w:r w:rsidRPr="00944EB1">
        <w:rPr>
          <w:rFonts w:eastAsia="Times New Roman" w:cs="Calibri"/>
          <w:b/>
          <w:noProof/>
          <w:sz w:val="22"/>
          <w:szCs w:val="22"/>
        </w:rPr>
        <w:t xml:space="preserve"> </w:t>
      </w:r>
      <w:r w:rsidR="005114EA" w:rsidRPr="00944EB1">
        <w:rPr>
          <w:rFonts w:eastAsia="Times New Roman" w:cs="Calibri"/>
          <w:b/>
          <w:noProof/>
          <w:sz w:val="22"/>
          <w:szCs w:val="22"/>
        </w:rPr>
        <w:t>stimulation</w:t>
      </w:r>
      <w:r w:rsidRPr="00944EB1">
        <w:rPr>
          <w:rFonts w:eastAsia="Times New Roman" w:cs="Calibri"/>
          <w:noProof/>
          <w:sz w:val="22"/>
          <w:szCs w:val="22"/>
        </w:rPr>
        <w:t xml:space="preserve">, with a particular focus on enabling innovative business models, including the bundling of infrastructure deployment with edge cloud and AI integration and </w:t>
      </w:r>
      <w:r w:rsidR="00E47982" w:rsidRPr="00944EB1">
        <w:rPr>
          <w:rFonts w:eastAsia="Times New Roman" w:cs="Calibri"/>
          <w:noProof/>
          <w:sz w:val="22"/>
          <w:szCs w:val="22"/>
        </w:rPr>
        <w:t xml:space="preserve">with </w:t>
      </w:r>
      <w:r w:rsidRPr="00944EB1">
        <w:rPr>
          <w:rFonts w:eastAsia="Times New Roman" w:cs="Calibri"/>
          <w:noProof/>
          <w:sz w:val="22"/>
          <w:szCs w:val="22"/>
        </w:rPr>
        <w:t xml:space="preserve">concrete use cases. </w:t>
      </w:r>
    </w:p>
    <w:p w14:paraId="7A374A1C" w14:textId="4F492C7C" w:rsidR="00084D67" w:rsidRPr="00944EB1" w:rsidRDefault="00F95385" w:rsidP="00944EB1">
      <w:pPr>
        <w:spacing w:line="278" w:lineRule="auto"/>
        <w:rPr>
          <w:rFonts w:eastAsia="Times New Roman" w:cs="Calibri"/>
          <w:noProof/>
          <w:sz w:val="22"/>
          <w:szCs w:val="22"/>
        </w:rPr>
      </w:pPr>
      <w:r w:rsidRPr="00944EB1">
        <w:rPr>
          <w:rFonts w:eastAsia="Times New Roman" w:cs="Calibri"/>
          <w:noProof/>
          <w:sz w:val="22"/>
          <w:szCs w:val="22"/>
        </w:rPr>
        <w:t>Since 2021,</w:t>
      </w:r>
      <w:r w:rsidR="00A91F06" w:rsidRPr="00944EB1">
        <w:rPr>
          <w:rFonts w:eastAsia="Times New Roman" w:cs="Calibri"/>
          <w:noProof/>
          <w:sz w:val="22"/>
          <w:szCs w:val="22"/>
        </w:rPr>
        <w:t xml:space="preserve"> </w:t>
      </w:r>
      <w:r w:rsidR="7FAE32F7" w:rsidRPr="00944EB1">
        <w:rPr>
          <w:rFonts w:eastAsia="Times New Roman" w:cs="Calibri"/>
          <w:noProof/>
          <w:sz w:val="22"/>
          <w:szCs w:val="22"/>
        </w:rPr>
        <w:t xml:space="preserve">the digital part of the </w:t>
      </w:r>
      <w:r w:rsidR="7FAE32F7" w:rsidRPr="00944EB1">
        <w:rPr>
          <w:rFonts w:eastAsia="Times New Roman" w:cs="Calibri"/>
          <w:b/>
          <w:bCs/>
          <w:noProof/>
          <w:sz w:val="22"/>
          <w:szCs w:val="22"/>
        </w:rPr>
        <w:t>Connecting Europe Facility programme (</w:t>
      </w:r>
      <w:r w:rsidR="00A91F06" w:rsidRPr="00944EB1">
        <w:rPr>
          <w:rFonts w:eastAsia="Times New Roman" w:cs="Calibri"/>
          <w:b/>
          <w:bCs/>
          <w:noProof/>
          <w:sz w:val="22"/>
          <w:szCs w:val="22"/>
        </w:rPr>
        <w:t>CEF Digital</w:t>
      </w:r>
      <w:r w:rsidR="3A0DB3CC" w:rsidRPr="00944EB1">
        <w:rPr>
          <w:rFonts w:eastAsia="Times New Roman" w:cs="Calibri"/>
          <w:b/>
          <w:bCs/>
          <w:noProof/>
          <w:sz w:val="22"/>
          <w:szCs w:val="22"/>
        </w:rPr>
        <w:t>)</w:t>
      </w:r>
      <w:r w:rsidR="00A91F06" w:rsidRPr="00944EB1">
        <w:rPr>
          <w:rFonts w:eastAsia="Times New Roman" w:cs="Calibri"/>
          <w:b/>
          <w:bCs/>
          <w:noProof/>
          <w:sz w:val="22"/>
          <w:szCs w:val="22"/>
        </w:rPr>
        <w:t xml:space="preserve"> has </w:t>
      </w:r>
      <w:r w:rsidR="0004147C" w:rsidRPr="00944EB1">
        <w:rPr>
          <w:rFonts w:eastAsia="Times New Roman" w:cs="Calibri"/>
          <w:b/>
          <w:bCs/>
          <w:noProof/>
          <w:sz w:val="22"/>
          <w:szCs w:val="22"/>
        </w:rPr>
        <w:t>co-funded</w:t>
      </w:r>
      <w:r w:rsidRPr="00944EB1">
        <w:rPr>
          <w:rFonts w:eastAsia="Times New Roman" w:cs="Calibri"/>
          <w:b/>
          <w:bCs/>
          <w:noProof/>
          <w:sz w:val="22"/>
          <w:szCs w:val="22"/>
        </w:rPr>
        <w:t xml:space="preserve"> 5G deployments integrated with edge-cloud computing and enabling innovative use cases</w:t>
      </w:r>
      <w:r w:rsidRPr="00944EB1">
        <w:rPr>
          <w:rFonts w:eastAsia="Times New Roman" w:cs="Calibri"/>
          <w:noProof/>
          <w:sz w:val="22"/>
          <w:szCs w:val="22"/>
        </w:rPr>
        <w:t xml:space="preserve"> such as remote surgery, </w:t>
      </w:r>
      <w:r w:rsidR="00E47982" w:rsidRPr="00944EB1">
        <w:rPr>
          <w:rFonts w:eastAsia="Times New Roman" w:cs="Calibri"/>
          <w:noProof/>
          <w:sz w:val="22"/>
          <w:szCs w:val="22"/>
        </w:rPr>
        <w:t>virtual r</w:t>
      </w:r>
      <w:r w:rsidRPr="00944EB1">
        <w:rPr>
          <w:rFonts w:eastAsia="Times New Roman" w:cs="Calibri"/>
          <w:noProof/>
          <w:sz w:val="22"/>
          <w:szCs w:val="22"/>
        </w:rPr>
        <w:t>eality for learning, drone-based monitoring and more.</w:t>
      </w:r>
      <w:r w:rsidR="0004147C" w:rsidRPr="00944EB1">
        <w:rPr>
          <w:rFonts w:eastAsia="Times New Roman" w:cs="Calibri"/>
          <w:noProof/>
          <w:sz w:val="22"/>
          <w:szCs w:val="22"/>
        </w:rPr>
        <w:t xml:space="preserve"> So far</w:t>
      </w:r>
      <w:r w:rsidR="7ABF3260" w:rsidRPr="00944EB1">
        <w:rPr>
          <w:rFonts w:eastAsia="Times New Roman" w:cs="Calibri"/>
          <w:noProof/>
          <w:sz w:val="22"/>
          <w:szCs w:val="22"/>
        </w:rPr>
        <w:t>,</w:t>
      </w:r>
      <w:r w:rsidR="0004147C" w:rsidRPr="00944EB1">
        <w:rPr>
          <w:rFonts w:eastAsia="Times New Roman" w:cs="Calibri"/>
          <w:noProof/>
          <w:sz w:val="22"/>
          <w:szCs w:val="22"/>
        </w:rPr>
        <w:t xml:space="preserve"> a total of </w:t>
      </w:r>
      <w:r w:rsidR="0B65D84C" w:rsidRPr="00944EB1">
        <w:rPr>
          <w:rFonts w:eastAsia="Times New Roman" w:cs="Calibri"/>
          <w:noProof/>
          <w:sz w:val="22"/>
          <w:szCs w:val="22"/>
        </w:rPr>
        <w:t xml:space="preserve">EUR </w:t>
      </w:r>
      <w:r w:rsidR="0004147C" w:rsidRPr="00944EB1">
        <w:rPr>
          <w:rFonts w:eastAsia="Times New Roman" w:cs="Calibri"/>
          <w:noProof/>
          <w:sz w:val="22"/>
          <w:szCs w:val="22"/>
        </w:rPr>
        <w:t xml:space="preserve">327 million were invested in 78 projects, </w:t>
      </w:r>
      <w:r w:rsidR="00D15970" w:rsidRPr="00944EB1">
        <w:rPr>
          <w:rFonts w:eastAsia="Times New Roman" w:cs="Calibri"/>
          <w:noProof/>
          <w:sz w:val="22"/>
          <w:szCs w:val="22"/>
        </w:rPr>
        <w:t>including</w:t>
      </w:r>
      <w:r w:rsidR="0004147C" w:rsidRPr="00944EB1">
        <w:rPr>
          <w:rFonts w:eastAsia="Times New Roman" w:cs="Calibri"/>
          <w:noProof/>
          <w:sz w:val="22"/>
          <w:szCs w:val="22"/>
        </w:rPr>
        <w:t xml:space="preserve"> 47 projects for 5G Smart Communities and 31 projects for transport corridors. This funding </w:t>
      </w:r>
      <w:r w:rsidR="00C961E8" w:rsidRPr="00944EB1">
        <w:rPr>
          <w:rFonts w:eastAsia="Times New Roman" w:cs="Calibri"/>
          <w:noProof/>
          <w:sz w:val="22"/>
          <w:szCs w:val="22"/>
        </w:rPr>
        <w:t xml:space="preserve">has </w:t>
      </w:r>
      <w:r w:rsidR="00565154" w:rsidRPr="00944EB1">
        <w:rPr>
          <w:rFonts w:eastAsia="Times New Roman" w:cs="Calibri"/>
          <w:noProof/>
          <w:sz w:val="22"/>
          <w:szCs w:val="22"/>
        </w:rPr>
        <w:t>helped</w:t>
      </w:r>
      <w:r w:rsidR="00C961E8" w:rsidRPr="00944EB1">
        <w:rPr>
          <w:rFonts w:eastAsia="Times New Roman" w:cs="Calibri"/>
          <w:noProof/>
          <w:sz w:val="22"/>
          <w:szCs w:val="22"/>
        </w:rPr>
        <w:t xml:space="preserve"> </w:t>
      </w:r>
      <w:r w:rsidR="00983502" w:rsidRPr="00944EB1">
        <w:rPr>
          <w:rFonts w:eastAsia="Times New Roman" w:cs="Calibri"/>
          <w:noProof/>
          <w:sz w:val="22"/>
          <w:szCs w:val="22"/>
        </w:rPr>
        <w:t>pav</w:t>
      </w:r>
      <w:r w:rsidR="00565154" w:rsidRPr="00944EB1">
        <w:rPr>
          <w:rFonts w:eastAsia="Times New Roman" w:cs="Calibri"/>
          <w:noProof/>
          <w:sz w:val="22"/>
          <w:szCs w:val="22"/>
        </w:rPr>
        <w:t>e</w:t>
      </w:r>
      <w:r w:rsidR="00983502" w:rsidRPr="00944EB1">
        <w:rPr>
          <w:rFonts w:eastAsia="Times New Roman" w:cs="Calibri"/>
          <w:noProof/>
          <w:sz w:val="22"/>
          <w:szCs w:val="22"/>
        </w:rPr>
        <w:t xml:space="preserve"> the way </w:t>
      </w:r>
      <w:r w:rsidR="00565154" w:rsidRPr="00944EB1">
        <w:rPr>
          <w:rFonts w:eastAsia="Times New Roman" w:cs="Calibri"/>
          <w:noProof/>
          <w:sz w:val="22"/>
          <w:szCs w:val="22"/>
        </w:rPr>
        <w:t>for</w:t>
      </w:r>
      <w:r w:rsidR="003B2765" w:rsidRPr="00944EB1">
        <w:rPr>
          <w:rFonts w:eastAsia="Times New Roman" w:cs="Calibri"/>
          <w:noProof/>
          <w:sz w:val="22"/>
          <w:szCs w:val="22"/>
        </w:rPr>
        <w:t xml:space="preserve"> </w:t>
      </w:r>
      <w:r w:rsidR="002500ED">
        <w:rPr>
          <w:rFonts w:eastAsia="Times New Roman" w:cs="Calibri"/>
          <w:noProof/>
          <w:sz w:val="22"/>
          <w:szCs w:val="22"/>
        </w:rPr>
        <w:t xml:space="preserve">the </w:t>
      </w:r>
      <w:r w:rsidR="00C87681" w:rsidRPr="00944EB1">
        <w:rPr>
          <w:rFonts w:eastAsia="Times New Roman" w:cs="Calibri"/>
          <w:noProof/>
          <w:sz w:val="22"/>
          <w:szCs w:val="22"/>
        </w:rPr>
        <w:t xml:space="preserve">future </w:t>
      </w:r>
      <w:r w:rsidR="0042746D" w:rsidRPr="00944EB1">
        <w:rPr>
          <w:rFonts w:eastAsia="Times New Roman" w:cs="Calibri"/>
          <w:noProof/>
          <w:sz w:val="22"/>
          <w:szCs w:val="22"/>
        </w:rPr>
        <w:t>development</w:t>
      </w:r>
      <w:r w:rsidR="00ED0343" w:rsidRPr="00944EB1">
        <w:rPr>
          <w:rFonts w:eastAsia="Times New Roman" w:cs="Calibri"/>
          <w:noProof/>
          <w:sz w:val="22"/>
          <w:szCs w:val="22"/>
        </w:rPr>
        <w:t xml:space="preserve"> of vertical use cases for sectors considered as strategic for the economy</w:t>
      </w:r>
      <w:r w:rsidR="00084D67" w:rsidRPr="00944EB1">
        <w:rPr>
          <w:rFonts w:eastAsia="Times New Roman" w:cs="Calibri"/>
          <w:noProof/>
          <w:sz w:val="22"/>
          <w:szCs w:val="22"/>
        </w:rPr>
        <w:t>.</w:t>
      </w:r>
      <w:r w:rsidR="00ED0343" w:rsidRPr="00944EB1">
        <w:rPr>
          <w:rFonts w:eastAsia="Times New Roman" w:cs="Calibri"/>
          <w:noProof/>
          <w:sz w:val="22"/>
          <w:szCs w:val="22"/>
        </w:rPr>
        <w:t xml:space="preserve"> </w:t>
      </w:r>
    </w:p>
    <w:p w14:paraId="7C7525BD" w14:textId="5616AF4B" w:rsidR="00084D67" w:rsidRPr="00944EB1" w:rsidRDefault="5481D9C7" w:rsidP="00944EB1">
      <w:pPr>
        <w:spacing w:line="278" w:lineRule="auto"/>
        <w:rPr>
          <w:rFonts w:eastAsia="Times New Roman" w:cs="Calibri"/>
          <w:noProof/>
          <w:sz w:val="22"/>
          <w:szCs w:val="22"/>
        </w:rPr>
      </w:pPr>
      <w:r w:rsidRPr="00944EB1">
        <w:rPr>
          <w:rFonts w:eastAsia="Times New Roman" w:cs="Calibri"/>
          <w:noProof/>
          <w:sz w:val="22"/>
          <w:szCs w:val="22"/>
        </w:rPr>
        <w:t>In</w:t>
      </w:r>
      <w:r w:rsidR="004B0C14" w:rsidRPr="00944EB1">
        <w:rPr>
          <w:rFonts w:eastAsia="Times New Roman" w:cs="Calibri"/>
          <w:noProof/>
          <w:sz w:val="22"/>
          <w:szCs w:val="22"/>
        </w:rPr>
        <w:t xml:space="preserve"> 2026, the Commission unveiled </w:t>
      </w:r>
      <w:r w:rsidR="004B0C14" w:rsidRPr="00944EB1">
        <w:rPr>
          <w:rFonts w:eastAsia="Times New Roman" w:cs="Calibri"/>
          <w:b/>
          <w:bCs/>
          <w:noProof/>
          <w:sz w:val="22"/>
          <w:szCs w:val="22"/>
        </w:rPr>
        <w:t xml:space="preserve">EURO-3C, a EUR 75 million project </w:t>
      </w:r>
      <w:r w:rsidR="1228709E" w:rsidRPr="00944EB1">
        <w:rPr>
          <w:rFonts w:eastAsia="Times New Roman" w:cs="Calibri"/>
          <w:b/>
          <w:bCs/>
          <w:noProof/>
          <w:sz w:val="22"/>
          <w:szCs w:val="22"/>
        </w:rPr>
        <w:t xml:space="preserve">meant </w:t>
      </w:r>
      <w:r w:rsidR="004B0C14" w:rsidRPr="00944EB1">
        <w:rPr>
          <w:rFonts w:eastAsia="Times New Roman" w:cs="Calibri"/>
          <w:b/>
          <w:bCs/>
          <w:noProof/>
          <w:sz w:val="22"/>
          <w:szCs w:val="22"/>
        </w:rPr>
        <w:t xml:space="preserve">to develop </w:t>
      </w:r>
      <w:r w:rsidR="252756C3" w:rsidRPr="00944EB1">
        <w:rPr>
          <w:rFonts w:eastAsia="Times New Roman" w:cs="Calibri"/>
          <w:b/>
          <w:bCs/>
          <w:noProof/>
          <w:sz w:val="22"/>
          <w:szCs w:val="22"/>
        </w:rPr>
        <w:t>the EU</w:t>
      </w:r>
      <w:r w:rsidR="004B0C14" w:rsidRPr="00944EB1">
        <w:rPr>
          <w:rFonts w:eastAsia="Times New Roman" w:cs="Calibri"/>
          <w:b/>
          <w:bCs/>
          <w:noProof/>
          <w:sz w:val="22"/>
          <w:szCs w:val="22"/>
        </w:rPr>
        <w:t>’s first large-scale federated Telco-Edge-Cloud infrastructure</w:t>
      </w:r>
      <w:r w:rsidR="004B0C14" w:rsidRPr="00944EB1">
        <w:rPr>
          <w:rFonts w:eastAsia="Times New Roman" w:cs="Calibri"/>
          <w:b/>
          <w:bCs/>
          <w:noProof/>
          <w:sz w:val="22"/>
          <w:szCs w:val="22"/>
          <w:vertAlign w:val="superscript"/>
        </w:rPr>
        <w:footnoteReference w:id="47"/>
      </w:r>
      <w:r w:rsidR="6F72BC77" w:rsidRPr="00944EB1">
        <w:rPr>
          <w:rFonts w:eastAsia="Times New Roman" w:cs="Calibri"/>
          <w:b/>
          <w:bCs/>
          <w:noProof/>
          <w:sz w:val="22"/>
          <w:szCs w:val="22"/>
        </w:rPr>
        <w:t>.</w:t>
      </w:r>
      <w:r w:rsidR="00D815A2" w:rsidRPr="00944EB1">
        <w:rPr>
          <w:rFonts w:eastAsia="Times New Roman" w:cs="Calibri"/>
          <w:noProof/>
          <w:sz w:val="22"/>
          <w:szCs w:val="22"/>
        </w:rPr>
        <w:t xml:space="preserve"> </w:t>
      </w:r>
      <w:r w:rsidR="5FEBB56D" w:rsidRPr="00944EB1">
        <w:rPr>
          <w:rFonts w:eastAsia="Times New Roman" w:cs="Calibri"/>
          <w:noProof/>
          <w:sz w:val="22"/>
          <w:szCs w:val="22"/>
        </w:rPr>
        <w:t>Financed via</w:t>
      </w:r>
      <w:r w:rsidR="004B0C14" w:rsidRPr="00944EB1">
        <w:rPr>
          <w:rFonts w:eastAsia="Times New Roman" w:cs="Calibri"/>
          <w:noProof/>
          <w:sz w:val="22"/>
          <w:szCs w:val="22"/>
        </w:rPr>
        <w:t xml:space="preserve"> Horizon Europe</w:t>
      </w:r>
      <w:r w:rsidR="5FEBB56D" w:rsidRPr="00944EB1">
        <w:rPr>
          <w:rFonts w:eastAsia="Times New Roman" w:cs="Calibri"/>
          <w:noProof/>
          <w:sz w:val="22"/>
          <w:szCs w:val="22"/>
        </w:rPr>
        <w:t xml:space="preserve">, </w:t>
      </w:r>
      <w:r w:rsidR="2DD5C4AD" w:rsidRPr="00944EB1">
        <w:rPr>
          <w:rFonts w:eastAsia="Times New Roman" w:cs="Calibri"/>
          <w:noProof/>
          <w:sz w:val="22"/>
          <w:szCs w:val="22"/>
        </w:rPr>
        <w:t>t</w:t>
      </w:r>
      <w:r w:rsidR="00A92AAD" w:rsidRPr="00944EB1">
        <w:rPr>
          <w:rFonts w:eastAsia="Times New Roman" w:cs="Calibri"/>
          <w:noProof/>
          <w:sz w:val="22"/>
          <w:szCs w:val="22"/>
        </w:rPr>
        <w:t>his landmark project</w:t>
      </w:r>
      <w:r w:rsidR="00D815A2" w:rsidRPr="00944EB1">
        <w:rPr>
          <w:rFonts w:eastAsia="Times New Roman" w:cs="Calibri"/>
          <w:noProof/>
          <w:sz w:val="22"/>
          <w:szCs w:val="22"/>
        </w:rPr>
        <w:t>, which brings together over 70 partners,</w:t>
      </w:r>
      <w:r w:rsidR="00A92AAD" w:rsidRPr="00944EB1">
        <w:rPr>
          <w:rFonts w:eastAsia="Times New Roman" w:cs="Calibri"/>
          <w:noProof/>
          <w:sz w:val="22"/>
          <w:szCs w:val="22"/>
        </w:rPr>
        <w:t xml:space="preserve"> will showcase </w:t>
      </w:r>
      <w:r w:rsidR="6E0F9E98" w:rsidRPr="00944EB1">
        <w:rPr>
          <w:rFonts w:eastAsia="Times New Roman" w:cs="Calibri"/>
          <w:noProof/>
          <w:sz w:val="22"/>
          <w:szCs w:val="22"/>
        </w:rPr>
        <w:t xml:space="preserve">the </w:t>
      </w:r>
      <w:r w:rsidR="00A92AAD" w:rsidRPr="00944EB1">
        <w:rPr>
          <w:rFonts w:eastAsia="Times New Roman" w:cs="Calibri"/>
          <w:noProof/>
          <w:sz w:val="22"/>
          <w:szCs w:val="22"/>
        </w:rPr>
        <w:t>E</w:t>
      </w:r>
      <w:r w:rsidR="5E5B4DFD" w:rsidRPr="00944EB1">
        <w:rPr>
          <w:rFonts w:eastAsia="Times New Roman" w:cs="Calibri"/>
          <w:noProof/>
          <w:sz w:val="22"/>
          <w:szCs w:val="22"/>
        </w:rPr>
        <w:t>U</w:t>
      </w:r>
      <w:r w:rsidR="00A92AAD" w:rsidRPr="00944EB1">
        <w:rPr>
          <w:rFonts w:eastAsia="Times New Roman" w:cs="Calibri"/>
          <w:noProof/>
          <w:sz w:val="22"/>
          <w:szCs w:val="22"/>
        </w:rPr>
        <w:t>'s ability to deliver cutting-edge digital services entirely through its own connectivity infrastructure, reducing reliance on third country providers. Telco-edge-cloud combines telecommunication networks, edge computing and cloud infrastructure into a single, integrated platform, bringing high speed, secure computing power closer to end-users.</w:t>
      </w:r>
      <w:r w:rsidR="003C63B2" w:rsidRPr="00944EB1">
        <w:rPr>
          <w:rFonts w:eastAsia="Times New Roman" w:cs="Calibri"/>
          <w:noProof/>
          <w:sz w:val="22"/>
          <w:szCs w:val="22"/>
        </w:rPr>
        <w:t xml:space="preserve"> </w:t>
      </w:r>
    </w:p>
    <w:p w14:paraId="72B6436C" w14:textId="1A9DB3CC" w:rsidR="00057102" w:rsidRPr="00944EB1" w:rsidRDefault="00ED35E4" w:rsidP="00944EB1">
      <w:pPr>
        <w:spacing w:line="278" w:lineRule="auto"/>
        <w:rPr>
          <w:rFonts w:eastAsia="Calibri" w:cs="Calibri"/>
          <w:noProof/>
          <w:sz w:val="22"/>
          <w:szCs w:val="22"/>
        </w:rPr>
      </w:pPr>
      <w:r w:rsidRPr="00944EB1">
        <w:rPr>
          <w:rFonts w:eastAsia="Calibri" w:cs="Calibri"/>
          <w:noProof/>
          <w:sz w:val="22"/>
          <w:szCs w:val="22"/>
        </w:rPr>
        <w:t>EU</w:t>
      </w:r>
      <w:r w:rsidR="00A856E9">
        <w:rPr>
          <w:rFonts w:eastAsia="Calibri" w:cs="Calibri"/>
          <w:noProof/>
          <w:sz w:val="22"/>
          <w:szCs w:val="22"/>
        </w:rPr>
        <w:t>’</w:t>
      </w:r>
      <w:r w:rsidRPr="00944EB1">
        <w:rPr>
          <w:rFonts w:eastAsia="Calibri" w:cs="Calibri"/>
          <w:noProof/>
          <w:sz w:val="22"/>
          <w:szCs w:val="22"/>
        </w:rPr>
        <w:t>s</w:t>
      </w:r>
      <w:r w:rsidR="00057102" w:rsidRPr="00944EB1">
        <w:rPr>
          <w:rFonts w:eastAsia="Calibri" w:cs="Calibri"/>
          <w:noProof/>
          <w:sz w:val="22"/>
          <w:szCs w:val="22"/>
        </w:rPr>
        <w:t xml:space="preserve"> leadership in 6G will not be determined solely by </w:t>
      </w:r>
      <w:r w:rsidR="0040770F" w:rsidRPr="00944EB1">
        <w:rPr>
          <w:rFonts w:eastAsia="Calibri" w:cs="Calibri"/>
          <w:noProof/>
          <w:sz w:val="22"/>
          <w:szCs w:val="22"/>
        </w:rPr>
        <w:t xml:space="preserve">leadership in </w:t>
      </w:r>
      <w:r w:rsidR="00057102" w:rsidRPr="00944EB1">
        <w:rPr>
          <w:rFonts w:eastAsia="Calibri" w:cs="Calibri"/>
          <w:noProof/>
          <w:sz w:val="22"/>
          <w:szCs w:val="22"/>
        </w:rPr>
        <w:t xml:space="preserve">radio </w:t>
      </w:r>
      <w:r w:rsidR="0040770F" w:rsidRPr="00944EB1">
        <w:rPr>
          <w:rFonts w:eastAsia="Calibri" w:cs="Calibri"/>
          <w:noProof/>
          <w:sz w:val="22"/>
          <w:szCs w:val="22"/>
        </w:rPr>
        <w:t>technologies</w:t>
      </w:r>
      <w:r w:rsidR="00057102" w:rsidRPr="00944EB1">
        <w:rPr>
          <w:rFonts w:eastAsia="Calibri" w:cs="Calibri"/>
          <w:noProof/>
          <w:sz w:val="22"/>
          <w:szCs w:val="22"/>
        </w:rPr>
        <w:t xml:space="preserve">, but by its </w:t>
      </w:r>
      <w:r w:rsidR="001F49D4" w:rsidRPr="00944EB1">
        <w:rPr>
          <w:rFonts w:eastAsia="Calibri" w:cs="Calibri"/>
          <w:noProof/>
          <w:sz w:val="22"/>
          <w:szCs w:val="22"/>
        </w:rPr>
        <w:t>capacity</w:t>
      </w:r>
      <w:r w:rsidR="00057102" w:rsidRPr="00944EB1">
        <w:rPr>
          <w:rFonts w:eastAsia="Calibri" w:cs="Calibri"/>
          <w:noProof/>
          <w:sz w:val="22"/>
          <w:szCs w:val="22"/>
        </w:rPr>
        <w:t xml:space="preserve"> across the converged digital communications stack, from advanced semiconductors to AI-driven network orchestration and cloud-edge integration. </w:t>
      </w:r>
    </w:p>
    <w:p w14:paraId="3999A7DD" w14:textId="2D906449" w:rsidR="00226E6C" w:rsidRPr="00944EB1" w:rsidRDefault="00226E6C" w:rsidP="00944EB1">
      <w:pPr>
        <w:spacing w:line="278" w:lineRule="auto"/>
        <w:rPr>
          <w:rFonts w:eastAsia="Calibri" w:cs="Calibri"/>
          <w:noProof/>
          <w:sz w:val="22"/>
          <w:szCs w:val="22"/>
        </w:rPr>
      </w:pPr>
      <w:r w:rsidRPr="00944EB1">
        <w:rPr>
          <w:rFonts w:eastAsia="Calibri" w:cs="Calibri"/>
          <w:b/>
          <w:bCs/>
          <w:noProof/>
          <w:sz w:val="22"/>
          <w:szCs w:val="22"/>
        </w:rPr>
        <w:t>The EU approaches the transition to 6G with a mix of structural strengths and growing dependencies</w:t>
      </w:r>
      <w:r w:rsidRPr="00944EB1">
        <w:rPr>
          <w:rFonts w:eastAsia="Calibri" w:cs="Calibri"/>
          <w:b/>
          <w:bCs/>
          <w:noProof/>
          <w:sz w:val="22"/>
          <w:szCs w:val="22"/>
          <w:vertAlign w:val="superscript"/>
        </w:rPr>
        <w:footnoteReference w:id="48"/>
      </w:r>
      <w:r w:rsidR="695D5802" w:rsidRPr="00944EB1">
        <w:rPr>
          <w:rFonts w:eastAsia="Calibri" w:cs="Calibri"/>
          <w:b/>
          <w:bCs/>
          <w:noProof/>
          <w:sz w:val="22"/>
          <w:szCs w:val="22"/>
        </w:rPr>
        <w:t>.</w:t>
      </w:r>
      <w:r w:rsidRPr="00944EB1">
        <w:rPr>
          <w:rFonts w:eastAsia="Calibri" w:cs="Calibri"/>
          <w:b/>
          <w:bCs/>
          <w:noProof/>
          <w:sz w:val="22"/>
          <w:szCs w:val="22"/>
        </w:rPr>
        <w:t xml:space="preserve"> </w:t>
      </w:r>
      <w:r w:rsidR="39E8531E" w:rsidRPr="00944EB1">
        <w:rPr>
          <w:rFonts w:eastAsia="Calibri" w:cs="Calibri"/>
          <w:noProof/>
          <w:sz w:val="22"/>
          <w:szCs w:val="22"/>
        </w:rPr>
        <w:t xml:space="preserve">It benefits from globally competitive </w:t>
      </w:r>
      <w:r w:rsidR="00D12017" w:rsidRPr="00944EB1">
        <w:rPr>
          <w:rFonts w:eastAsia="Calibri" w:cs="Calibri"/>
          <w:noProof/>
          <w:sz w:val="22"/>
          <w:szCs w:val="22"/>
        </w:rPr>
        <w:t>vendors</w:t>
      </w:r>
      <w:r w:rsidR="39E8531E" w:rsidRPr="00944EB1">
        <w:rPr>
          <w:rFonts w:eastAsia="Calibri" w:cs="Calibri"/>
          <w:noProof/>
          <w:sz w:val="22"/>
          <w:szCs w:val="22"/>
        </w:rPr>
        <w:t xml:space="preserve">, </w:t>
      </w:r>
      <w:r w:rsidRPr="00944EB1">
        <w:rPr>
          <w:rFonts w:eastAsia="Calibri" w:cs="Calibri"/>
          <w:noProof/>
          <w:sz w:val="22"/>
          <w:szCs w:val="22"/>
        </w:rPr>
        <w:t xml:space="preserve">strong </w:t>
      </w:r>
      <w:r w:rsidR="5F714BF7" w:rsidRPr="00944EB1">
        <w:rPr>
          <w:rFonts w:eastAsia="Calibri" w:cs="Calibri"/>
          <w:noProof/>
          <w:sz w:val="22"/>
          <w:szCs w:val="22"/>
        </w:rPr>
        <w:t>radio access network (</w:t>
      </w:r>
      <w:r w:rsidRPr="00944EB1">
        <w:rPr>
          <w:rFonts w:eastAsia="Calibri" w:cs="Calibri"/>
          <w:noProof/>
          <w:sz w:val="22"/>
          <w:szCs w:val="22"/>
        </w:rPr>
        <w:t>RAN</w:t>
      </w:r>
      <w:r w:rsidR="5F714BF7" w:rsidRPr="00944EB1">
        <w:rPr>
          <w:rFonts w:eastAsia="Calibri" w:cs="Calibri"/>
          <w:noProof/>
          <w:sz w:val="22"/>
          <w:szCs w:val="22"/>
        </w:rPr>
        <w:t>)</w:t>
      </w:r>
      <w:r w:rsidRPr="00944EB1">
        <w:rPr>
          <w:rFonts w:eastAsia="Calibri" w:cs="Calibri"/>
          <w:noProof/>
          <w:sz w:val="22"/>
          <w:szCs w:val="22"/>
        </w:rPr>
        <w:t xml:space="preserve"> engineering capabilities, and recognised leadership in energy-efficient networks, supported by a coordinated research and standardisation framework, notably through the Smart Networks and Services Joint Undertaking (SNS JU)</w:t>
      </w:r>
      <w:r w:rsidR="00422095">
        <w:rPr>
          <w:rFonts w:eastAsia="Calibri" w:cs="Calibri"/>
          <w:noProof/>
          <w:sz w:val="22"/>
          <w:szCs w:val="22"/>
        </w:rPr>
        <w:t xml:space="preserve"> </w:t>
      </w:r>
      <w:r w:rsidR="000E34FA" w:rsidRPr="000E34FA">
        <w:rPr>
          <w:rFonts w:eastAsia="Calibri" w:cs="Calibri"/>
          <w:noProof/>
          <w:sz w:val="22"/>
          <w:szCs w:val="22"/>
        </w:rPr>
        <w:t>as well as large national 6G initiatives to promote European capacities in 6G and related technologies in a number of Member States (in particular Germany, Ireland, Spain, France, Italy, Netherlands, Finland, Sweden)</w:t>
      </w:r>
      <w:r w:rsidR="000E34FA" w:rsidRPr="000E34FA">
        <w:rPr>
          <w:rFonts w:eastAsia="Calibri" w:cs="Calibri"/>
          <w:noProof/>
          <w:sz w:val="22"/>
          <w:szCs w:val="22"/>
          <w:vertAlign w:val="superscript"/>
        </w:rPr>
        <w:footnoteReference w:id="49"/>
      </w:r>
      <w:r w:rsidR="000E34FA">
        <w:rPr>
          <w:rFonts w:eastAsia="Calibri" w:cs="Calibri"/>
          <w:noProof/>
          <w:sz w:val="22"/>
          <w:szCs w:val="22"/>
        </w:rPr>
        <w:t xml:space="preserve">. </w:t>
      </w:r>
      <w:r w:rsidRPr="00944EB1">
        <w:rPr>
          <w:rFonts w:eastAsia="Calibri" w:cs="Calibri"/>
          <w:noProof/>
          <w:sz w:val="22"/>
          <w:szCs w:val="22"/>
        </w:rPr>
        <w:t xml:space="preserve">These assets strengthen </w:t>
      </w:r>
      <w:r w:rsidR="1D5E17F7" w:rsidRPr="00944EB1">
        <w:rPr>
          <w:rFonts w:eastAsia="Calibri" w:cs="Calibri"/>
          <w:noProof/>
          <w:sz w:val="22"/>
          <w:szCs w:val="22"/>
        </w:rPr>
        <w:t>the EU</w:t>
      </w:r>
      <w:r w:rsidR="37E9B5CE" w:rsidRPr="00944EB1">
        <w:rPr>
          <w:rFonts w:eastAsia="Calibri" w:cs="Calibri"/>
          <w:noProof/>
          <w:sz w:val="22"/>
          <w:szCs w:val="22"/>
        </w:rPr>
        <w:t xml:space="preserve">’s </w:t>
      </w:r>
      <w:r w:rsidR="18D27F5C" w:rsidRPr="00944EB1">
        <w:rPr>
          <w:rFonts w:eastAsia="Calibri" w:cs="Calibri"/>
          <w:noProof/>
          <w:sz w:val="22"/>
          <w:szCs w:val="22"/>
        </w:rPr>
        <w:t>ability</w:t>
      </w:r>
      <w:r w:rsidRPr="00944EB1">
        <w:rPr>
          <w:rFonts w:eastAsia="Calibri" w:cs="Calibri"/>
          <w:noProof/>
          <w:sz w:val="22"/>
          <w:szCs w:val="22"/>
        </w:rPr>
        <w:t xml:space="preserve"> to influence global standards and ensure interoperability. However, challenges persist, including weaknesses in </w:t>
      </w:r>
      <w:r w:rsidR="7100352D" w:rsidRPr="00944EB1">
        <w:rPr>
          <w:rFonts w:eastAsia="Calibri" w:cs="Calibri"/>
          <w:noProof/>
          <w:sz w:val="22"/>
          <w:szCs w:val="22"/>
        </w:rPr>
        <w:t>hyperscalers</w:t>
      </w:r>
      <w:r w:rsidRPr="00944EB1">
        <w:rPr>
          <w:rFonts w:eastAsia="Calibri" w:cs="Calibri"/>
          <w:noProof/>
          <w:sz w:val="22"/>
          <w:szCs w:val="22"/>
        </w:rPr>
        <w:t xml:space="preserve"> cloud services and AI development, reliance on external semiconductor supply chains, risks of diminished value capture in increasingly software-driven architectures, and exposure to geopolitical tensions and market fragmentation.</w:t>
      </w:r>
    </w:p>
    <w:p w14:paraId="5BEA8883" w14:textId="228CC82B" w:rsidR="00226E6C" w:rsidRPr="00944EB1" w:rsidRDefault="00226E6C" w:rsidP="00944EB1">
      <w:pPr>
        <w:spacing w:line="278" w:lineRule="auto"/>
        <w:rPr>
          <w:rFonts w:eastAsia="Calibri" w:cs="Calibri"/>
          <w:noProof/>
          <w:color w:val="000000" w:themeColor="text1"/>
          <w:sz w:val="22"/>
          <w:szCs w:val="22"/>
        </w:rPr>
      </w:pPr>
      <w:r w:rsidRPr="00944EB1">
        <w:rPr>
          <w:rFonts w:eastAsia="Calibri" w:cs="Calibri"/>
          <w:noProof/>
          <w:color w:val="000000" w:themeColor="text1"/>
          <w:sz w:val="22"/>
          <w:szCs w:val="22"/>
        </w:rPr>
        <w:t xml:space="preserve">As value </w:t>
      </w:r>
      <w:r w:rsidR="00F941EB" w:rsidRPr="00944EB1">
        <w:rPr>
          <w:rFonts w:eastAsia="Calibri" w:cs="Calibri"/>
          <w:noProof/>
          <w:color w:val="000000" w:themeColor="text1"/>
          <w:sz w:val="22"/>
          <w:szCs w:val="22"/>
        </w:rPr>
        <w:t>shifts</w:t>
      </w:r>
      <w:r w:rsidRPr="00944EB1">
        <w:rPr>
          <w:rFonts w:eastAsia="Calibri" w:cs="Calibri"/>
          <w:noProof/>
          <w:color w:val="000000" w:themeColor="text1"/>
          <w:sz w:val="22"/>
          <w:szCs w:val="22"/>
        </w:rPr>
        <w:t xml:space="preserve"> toward cloud</w:t>
      </w:r>
      <w:r w:rsidR="00D72AB6" w:rsidRPr="00944EB1">
        <w:rPr>
          <w:rFonts w:eastAsia="Calibri" w:cs="Calibri"/>
          <w:noProof/>
          <w:color w:val="000000" w:themeColor="text1"/>
          <w:sz w:val="22"/>
          <w:szCs w:val="22"/>
        </w:rPr>
        <w:t xml:space="preserve"> management software</w:t>
      </w:r>
      <w:r w:rsidRPr="00944EB1">
        <w:rPr>
          <w:rFonts w:eastAsia="Calibri" w:cs="Calibri"/>
          <w:noProof/>
          <w:color w:val="000000" w:themeColor="text1"/>
          <w:sz w:val="22"/>
          <w:szCs w:val="22"/>
        </w:rPr>
        <w:t xml:space="preserve"> and AI orchestration, </w:t>
      </w:r>
      <w:r w:rsidR="69A297A7" w:rsidRPr="00944EB1">
        <w:rPr>
          <w:rFonts w:eastAsia="Calibri" w:cs="Calibri"/>
          <w:noProof/>
          <w:color w:val="000000" w:themeColor="text1"/>
          <w:sz w:val="22"/>
          <w:szCs w:val="22"/>
        </w:rPr>
        <w:t>the EU</w:t>
      </w:r>
      <w:r w:rsidRPr="00944EB1">
        <w:rPr>
          <w:rFonts w:eastAsia="Calibri" w:cs="Calibri"/>
          <w:noProof/>
          <w:color w:val="000000" w:themeColor="text1"/>
          <w:sz w:val="22"/>
          <w:szCs w:val="22"/>
        </w:rPr>
        <w:t xml:space="preserve"> risks losing </w:t>
      </w:r>
      <w:r w:rsidR="00A911BF" w:rsidRPr="00944EB1">
        <w:rPr>
          <w:rFonts w:eastAsia="Calibri" w:cs="Calibri"/>
          <w:noProof/>
          <w:color w:val="000000" w:themeColor="text1"/>
          <w:sz w:val="22"/>
          <w:szCs w:val="22"/>
        </w:rPr>
        <w:t>ground</w:t>
      </w:r>
      <w:r w:rsidRPr="00944EB1">
        <w:rPr>
          <w:rFonts w:eastAsia="Calibri" w:cs="Calibri"/>
          <w:noProof/>
          <w:color w:val="000000" w:themeColor="text1"/>
          <w:sz w:val="22"/>
          <w:szCs w:val="22"/>
        </w:rPr>
        <w:t xml:space="preserve"> in higher-margin segments if these capabilities remain externally dominated.</w:t>
      </w:r>
    </w:p>
    <w:p w14:paraId="1EFF71A7" w14:textId="66AD3D89" w:rsidR="00ED0343" w:rsidRPr="00944EB1" w:rsidRDefault="003C63B2" w:rsidP="00944EB1">
      <w:pPr>
        <w:spacing w:line="278" w:lineRule="auto"/>
        <w:rPr>
          <w:rFonts w:eastAsia="Times New Roman" w:cs="Calibri"/>
          <w:noProof/>
          <w:sz w:val="22"/>
          <w:szCs w:val="22"/>
        </w:rPr>
      </w:pPr>
      <w:r w:rsidRPr="00944EB1">
        <w:rPr>
          <w:rFonts w:eastAsia="Times New Roman" w:cs="Calibri"/>
          <w:noProof/>
          <w:sz w:val="22"/>
          <w:szCs w:val="22"/>
        </w:rPr>
        <w:t xml:space="preserve">In </w:t>
      </w:r>
      <w:r w:rsidR="001348A1" w:rsidRPr="00944EB1">
        <w:rPr>
          <w:rFonts w:eastAsia="Times New Roman" w:cs="Calibri"/>
          <w:noProof/>
          <w:sz w:val="22"/>
          <w:szCs w:val="22"/>
        </w:rPr>
        <w:t>conclusion,</w:t>
      </w:r>
      <w:r w:rsidRPr="00944EB1">
        <w:rPr>
          <w:rFonts w:eastAsia="Times New Roman" w:cs="Calibri"/>
          <w:noProof/>
          <w:sz w:val="22"/>
          <w:szCs w:val="22"/>
        </w:rPr>
        <w:t xml:space="preserve"> p</w:t>
      </w:r>
      <w:r w:rsidR="00ED0343" w:rsidRPr="00944EB1">
        <w:rPr>
          <w:rFonts w:eastAsia="Times New Roman" w:cs="Calibri"/>
          <w:noProof/>
          <w:sz w:val="22"/>
          <w:szCs w:val="22"/>
        </w:rPr>
        <w:t xml:space="preserve">ublic investment </w:t>
      </w:r>
      <w:r w:rsidR="00944EB1">
        <w:rPr>
          <w:rFonts w:eastAsia="Times New Roman" w:cs="Calibri"/>
          <w:noProof/>
          <w:sz w:val="22"/>
          <w:szCs w:val="22"/>
        </w:rPr>
        <w:t>-</w:t>
      </w:r>
      <w:r w:rsidR="00163117" w:rsidRPr="00944EB1">
        <w:rPr>
          <w:rFonts w:eastAsia="Times New Roman" w:cs="Calibri"/>
          <w:noProof/>
          <w:sz w:val="22"/>
          <w:szCs w:val="22"/>
        </w:rPr>
        <w:t xml:space="preserve"> </w:t>
      </w:r>
      <w:r w:rsidR="003B2E84" w:rsidRPr="00944EB1">
        <w:rPr>
          <w:rFonts w:eastAsia="Times New Roman" w:cs="Calibri"/>
          <w:noProof/>
          <w:sz w:val="22"/>
          <w:szCs w:val="22"/>
        </w:rPr>
        <w:t xml:space="preserve">covering </w:t>
      </w:r>
      <w:r w:rsidR="003B2E84" w:rsidRPr="00944EB1">
        <w:rPr>
          <w:rFonts w:eastAsia="Times New Roman" w:cs="Calibri"/>
          <w:i/>
          <w:iCs/>
          <w:noProof/>
          <w:sz w:val="22"/>
          <w:szCs w:val="22"/>
        </w:rPr>
        <w:t xml:space="preserve">inter alia </w:t>
      </w:r>
      <w:r w:rsidR="000929A5" w:rsidRPr="00944EB1">
        <w:rPr>
          <w:rFonts w:eastAsia="Times New Roman" w:cs="Calibri"/>
          <w:noProof/>
          <w:sz w:val="22"/>
          <w:szCs w:val="22"/>
        </w:rPr>
        <w:t>R&amp;</w:t>
      </w:r>
      <w:r w:rsidR="5F023E06" w:rsidRPr="00944EB1">
        <w:rPr>
          <w:rFonts w:eastAsia="Times New Roman" w:cs="Calibri"/>
          <w:noProof/>
          <w:sz w:val="22"/>
          <w:szCs w:val="22"/>
        </w:rPr>
        <w:t>I</w:t>
      </w:r>
      <w:r w:rsidR="000929A5" w:rsidRPr="00944EB1">
        <w:rPr>
          <w:rFonts w:eastAsia="Times New Roman" w:cs="Calibri"/>
          <w:noProof/>
          <w:sz w:val="22"/>
          <w:szCs w:val="22"/>
        </w:rPr>
        <w:t xml:space="preserve">, </w:t>
      </w:r>
      <w:r w:rsidR="002F2AB7" w:rsidRPr="00944EB1">
        <w:rPr>
          <w:rFonts w:eastAsia="Times New Roman" w:cs="Calibri"/>
          <w:noProof/>
          <w:sz w:val="22"/>
          <w:szCs w:val="22"/>
        </w:rPr>
        <w:t>supply chain</w:t>
      </w:r>
      <w:r w:rsidR="000929A5" w:rsidRPr="00944EB1">
        <w:rPr>
          <w:rFonts w:eastAsia="Times New Roman" w:cs="Calibri"/>
          <w:noProof/>
          <w:sz w:val="22"/>
          <w:szCs w:val="22"/>
        </w:rPr>
        <w:t xml:space="preserve">, network </w:t>
      </w:r>
      <w:r w:rsidR="002E042A" w:rsidRPr="00944EB1">
        <w:rPr>
          <w:rFonts w:eastAsia="Times New Roman" w:cs="Calibri"/>
          <w:noProof/>
          <w:sz w:val="22"/>
          <w:szCs w:val="22"/>
        </w:rPr>
        <w:t>deployment,</w:t>
      </w:r>
      <w:r w:rsidR="00E8277F">
        <w:rPr>
          <w:rFonts w:eastAsia="Times New Roman" w:cs="Calibri"/>
          <w:noProof/>
          <w:sz w:val="22"/>
          <w:szCs w:val="22"/>
        </w:rPr>
        <w:t xml:space="preserve"> and fostering the take-up of advanced services</w:t>
      </w:r>
      <w:r w:rsidR="002E042A" w:rsidRPr="00944EB1">
        <w:rPr>
          <w:rFonts w:eastAsia="Times New Roman" w:cs="Calibri"/>
          <w:noProof/>
          <w:sz w:val="22"/>
          <w:szCs w:val="22"/>
        </w:rPr>
        <w:t xml:space="preserve"> </w:t>
      </w:r>
      <w:r w:rsidR="00944EB1">
        <w:rPr>
          <w:rFonts w:eastAsia="Times New Roman" w:cs="Calibri"/>
          <w:noProof/>
          <w:sz w:val="22"/>
          <w:szCs w:val="22"/>
        </w:rPr>
        <w:t>-</w:t>
      </w:r>
      <w:r w:rsidR="000929A5" w:rsidRPr="00944EB1">
        <w:rPr>
          <w:rFonts w:eastAsia="Times New Roman" w:cs="Calibri"/>
          <w:noProof/>
          <w:sz w:val="22"/>
          <w:szCs w:val="22"/>
        </w:rPr>
        <w:t xml:space="preserve"> </w:t>
      </w:r>
      <w:r w:rsidR="6ECDBFF7" w:rsidRPr="00944EB1">
        <w:rPr>
          <w:rFonts w:eastAsia="Times New Roman" w:cs="Calibri"/>
          <w:noProof/>
          <w:sz w:val="22"/>
          <w:szCs w:val="22"/>
        </w:rPr>
        <w:t xml:space="preserve">must </w:t>
      </w:r>
      <w:r w:rsidRPr="00944EB1">
        <w:rPr>
          <w:rFonts w:eastAsia="Times New Roman" w:cs="Calibri"/>
          <w:noProof/>
          <w:sz w:val="22"/>
          <w:szCs w:val="22"/>
        </w:rPr>
        <w:t>continue to</w:t>
      </w:r>
      <w:r w:rsidR="00ED0343" w:rsidRPr="00944EB1">
        <w:rPr>
          <w:rFonts w:eastAsia="Times New Roman" w:cs="Calibri"/>
          <w:noProof/>
          <w:sz w:val="22"/>
          <w:szCs w:val="22"/>
        </w:rPr>
        <w:t xml:space="preserve"> complement the </w:t>
      </w:r>
      <w:r w:rsidR="74129CC8" w:rsidRPr="00944EB1">
        <w:rPr>
          <w:rFonts w:eastAsia="Times New Roman" w:cs="Calibri"/>
          <w:noProof/>
          <w:sz w:val="22"/>
          <w:szCs w:val="22"/>
        </w:rPr>
        <w:t>new rules put in place</w:t>
      </w:r>
      <w:r w:rsidR="00ED0343" w:rsidRPr="00944EB1">
        <w:rPr>
          <w:rFonts w:eastAsia="Times New Roman" w:cs="Calibri"/>
          <w:noProof/>
          <w:sz w:val="22"/>
          <w:szCs w:val="22"/>
        </w:rPr>
        <w:t xml:space="preserve"> with the</w:t>
      </w:r>
      <w:r w:rsidR="00A856E9">
        <w:rPr>
          <w:rFonts w:eastAsia="Times New Roman" w:cs="Calibri"/>
          <w:noProof/>
          <w:sz w:val="22"/>
          <w:szCs w:val="22"/>
        </w:rPr>
        <w:t xml:space="preserve"> proposed</w:t>
      </w:r>
      <w:r w:rsidR="00ED0343" w:rsidRPr="00944EB1">
        <w:rPr>
          <w:rFonts w:eastAsia="Times New Roman" w:cs="Calibri"/>
          <w:noProof/>
          <w:sz w:val="22"/>
          <w:szCs w:val="22"/>
        </w:rPr>
        <w:t xml:space="preserve"> </w:t>
      </w:r>
      <w:r w:rsidR="00ED0343" w:rsidRPr="00944EB1">
        <w:rPr>
          <w:rFonts w:eastAsia="Times New Roman" w:cs="Calibri"/>
          <w:b/>
          <w:bCs/>
          <w:noProof/>
          <w:sz w:val="22"/>
          <w:szCs w:val="22"/>
        </w:rPr>
        <w:t>Digital Network Act</w:t>
      </w:r>
      <w:r w:rsidR="67B3FFE9" w:rsidRPr="00944EB1">
        <w:rPr>
          <w:rFonts w:eastAsia="Times New Roman" w:cs="Calibri"/>
          <w:noProof/>
          <w:sz w:val="22"/>
          <w:szCs w:val="22"/>
        </w:rPr>
        <w:t xml:space="preserve">, </w:t>
      </w:r>
      <w:r w:rsidR="2EDC3D23" w:rsidRPr="00944EB1">
        <w:rPr>
          <w:rFonts w:eastAsia="Times New Roman" w:cs="Calibri"/>
          <w:noProof/>
          <w:sz w:val="22"/>
          <w:szCs w:val="22"/>
        </w:rPr>
        <w:t xml:space="preserve">once adopted. </w:t>
      </w:r>
      <w:r w:rsidRPr="00944EB1">
        <w:rPr>
          <w:rFonts w:eastAsia="Times New Roman" w:cs="Calibri"/>
          <w:noProof/>
          <w:sz w:val="22"/>
          <w:szCs w:val="22"/>
        </w:rPr>
        <w:t xml:space="preserve">Based on the lessons learnt from the current MFF, it will be essential to support </w:t>
      </w:r>
      <w:r w:rsidR="00D055CF" w:rsidRPr="00944EB1">
        <w:rPr>
          <w:rFonts w:eastAsia="Times New Roman" w:cs="Calibri"/>
          <w:noProof/>
          <w:sz w:val="22"/>
          <w:szCs w:val="22"/>
        </w:rPr>
        <w:t>5</w:t>
      </w:r>
      <w:r w:rsidR="00A434D3" w:rsidRPr="00944EB1">
        <w:rPr>
          <w:rFonts w:eastAsia="Times New Roman" w:cs="Calibri"/>
          <w:noProof/>
          <w:sz w:val="22"/>
          <w:szCs w:val="22"/>
        </w:rPr>
        <w:t>G</w:t>
      </w:r>
      <w:r w:rsidR="00D055CF" w:rsidRPr="00944EB1">
        <w:rPr>
          <w:rFonts w:eastAsia="Times New Roman" w:cs="Calibri"/>
          <w:noProof/>
          <w:sz w:val="22"/>
          <w:szCs w:val="22"/>
        </w:rPr>
        <w:t xml:space="preserve"> and 6G across the innovation journey, coupling network deployments with use cases and </w:t>
      </w:r>
      <w:r w:rsidR="008A374E" w:rsidRPr="00944EB1">
        <w:rPr>
          <w:rFonts w:eastAsia="Times New Roman" w:cs="Calibri"/>
          <w:noProof/>
          <w:sz w:val="22"/>
          <w:szCs w:val="22"/>
        </w:rPr>
        <w:t xml:space="preserve">with </w:t>
      </w:r>
      <w:r w:rsidR="00D055CF" w:rsidRPr="00944EB1">
        <w:rPr>
          <w:rFonts w:eastAsia="Times New Roman" w:cs="Calibri"/>
          <w:noProof/>
          <w:sz w:val="22"/>
          <w:szCs w:val="22"/>
        </w:rPr>
        <w:t xml:space="preserve">the necessary edge, cloud and computing resources. </w:t>
      </w:r>
    </w:p>
    <w:p w14:paraId="0D4DAACD" w14:textId="00EE476C" w:rsidR="00932AF6" w:rsidRPr="00417E18" w:rsidRDefault="00932AF6" w:rsidP="00967EE0">
      <w:pPr>
        <w:pStyle w:val="Heading4"/>
        <w:rPr>
          <w:noProof/>
        </w:rPr>
      </w:pPr>
      <w:bookmarkStart w:id="46" w:name="_Toc226710901"/>
      <w:bookmarkStart w:id="47" w:name="_Toc811064629"/>
      <w:bookmarkStart w:id="48" w:name="_Toc1144398483"/>
      <w:r w:rsidRPr="00417E18">
        <w:rPr>
          <w:noProof/>
        </w:rPr>
        <w:t>Satellite connectivity</w:t>
      </w:r>
      <w:bookmarkEnd w:id="46"/>
      <w:bookmarkEnd w:id="47"/>
      <w:bookmarkEnd w:id="48"/>
    </w:p>
    <w:p w14:paraId="5A340425" w14:textId="7389FF64" w:rsidR="2B261498" w:rsidRPr="00417E18" w:rsidRDefault="2B261498" w:rsidP="0066543B">
      <w:pPr>
        <w:spacing w:before="0"/>
        <w:rPr>
          <w:rFonts w:eastAsia="Calibri" w:cs="Calibri"/>
          <w:noProof/>
          <w:sz w:val="22"/>
          <w:szCs w:val="22"/>
        </w:rPr>
      </w:pPr>
      <w:r w:rsidRPr="00417E18">
        <w:rPr>
          <w:rFonts w:eastAsia="Calibri" w:cs="Calibri"/>
          <w:noProof/>
          <w:sz w:val="22"/>
          <w:szCs w:val="22"/>
        </w:rPr>
        <w:t>Satellite systems provide broad regional and global coverage and</w:t>
      </w:r>
      <w:r w:rsidR="00CB7758" w:rsidRPr="0C856F1D">
        <w:rPr>
          <w:rFonts w:eastAsia="Calibri" w:cs="Calibri"/>
          <w:noProof/>
          <w:sz w:val="22"/>
          <w:szCs w:val="22"/>
        </w:rPr>
        <w:t>,</w:t>
      </w:r>
      <w:r w:rsidRPr="00417E18">
        <w:rPr>
          <w:rFonts w:eastAsia="Calibri" w:cs="Calibri"/>
          <w:noProof/>
          <w:sz w:val="22"/>
          <w:szCs w:val="22"/>
        </w:rPr>
        <w:t xml:space="preserve"> </w:t>
      </w:r>
      <w:r w:rsidR="00F6453F" w:rsidRPr="0C856F1D">
        <w:rPr>
          <w:rFonts w:eastAsia="Calibri" w:cs="Calibri"/>
          <w:noProof/>
          <w:sz w:val="22"/>
          <w:szCs w:val="22"/>
        </w:rPr>
        <w:t>by their</w:t>
      </w:r>
      <w:r w:rsidRPr="00417E18">
        <w:rPr>
          <w:rFonts w:eastAsia="Calibri" w:cs="Calibri"/>
          <w:noProof/>
          <w:sz w:val="22"/>
          <w:szCs w:val="22"/>
        </w:rPr>
        <w:t xml:space="preserve"> nature, </w:t>
      </w:r>
      <w:r w:rsidR="003F6C1C" w:rsidRPr="07868930">
        <w:rPr>
          <w:rFonts w:eastAsia="Calibri" w:cs="Calibri"/>
          <w:noProof/>
          <w:sz w:val="22"/>
          <w:szCs w:val="22"/>
        </w:rPr>
        <w:t xml:space="preserve">can </w:t>
      </w:r>
      <w:r w:rsidR="003F6C1C" w:rsidRPr="0C856F1D">
        <w:rPr>
          <w:rFonts w:eastAsia="Calibri" w:cs="Calibri"/>
          <w:noProof/>
          <w:sz w:val="22"/>
          <w:szCs w:val="22"/>
        </w:rPr>
        <w:t xml:space="preserve">support </w:t>
      </w:r>
      <w:r w:rsidR="00F6453F" w:rsidRPr="0C856F1D">
        <w:rPr>
          <w:rFonts w:eastAsia="Calibri" w:cs="Calibri"/>
          <w:noProof/>
          <w:sz w:val="22"/>
          <w:szCs w:val="22"/>
        </w:rPr>
        <w:t>a</w:t>
      </w:r>
      <w:r w:rsidRPr="00417E18">
        <w:rPr>
          <w:rFonts w:eastAsia="Calibri" w:cs="Calibri"/>
          <w:noProof/>
          <w:sz w:val="22"/>
          <w:szCs w:val="22"/>
        </w:rPr>
        <w:t xml:space="preserve"> pan-European (or global) </w:t>
      </w:r>
      <w:r w:rsidR="00F6453F" w:rsidRPr="0C856F1D">
        <w:rPr>
          <w:rFonts w:eastAsia="Calibri" w:cs="Calibri"/>
          <w:noProof/>
          <w:sz w:val="22"/>
          <w:szCs w:val="22"/>
        </w:rPr>
        <w:t>reach</w:t>
      </w:r>
      <w:r w:rsidR="008615D6" w:rsidRPr="0C856F1D">
        <w:rPr>
          <w:rFonts w:eastAsia="Calibri" w:cs="Calibri"/>
          <w:noProof/>
          <w:sz w:val="22"/>
          <w:szCs w:val="22"/>
        </w:rPr>
        <w:t xml:space="preserve">, </w:t>
      </w:r>
      <w:r w:rsidR="008615D6" w:rsidRPr="07868930">
        <w:rPr>
          <w:rFonts w:eastAsia="Calibri" w:cs="Calibri"/>
          <w:noProof/>
          <w:sz w:val="22"/>
          <w:szCs w:val="22"/>
        </w:rPr>
        <w:t>unlike</w:t>
      </w:r>
      <w:r w:rsidRPr="00417E18">
        <w:rPr>
          <w:rFonts w:eastAsia="Calibri" w:cs="Calibri"/>
          <w:noProof/>
          <w:sz w:val="22"/>
          <w:szCs w:val="22"/>
        </w:rPr>
        <w:t xml:space="preserve"> terrestrial mobile networks</w:t>
      </w:r>
      <w:r w:rsidR="59E316C3" w:rsidRPr="00417E18">
        <w:rPr>
          <w:rFonts w:eastAsia="Calibri" w:cs="Calibri"/>
          <w:noProof/>
          <w:sz w:val="22"/>
          <w:szCs w:val="22"/>
        </w:rPr>
        <w:t xml:space="preserve">, which </w:t>
      </w:r>
      <w:r w:rsidR="00383F63" w:rsidRPr="07868930">
        <w:rPr>
          <w:rFonts w:eastAsia="Calibri" w:cs="Calibri"/>
          <w:noProof/>
          <w:sz w:val="22"/>
          <w:szCs w:val="22"/>
        </w:rPr>
        <w:t>remain</w:t>
      </w:r>
      <w:r w:rsidR="00383F63" w:rsidRPr="0C856F1D">
        <w:rPr>
          <w:rFonts w:eastAsia="Calibri" w:cs="Calibri"/>
          <w:noProof/>
          <w:sz w:val="22"/>
          <w:szCs w:val="22"/>
        </w:rPr>
        <w:t xml:space="preserve"> bounded by national deployment</w:t>
      </w:r>
      <w:r w:rsidRPr="0C856F1D">
        <w:rPr>
          <w:rFonts w:eastAsia="Calibri" w:cs="Calibri"/>
          <w:noProof/>
          <w:sz w:val="22"/>
          <w:szCs w:val="22"/>
        </w:rPr>
        <w:t xml:space="preserve">. </w:t>
      </w:r>
      <w:r w:rsidR="003F6C1C" w:rsidRPr="07868930">
        <w:rPr>
          <w:rFonts w:eastAsia="Calibri" w:cs="Calibri"/>
          <w:noProof/>
          <w:sz w:val="22"/>
          <w:szCs w:val="22"/>
        </w:rPr>
        <w:t>As</w:t>
      </w:r>
      <w:r w:rsidRPr="00417E18">
        <w:rPr>
          <w:rFonts w:eastAsia="Calibri" w:cs="Calibri"/>
          <w:noProof/>
          <w:sz w:val="22"/>
          <w:szCs w:val="22"/>
        </w:rPr>
        <w:t xml:space="preserve"> direct-to-device (D2D) </w:t>
      </w:r>
      <w:r w:rsidR="6AA4FEC0" w:rsidRPr="00417E18">
        <w:rPr>
          <w:rFonts w:eastAsia="Calibri" w:cs="Calibri"/>
          <w:noProof/>
          <w:sz w:val="22"/>
          <w:szCs w:val="22"/>
        </w:rPr>
        <w:t xml:space="preserve">connectivity </w:t>
      </w:r>
      <w:r w:rsidR="00F10349">
        <w:rPr>
          <w:rFonts w:eastAsia="Calibri" w:cs="Calibri"/>
          <w:noProof/>
          <w:sz w:val="22"/>
          <w:szCs w:val="22"/>
        </w:rPr>
        <w:t>is emerging</w:t>
      </w:r>
      <w:r w:rsidR="130E085F" w:rsidRPr="0C856F1D">
        <w:rPr>
          <w:rFonts w:eastAsia="Calibri" w:cs="Calibri"/>
          <w:noProof/>
          <w:sz w:val="22"/>
          <w:szCs w:val="22"/>
        </w:rPr>
        <w:t xml:space="preserve">, </w:t>
      </w:r>
      <w:r w:rsidR="00F10349">
        <w:rPr>
          <w:rFonts w:eastAsia="Calibri" w:cs="Calibri"/>
          <w:noProof/>
          <w:sz w:val="22"/>
          <w:szCs w:val="22"/>
        </w:rPr>
        <w:t>compleme</w:t>
      </w:r>
      <w:r w:rsidR="005F2D1F">
        <w:rPr>
          <w:rFonts w:eastAsia="Calibri" w:cs="Calibri"/>
          <w:noProof/>
          <w:sz w:val="22"/>
          <w:szCs w:val="22"/>
        </w:rPr>
        <w:t>n</w:t>
      </w:r>
      <w:r w:rsidR="00F10349">
        <w:rPr>
          <w:rFonts w:eastAsia="Calibri" w:cs="Calibri"/>
          <w:noProof/>
          <w:sz w:val="22"/>
          <w:szCs w:val="22"/>
        </w:rPr>
        <w:t>ting terrestrial mobile services</w:t>
      </w:r>
      <w:r w:rsidR="00D538E3">
        <w:rPr>
          <w:rFonts w:eastAsia="Calibri" w:cs="Calibri"/>
          <w:noProof/>
          <w:sz w:val="22"/>
          <w:szCs w:val="22"/>
        </w:rPr>
        <w:t xml:space="preserve">, as well as </w:t>
      </w:r>
      <w:r w:rsidR="00E540CA" w:rsidRPr="07868930">
        <w:rPr>
          <w:rFonts w:eastAsia="Calibri" w:cs="Calibri"/>
          <w:noProof/>
          <w:sz w:val="22"/>
          <w:szCs w:val="22"/>
        </w:rPr>
        <w:t>m</w:t>
      </w:r>
      <w:r w:rsidR="50761747" w:rsidRPr="07868930">
        <w:rPr>
          <w:rFonts w:eastAsia="Calibri" w:cs="Calibri"/>
          <w:noProof/>
          <w:sz w:val="22"/>
          <w:szCs w:val="22"/>
        </w:rPr>
        <w:t>achine-to-</w:t>
      </w:r>
      <w:r w:rsidR="00E540CA" w:rsidRPr="07868930">
        <w:rPr>
          <w:rFonts w:eastAsia="Calibri" w:cs="Calibri"/>
          <w:noProof/>
          <w:sz w:val="22"/>
          <w:szCs w:val="22"/>
        </w:rPr>
        <w:t>m</w:t>
      </w:r>
      <w:r w:rsidR="50761747" w:rsidRPr="07868930">
        <w:rPr>
          <w:rFonts w:eastAsia="Calibri" w:cs="Calibri"/>
          <w:noProof/>
          <w:sz w:val="22"/>
          <w:szCs w:val="22"/>
        </w:rPr>
        <w:t>achine</w:t>
      </w:r>
      <w:r w:rsidR="50761747" w:rsidRPr="0C856F1D">
        <w:rPr>
          <w:rFonts w:eastAsia="Calibri" w:cs="Calibri"/>
          <w:noProof/>
          <w:sz w:val="22"/>
          <w:szCs w:val="22"/>
        </w:rPr>
        <w:t xml:space="preserve"> </w:t>
      </w:r>
      <w:r w:rsidR="00383F63" w:rsidRPr="0C856F1D">
        <w:rPr>
          <w:rFonts w:eastAsia="Calibri" w:cs="Calibri"/>
          <w:noProof/>
          <w:sz w:val="22"/>
          <w:szCs w:val="22"/>
        </w:rPr>
        <w:t xml:space="preserve">services, </w:t>
      </w:r>
      <w:r w:rsidR="50761747" w:rsidRPr="0C856F1D">
        <w:rPr>
          <w:rFonts w:eastAsia="Calibri" w:cs="Calibri"/>
          <w:noProof/>
          <w:sz w:val="22"/>
          <w:szCs w:val="22"/>
        </w:rPr>
        <w:t>including in</w:t>
      </w:r>
      <w:r w:rsidR="6AA4FEC0" w:rsidRPr="00417E18">
        <w:rPr>
          <w:rFonts w:eastAsia="Calibri" w:cs="Calibri"/>
          <w:noProof/>
          <w:sz w:val="22"/>
          <w:szCs w:val="22"/>
        </w:rPr>
        <w:t xml:space="preserve"> underserved areas, </w:t>
      </w:r>
      <w:r w:rsidRPr="00417E18">
        <w:rPr>
          <w:rFonts w:eastAsia="Calibri" w:cs="Calibri"/>
          <w:noProof/>
          <w:sz w:val="22"/>
          <w:szCs w:val="22"/>
        </w:rPr>
        <w:t>the current EU framework</w:t>
      </w:r>
      <w:r w:rsidR="001F5D7C" w:rsidRPr="00417E18">
        <w:rPr>
          <w:rFonts w:eastAsia="Calibri" w:cs="Calibri"/>
          <w:noProof/>
          <w:sz w:val="22"/>
          <w:szCs w:val="22"/>
        </w:rPr>
        <w:t xml:space="preserve"> </w:t>
      </w:r>
      <w:r w:rsidR="00944EB1">
        <w:rPr>
          <w:rFonts w:eastAsia="Times New Roman" w:cs="Calibri"/>
          <w:noProof/>
          <w:sz w:val="22"/>
          <w:szCs w:val="22"/>
        </w:rPr>
        <w:t>-</w:t>
      </w:r>
      <w:r w:rsidR="2AAFB459" w:rsidRPr="5B425BCD">
        <w:rPr>
          <w:rFonts w:eastAsia="Times New Roman" w:cs="Calibri"/>
          <w:noProof/>
          <w:sz w:val="22"/>
          <w:szCs w:val="22"/>
        </w:rPr>
        <w:t xml:space="preserve"> </w:t>
      </w:r>
      <w:r w:rsidRPr="00417E18">
        <w:rPr>
          <w:rFonts w:eastAsia="Calibri" w:cs="Calibri"/>
          <w:noProof/>
          <w:sz w:val="22"/>
          <w:szCs w:val="22"/>
        </w:rPr>
        <w:t>based on national authorisation regimes and national spectrum allocation</w:t>
      </w:r>
      <w:r w:rsidR="001F5D7C" w:rsidRPr="00417E18">
        <w:rPr>
          <w:rFonts w:eastAsia="Calibri" w:cs="Calibri"/>
          <w:noProof/>
          <w:sz w:val="22"/>
          <w:szCs w:val="22"/>
        </w:rPr>
        <w:t xml:space="preserve"> </w:t>
      </w:r>
      <w:r w:rsidR="00944EB1">
        <w:rPr>
          <w:rFonts w:eastAsia="Times New Roman" w:cs="Calibri"/>
          <w:noProof/>
          <w:sz w:val="22"/>
          <w:szCs w:val="22"/>
        </w:rPr>
        <w:t>-</w:t>
      </w:r>
      <w:r w:rsidR="15702841" w:rsidRPr="00BEA5C7">
        <w:rPr>
          <w:rFonts w:eastAsia="Times New Roman" w:cs="Calibri"/>
          <w:noProof/>
          <w:sz w:val="22"/>
          <w:szCs w:val="22"/>
        </w:rPr>
        <w:t xml:space="preserve"> </w:t>
      </w:r>
      <w:r w:rsidRPr="00417E18">
        <w:rPr>
          <w:rFonts w:eastAsia="Calibri" w:cs="Calibri"/>
          <w:noProof/>
          <w:sz w:val="22"/>
          <w:szCs w:val="22"/>
        </w:rPr>
        <w:t xml:space="preserve">creates barriers to the provision of pan-European services. It also forces satellite operators to comply with divergent national rules and conditions across </w:t>
      </w:r>
      <w:r w:rsidR="009344E2" w:rsidRPr="0C856F1D">
        <w:rPr>
          <w:rFonts w:eastAsia="Calibri" w:cs="Calibri"/>
          <w:noProof/>
          <w:sz w:val="22"/>
          <w:szCs w:val="22"/>
        </w:rPr>
        <w:t>Member States</w:t>
      </w:r>
      <w:r w:rsidRPr="00417E18">
        <w:rPr>
          <w:rFonts w:eastAsia="Calibri" w:cs="Calibri"/>
          <w:noProof/>
          <w:sz w:val="22"/>
          <w:szCs w:val="22"/>
        </w:rPr>
        <w:t xml:space="preserve"> in which they operate.</w:t>
      </w:r>
    </w:p>
    <w:p w14:paraId="1CD66087" w14:textId="37724783" w:rsidR="2B261498" w:rsidRPr="00417E18" w:rsidRDefault="2B261498" w:rsidP="0066543B">
      <w:pPr>
        <w:spacing w:before="0"/>
        <w:rPr>
          <w:rFonts w:eastAsia="Calibri" w:cs="Calibri"/>
          <w:noProof/>
          <w:sz w:val="22"/>
          <w:szCs w:val="22"/>
        </w:rPr>
      </w:pPr>
      <w:r w:rsidRPr="00417E18">
        <w:rPr>
          <w:rFonts w:eastAsia="Calibri" w:cs="Calibri"/>
          <w:noProof/>
          <w:sz w:val="22"/>
          <w:szCs w:val="22"/>
        </w:rPr>
        <w:t xml:space="preserve">In particular, Low Earth Orbit (LEO) constellations supporting hybrid terrestrial-satellite systems </w:t>
      </w:r>
      <w:r w:rsidR="00FB17B7" w:rsidRPr="0C856F1D">
        <w:rPr>
          <w:rFonts w:eastAsia="Calibri" w:cs="Calibri"/>
          <w:noProof/>
          <w:sz w:val="22"/>
          <w:szCs w:val="22"/>
        </w:rPr>
        <w:t xml:space="preserve">or </w:t>
      </w:r>
      <w:r w:rsidRPr="00417E18">
        <w:rPr>
          <w:rFonts w:eastAsia="Calibri" w:cs="Calibri"/>
          <w:noProof/>
          <w:sz w:val="22"/>
          <w:szCs w:val="22"/>
        </w:rPr>
        <w:t xml:space="preserve">Non-Terrestrial Networks </w:t>
      </w:r>
      <w:r w:rsidR="00FB17B7" w:rsidRPr="00417E18">
        <w:rPr>
          <w:rFonts w:eastAsia="Calibri" w:cs="Calibri"/>
          <w:noProof/>
          <w:sz w:val="22"/>
          <w:szCs w:val="22"/>
        </w:rPr>
        <w:t>(</w:t>
      </w:r>
      <w:r w:rsidRPr="00417E18">
        <w:rPr>
          <w:rFonts w:eastAsia="Calibri" w:cs="Calibri"/>
          <w:noProof/>
          <w:sz w:val="22"/>
          <w:szCs w:val="22"/>
        </w:rPr>
        <w:t xml:space="preserve">NTN) are emerging as the modern equivalent of traditional mobile communication towers. They enable D2D connectivity and are expected to become an essential component of future 6G networks. </w:t>
      </w:r>
      <w:r w:rsidR="6046C701" w:rsidRPr="00417E18">
        <w:rPr>
          <w:rFonts w:eastAsia="Calibri" w:cs="Calibri"/>
          <w:noProof/>
          <w:sz w:val="22"/>
          <w:szCs w:val="22"/>
        </w:rPr>
        <w:t>Integration with terrestrial mobile networks (5G SA/6G) is expected to become central to future communications systems, enhancing resilience and ubiquity of connectivity</w:t>
      </w:r>
      <w:r w:rsidR="67FE37F6" w:rsidRPr="00417E18">
        <w:rPr>
          <w:rFonts w:eastAsia="Calibri" w:cs="Calibri"/>
          <w:noProof/>
          <w:sz w:val="22"/>
          <w:szCs w:val="22"/>
        </w:rPr>
        <w:t>.</w:t>
      </w:r>
      <w:r w:rsidR="27579EDD" w:rsidRPr="00417E18">
        <w:rPr>
          <w:rFonts w:eastAsia="Calibri" w:cs="Calibri"/>
          <w:noProof/>
          <w:sz w:val="22"/>
          <w:szCs w:val="22"/>
        </w:rPr>
        <w:t xml:space="preserve"> </w:t>
      </w:r>
      <w:r w:rsidR="00D778EA" w:rsidRPr="00417E18">
        <w:rPr>
          <w:rFonts w:eastAsia="Calibri" w:cs="Calibri"/>
          <w:noProof/>
          <w:sz w:val="22"/>
          <w:szCs w:val="22"/>
        </w:rPr>
        <w:t xml:space="preserve">D2D satellite connectivity is rapidly </w:t>
      </w:r>
      <w:r w:rsidR="00274929">
        <w:rPr>
          <w:rFonts w:eastAsia="Calibri" w:cs="Calibri"/>
          <w:noProof/>
          <w:sz w:val="22"/>
          <w:szCs w:val="22"/>
        </w:rPr>
        <w:t xml:space="preserve">emerging and may play </w:t>
      </w:r>
      <w:r w:rsidR="00D778EA" w:rsidRPr="00417E18">
        <w:rPr>
          <w:rFonts w:eastAsia="Calibri" w:cs="Calibri"/>
          <w:noProof/>
          <w:sz w:val="22"/>
          <w:szCs w:val="22"/>
        </w:rPr>
        <w:t xml:space="preserve">a strategic </w:t>
      </w:r>
      <w:r w:rsidR="00274929">
        <w:rPr>
          <w:rFonts w:eastAsia="Calibri" w:cs="Calibri"/>
          <w:noProof/>
          <w:sz w:val="22"/>
          <w:szCs w:val="22"/>
        </w:rPr>
        <w:t xml:space="preserve">role </w:t>
      </w:r>
      <w:r w:rsidR="00D778EA" w:rsidRPr="00417E18">
        <w:rPr>
          <w:rFonts w:eastAsia="Calibri" w:cs="Calibri"/>
          <w:noProof/>
          <w:sz w:val="22"/>
          <w:szCs w:val="22"/>
        </w:rPr>
        <w:t xml:space="preserve">for mobile network operators (MNOs) and smartphone </w:t>
      </w:r>
      <w:r w:rsidR="00D96375" w:rsidRPr="00417E18">
        <w:rPr>
          <w:rFonts w:eastAsia="Calibri" w:cs="Calibri"/>
          <w:noProof/>
          <w:sz w:val="22"/>
          <w:szCs w:val="22"/>
        </w:rPr>
        <w:t>equipment manufacturers (</w:t>
      </w:r>
      <w:r w:rsidR="00D778EA" w:rsidRPr="00417E18">
        <w:rPr>
          <w:rFonts w:eastAsia="Calibri" w:cs="Calibri"/>
          <w:noProof/>
          <w:sz w:val="22"/>
          <w:szCs w:val="22"/>
        </w:rPr>
        <w:t>OEMs</w:t>
      </w:r>
      <w:r w:rsidR="00D96375" w:rsidRPr="00417E18">
        <w:rPr>
          <w:rFonts w:eastAsia="Calibri" w:cs="Calibri"/>
          <w:noProof/>
          <w:sz w:val="22"/>
          <w:szCs w:val="22"/>
        </w:rPr>
        <w:t>)</w:t>
      </w:r>
      <w:r w:rsidR="00D778EA" w:rsidRPr="00417E18">
        <w:rPr>
          <w:rFonts w:eastAsia="Calibri" w:cs="Calibri"/>
          <w:noProof/>
          <w:sz w:val="22"/>
          <w:szCs w:val="22"/>
        </w:rPr>
        <w:t>. It presents a valuable opportunity to stand out in a saturated market, improve customer retention, and build long-term value.</w:t>
      </w:r>
      <w:r w:rsidR="002A2D08" w:rsidRPr="00417E18">
        <w:rPr>
          <w:rFonts w:eastAsia="Calibri" w:cs="Calibri"/>
          <w:noProof/>
          <w:sz w:val="22"/>
          <w:szCs w:val="22"/>
        </w:rPr>
        <w:t xml:space="preserve"> A global survey by </w:t>
      </w:r>
      <w:r w:rsidR="00560D7E" w:rsidRPr="0C856F1D">
        <w:rPr>
          <w:rFonts w:eastAsia="Calibri" w:cs="Calibri"/>
          <w:noProof/>
          <w:sz w:val="22"/>
          <w:szCs w:val="22"/>
        </w:rPr>
        <w:t>Analys</w:t>
      </w:r>
      <w:r w:rsidR="00AC6F4B" w:rsidRPr="4D23A098">
        <w:rPr>
          <w:rFonts w:eastAsia="Calibri" w:cs="Calibri"/>
          <w:noProof/>
          <w:sz w:val="22"/>
          <w:szCs w:val="22"/>
        </w:rPr>
        <w:t>i</w:t>
      </w:r>
      <w:r w:rsidR="00560D7E" w:rsidRPr="00417E18">
        <w:rPr>
          <w:rFonts w:eastAsia="Calibri" w:cs="Calibri"/>
          <w:noProof/>
          <w:sz w:val="22"/>
          <w:szCs w:val="22"/>
        </w:rPr>
        <w:t>s</w:t>
      </w:r>
      <w:r w:rsidR="00095027" w:rsidRPr="00417E18">
        <w:rPr>
          <w:rStyle w:val="FootnoteReference"/>
          <w:rFonts w:eastAsia="Calibri" w:cs="Calibri"/>
          <w:noProof/>
          <w:sz w:val="22"/>
          <w:szCs w:val="22"/>
        </w:rPr>
        <w:footnoteReference w:id="50"/>
      </w:r>
      <w:r w:rsidR="002A2D08" w:rsidRPr="00417E18">
        <w:rPr>
          <w:rFonts w:eastAsia="Calibri" w:cs="Calibri"/>
          <w:noProof/>
          <w:sz w:val="22"/>
          <w:szCs w:val="22"/>
        </w:rPr>
        <w:t>, covering 18</w:t>
      </w:r>
      <w:r w:rsidR="00A856E9">
        <w:rPr>
          <w:rFonts w:eastAsia="Calibri" w:cs="Calibri"/>
          <w:noProof/>
          <w:sz w:val="22"/>
          <w:szCs w:val="22"/>
        </w:rPr>
        <w:t xml:space="preserve"> </w:t>
      </w:r>
      <w:r w:rsidR="002A2D08" w:rsidRPr="00417E18">
        <w:rPr>
          <w:rFonts w:eastAsia="Calibri" w:cs="Calibri"/>
          <w:noProof/>
          <w:sz w:val="22"/>
          <w:szCs w:val="22"/>
        </w:rPr>
        <w:t>500 respondents across 18 countries, highlights strong demand for D2D satellite messaging</w:t>
      </w:r>
      <w:r w:rsidR="0007127B" w:rsidRPr="00417E18">
        <w:rPr>
          <w:rFonts w:eastAsia="Calibri" w:cs="Calibri"/>
          <w:noProof/>
          <w:sz w:val="22"/>
          <w:szCs w:val="22"/>
        </w:rPr>
        <w:t xml:space="preserve">, </w:t>
      </w:r>
      <w:r w:rsidR="379DA21A" w:rsidRPr="00417E18">
        <w:rPr>
          <w:rFonts w:eastAsia="Calibri" w:cs="Calibri"/>
          <w:noProof/>
          <w:sz w:val="22"/>
          <w:szCs w:val="22"/>
        </w:rPr>
        <w:t>showing that</w:t>
      </w:r>
      <w:r w:rsidR="00622C23" w:rsidRPr="00417E18">
        <w:rPr>
          <w:rFonts w:eastAsia="Calibri" w:cs="Calibri"/>
          <w:noProof/>
          <w:sz w:val="22"/>
          <w:szCs w:val="22"/>
        </w:rPr>
        <w:t xml:space="preserve"> </w:t>
      </w:r>
      <w:r w:rsidR="0007127B" w:rsidRPr="00417E18">
        <w:rPr>
          <w:rFonts w:eastAsia="Calibri" w:cs="Calibri"/>
          <w:noProof/>
          <w:sz w:val="22"/>
          <w:szCs w:val="22"/>
        </w:rPr>
        <w:t xml:space="preserve">an early adoption of satellite D2D </w:t>
      </w:r>
      <w:r w:rsidR="008E269B">
        <w:rPr>
          <w:rFonts w:eastAsia="Calibri" w:cs="Calibri"/>
          <w:noProof/>
          <w:sz w:val="22"/>
          <w:szCs w:val="22"/>
        </w:rPr>
        <w:t>may be leveraged to</w:t>
      </w:r>
      <w:r w:rsidR="0007127B" w:rsidRPr="00417E18" w:rsidDel="008E269B">
        <w:rPr>
          <w:rFonts w:eastAsia="Calibri" w:cs="Calibri"/>
          <w:noProof/>
          <w:sz w:val="22"/>
          <w:szCs w:val="22"/>
        </w:rPr>
        <w:t xml:space="preserve"> </w:t>
      </w:r>
      <w:r w:rsidR="0007127B" w:rsidRPr="00417E18">
        <w:rPr>
          <w:rFonts w:eastAsia="Calibri" w:cs="Calibri"/>
          <w:noProof/>
          <w:sz w:val="22"/>
          <w:szCs w:val="22"/>
        </w:rPr>
        <w:t>attract and retain subscribers.</w:t>
      </w:r>
      <w:r w:rsidR="00622C23" w:rsidRPr="00417E18">
        <w:rPr>
          <w:rFonts w:eastAsia="Calibri" w:cs="Calibri"/>
          <w:noProof/>
          <w:sz w:val="22"/>
          <w:szCs w:val="22"/>
        </w:rPr>
        <w:t xml:space="preserve"> </w:t>
      </w:r>
      <w:r w:rsidR="002A2D08" w:rsidRPr="00417E18">
        <w:rPr>
          <w:rFonts w:eastAsia="Calibri" w:cs="Calibri"/>
          <w:noProof/>
          <w:sz w:val="22"/>
          <w:szCs w:val="22"/>
        </w:rPr>
        <w:t xml:space="preserve">Notably, 82% of subscribers considering switching providers within the next six months expressed interest in </w:t>
      </w:r>
      <w:r w:rsidR="00FB17B7" w:rsidRPr="0C856F1D">
        <w:rPr>
          <w:rFonts w:eastAsia="Calibri" w:cs="Calibri"/>
          <w:noProof/>
          <w:sz w:val="22"/>
          <w:szCs w:val="22"/>
        </w:rPr>
        <w:t>such</w:t>
      </w:r>
      <w:r w:rsidR="002A2D08" w:rsidRPr="00417E18">
        <w:rPr>
          <w:rFonts w:eastAsia="Calibri" w:cs="Calibri"/>
          <w:noProof/>
          <w:sz w:val="22"/>
          <w:szCs w:val="22"/>
        </w:rPr>
        <w:t xml:space="preserve"> services</w:t>
      </w:r>
      <w:r w:rsidR="00FB17B7" w:rsidRPr="0C856F1D">
        <w:rPr>
          <w:rFonts w:eastAsia="Calibri" w:cs="Calibri"/>
          <w:noProof/>
          <w:sz w:val="22"/>
          <w:szCs w:val="22"/>
        </w:rPr>
        <w:t xml:space="preserve"> while</w:t>
      </w:r>
      <w:r w:rsidR="00B92303" w:rsidRPr="00417E18">
        <w:rPr>
          <w:rFonts w:eastAsia="Calibri" w:cs="Calibri"/>
          <w:noProof/>
          <w:sz w:val="22"/>
          <w:szCs w:val="22"/>
        </w:rPr>
        <w:t xml:space="preserve"> 30% </w:t>
      </w:r>
      <w:r w:rsidR="00FB17B7" w:rsidRPr="0C856F1D">
        <w:rPr>
          <w:rFonts w:eastAsia="Calibri" w:cs="Calibri"/>
          <w:noProof/>
          <w:sz w:val="22"/>
          <w:szCs w:val="22"/>
        </w:rPr>
        <w:t>said they woul</w:t>
      </w:r>
      <w:r w:rsidR="00F85816" w:rsidRPr="0C856F1D">
        <w:rPr>
          <w:rFonts w:eastAsia="Calibri" w:cs="Calibri"/>
          <w:noProof/>
          <w:sz w:val="22"/>
          <w:szCs w:val="22"/>
        </w:rPr>
        <w:t>d</w:t>
      </w:r>
      <w:r w:rsidR="00FB17B7" w:rsidRPr="00417E18">
        <w:rPr>
          <w:rFonts w:eastAsia="Calibri" w:cs="Calibri"/>
          <w:noProof/>
          <w:sz w:val="22"/>
          <w:szCs w:val="22"/>
        </w:rPr>
        <w:t xml:space="preserve"> be</w:t>
      </w:r>
      <w:r w:rsidR="00B92303" w:rsidRPr="00417E18">
        <w:rPr>
          <w:rFonts w:eastAsia="Calibri" w:cs="Calibri"/>
          <w:noProof/>
          <w:sz w:val="22"/>
          <w:szCs w:val="22"/>
        </w:rPr>
        <w:t xml:space="preserve"> willing to pay for </w:t>
      </w:r>
      <w:r w:rsidR="00F85816" w:rsidRPr="00417E18">
        <w:rPr>
          <w:rFonts w:eastAsia="Calibri" w:cs="Calibri"/>
          <w:noProof/>
          <w:sz w:val="22"/>
          <w:szCs w:val="22"/>
        </w:rPr>
        <w:t>them</w:t>
      </w:r>
      <w:r w:rsidR="00B92303" w:rsidRPr="00417E18">
        <w:rPr>
          <w:rFonts w:eastAsia="Calibri" w:cs="Calibri"/>
          <w:noProof/>
          <w:sz w:val="22"/>
          <w:szCs w:val="22"/>
        </w:rPr>
        <w:t>.</w:t>
      </w:r>
    </w:p>
    <w:p w14:paraId="7BFA6ECC" w14:textId="362E50EB" w:rsidR="00B43043" w:rsidRPr="00417E18" w:rsidRDefault="00D43F96" w:rsidP="0066543B">
      <w:pPr>
        <w:spacing w:before="0"/>
        <w:rPr>
          <w:rFonts w:eastAsia="Calibri" w:cs="Calibri"/>
          <w:noProof/>
          <w:sz w:val="22"/>
          <w:szCs w:val="22"/>
        </w:rPr>
      </w:pPr>
      <w:r w:rsidRPr="00417E18">
        <w:rPr>
          <w:rFonts w:eastAsia="Calibri" w:cs="Calibri"/>
          <w:noProof/>
          <w:sz w:val="22"/>
          <w:szCs w:val="22"/>
        </w:rPr>
        <w:t>Satellite</w:t>
      </w:r>
      <w:r w:rsidR="2586E369" w:rsidRPr="00417E18">
        <w:rPr>
          <w:rFonts w:eastAsia="Calibri" w:cs="Calibri"/>
          <w:noProof/>
          <w:sz w:val="22"/>
          <w:szCs w:val="22"/>
        </w:rPr>
        <w:t xml:space="preserve"> infrastructure is </w:t>
      </w:r>
      <w:r w:rsidR="00055C62" w:rsidRPr="0C856F1D">
        <w:rPr>
          <w:rFonts w:eastAsia="Calibri" w:cs="Calibri"/>
          <w:noProof/>
          <w:sz w:val="22"/>
          <w:szCs w:val="22"/>
        </w:rPr>
        <w:t xml:space="preserve">also </w:t>
      </w:r>
      <w:r w:rsidR="2586E369" w:rsidRPr="00417E18">
        <w:rPr>
          <w:rFonts w:eastAsia="Calibri" w:cs="Calibri"/>
          <w:noProof/>
          <w:sz w:val="22"/>
          <w:szCs w:val="22"/>
        </w:rPr>
        <w:t xml:space="preserve">critical for ensuring equitable access to high-speed internet, especially in underserved and remote areas, while also strengthening </w:t>
      </w:r>
      <w:r w:rsidR="399D5B74" w:rsidRPr="0C856F1D">
        <w:rPr>
          <w:rFonts w:eastAsia="Calibri" w:cs="Calibri"/>
          <w:noProof/>
          <w:sz w:val="22"/>
          <w:szCs w:val="22"/>
        </w:rPr>
        <w:t xml:space="preserve">the </w:t>
      </w:r>
      <w:r w:rsidR="1190120B" w:rsidRPr="07868930">
        <w:rPr>
          <w:rFonts w:eastAsia="Calibri" w:cs="Calibri"/>
          <w:noProof/>
          <w:sz w:val="22"/>
          <w:szCs w:val="22"/>
        </w:rPr>
        <w:t>EU</w:t>
      </w:r>
      <w:r w:rsidR="2586E369" w:rsidRPr="07868930">
        <w:rPr>
          <w:rFonts w:eastAsia="Calibri" w:cs="Calibri"/>
          <w:noProof/>
          <w:sz w:val="22"/>
          <w:szCs w:val="22"/>
        </w:rPr>
        <w:t>’s</w:t>
      </w:r>
      <w:r w:rsidR="2586E369" w:rsidRPr="00417E18">
        <w:rPr>
          <w:rFonts w:eastAsia="Calibri" w:cs="Calibri"/>
          <w:noProof/>
          <w:sz w:val="22"/>
          <w:szCs w:val="22"/>
        </w:rPr>
        <w:t xml:space="preserve"> capabilities in critical communications, including emergency and </w:t>
      </w:r>
      <w:r w:rsidR="55F5EE49" w:rsidRPr="00417E18">
        <w:rPr>
          <w:rFonts w:eastAsia="Calibri" w:cs="Calibri"/>
          <w:noProof/>
          <w:sz w:val="22"/>
          <w:szCs w:val="22"/>
        </w:rPr>
        <w:t>defen</w:t>
      </w:r>
      <w:r w:rsidR="17081CE4" w:rsidRPr="00417E18">
        <w:rPr>
          <w:rFonts w:eastAsia="Calibri" w:cs="Calibri"/>
          <w:noProof/>
          <w:sz w:val="22"/>
          <w:szCs w:val="22"/>
        </w:rPr>
        <w:t>c</w:t>
      </w:r>
      <w:r w:rsidR="55F5EE49" w:rsidRPr="00417E18">
        <w:rPr>
          <w:rFonts w:eastAsia="Calibri" w:cs="Calibri"/>
          <w:noProof/>
          <w:sz w:val="22"/>
          <w:szCs w:val="22"/>
        </w:rPr>
        <w:t>e</w:t>
      </w:r>
      <w:r w:rsidR="2586E369" w:rsidRPr="00417E18">
        <w:rPr>
          <w:rFonts w:eastAsia="Calibri" w:cs="Calibri"/>
          <w:noProof/>
          <w:sz w:val="22"/>
          <w:szCs w:val="22"/>
        </w:rPr>
        <w:t xml:space="preserve"> services. </w:t>
      </w:r>
      <w:r w:rsidR="004873AE" w:rsidRPr="00417E18">
        <w:rPr>
          <w:rFonts w:eastAsia="Calibri" w:cs="Calibri"/>
          <w:noProof/>
          <w:sz w:val="22"/>
          <w:szCs w:val="22"/>
        </w:rPr>
        <w:t xml:space="preserve">Although Europe </w:t>
      </w:r>
      <w:r w:rsidR="0890A98F" w:rsidRPr="07868930">
        <w:rPr>
          <w:rFonts w:eastAsia="Calibri" w:cs="Calibri"/>
          <w:noProof/>
          <w:sz w:val="22"/>
          <w:szCs w:val="22"/>
        </w:rPr>
        <w:t>was once</w:t>
      </w:r>
      <w:r w:rsidR="004873AE" w:rsidRPr="00417E18">
        <w:rPr>
          <w:rFonts w:eastAsia="Calibri" w:cs="Calibri"/>
          <w:noProof/>
          <w:sz w:val="22"/>
          <w:szCs w:val="22"/>
        </w:rPr>
        <w:t xml:space="preserve"> a frontrunner in satellite communications, it has </w:t>
      </w:r>
      <w:r w:rsidR="00E03688" w:rsidRPr="00417E18">
        <w:rPr>
          <w:rFonts w:eastAsia="Calibri" w:cs="Calibri"/>
          <w:noProof/>
          <w:sz w:val="22"/>
          <w:szCs w:val="22"/>
        </w:rPr>
        <w:t>been slow</w:t>
      </w:r>
      <w:r w:rsidR="004C0BEE" w:rsidRPr="0C856F1D">
        <w:rPr>
          <w:rFonts w:eastAsia="Calibri" w:cs="Calibri"/>
          <w:noProof/>
          <w:sz w:val="22"/>
          <w:szCs w:val="22"/>
        </w:rPr>
        <w:t>er</w:t>
      </w:r>
      <w:r w:rsidR="00E03688" w:rsidRPr="00417E18">
        <w:rPr>
          <w:rFonts w:eastAsia="Calibri" w:cs="Calibri"/>
          <w:noProof/>
          <w:sz w:val="22"/>
          <w:szCs w:val="22"/>
        </w:rPr>
        <w:t xml:space="preserve"> to </w:t>
      </w:r>
      <w:r w:rsidR="004873AE" w:rsidRPr="00417E18">
        <w:rPr>
          <w:rFonts w:eastAsia="Calibri" w:cs="Calibri"/>
          <w:noProof/>
          <w:sz w:val="22"/>
          <w:szCs w:val="22"/>
        </w:rPr>
        <w:t xml:space="preserve">anticipate the innovation potential of this market and </w:t>
      </w:r>
      <w:r w:rsidR="00E03688" w:rsidRPr="00417E18">
        <w:rPr>
          <w:rFonts w:eastAsia="Calibri" w:cs="Calibri"/>
          <w:noProof/>
          <w:sz w:val="22"/>
          <w:szCs w:val="22"/>
        </w:rPr>
        <w:t xml:space="preserve">to </w:t>
      </w:r>
      <w:r w:rsidR="004873AE" w:rsidRPr="00417E18">
        <w:rPr>
          <w:rFonts w:eastAsia="Calibri" w:cs="Calibri"/>
          <w:noProof/>
          <w:sz w:val="22"/>
          <w:szCs w:val="22"/>
        </w:rPr>
        <w:t xml:space="preserve">invest in LEO constellation </w:t>
      </w:r>
      <w:r w:rsidR="004873AE" w:rsidRPr="00417E18" w:rsidDel="008A1AEC">
        <w:rPr>
          <w:rFonts w:eastAsia="Calibri" w:cs="Calibri"/>
          <w:noProof/>
          <w:sz w:val="22"/>
          <w:szCs w:val="22"/>
        </w:rPr>
        <w:t>deployment</w:t>
      </w:r>
      <w:r w:rsidR="008A1AEC" w:rsidRPr="00417E18">
        <w:rPr>
          <w:rFonts w:eastAsia="Calibri" w:cs="Calibri"/>
          <w:noProof/>
          <w:sz w:val="22"/>
          <w:szCs w:val="22"/>
        </w:rPr>
        <w:t xml:space="preserve"> and</w:t>
      </w:r>
      <w:r w:rsidR="004873AE" w:rsidRPr="00417E18">
        <w:rPr>
          <w:rFonts w:eastAsia="Calibri" w:cs="Calibri"/>
          <w:noProof/>
          <w:sz w:val="22"/>
          <w:szCs w:val="22"/>
        </w:rPr>
        <w:t xml:space="preserve"> </w:t>
      </w:r>
      <w:r w:rsidR="00E03688" w:rsidRPr="00417E18">
        <w:rPr>
          <w:rFonts w:eastAsia="Calibri" w:cs="Calibri"/>
          <w:noProof/>
          <w:sz w:val="22"/>
          <w:szCs w:val="22"/>
        </w:rPr>
        <w:t>now lags</w:t>
      </w:r>
      <w:r w:rsidR="004873AE" w:rsidRPr="00417E18">
        <w:rPr>
          <w:rFonts w:eastAsia="Calibri" w:cs="Calibri"/>
          <w:noProof/>
          <w:sz w:val="22"/>
          <w:szCs w:val="22"/>
        </w:rPr>
        <w:t xml:space="preserve"> behind </w:t>
      </w:r>
      <w:r w:rsidR="00E03688" w:rsidRPr="00417E18">
        <w:rPr>
          <w:rFonts w:eastAsia="Calibri" w:cs="Calibri"/>
          <w:noProof/>
          <w:sz w:val="22"/>
          <w:szCs w:val="22"/>
        </w:rPr>
        <w:t xml:space="preserve">the </w:t>
      </w:r>
      <w:r w:rsidR="00C276D5" w:rsidRPr="00417E18">
        <w:rPr>
          <w:rFonts w:eastAsia="Calibri" w:cs="Calibri"/>
          <w:noProof/>
          <w:sz w:val="22"/>
          <w:szCs w:val="22"/>
        </w:rPr>
        <w:t>US</w:t>
      </w:r>
      <w:r w:rsidR="004873AE" w:rsidRPr="00417E18">
        <w:rPr>
          <w:rFonts w:eastAsia="Calibri" w:cs="Calibri"/>
          <w:noProof/>
          <w:sz w:val="22"/>
          <w:szCs w:val="22"/>
        </w:rPr>
        <w:t xml:space="preserve"> and China. This increases the risk </w:t>
      </w:r>
      <w:r w:rsidR="00394681" w:rsidRPr="00417E18">
        <w:rPr>
          <w:rFonts w:eastAsia="Calibri" w:cs="Calibri"/>
          <w:noProof/>
          <w:sz w:val="22"/>
          <w:szCs w:val="22"/>
        </w:rPr>
        <w:t>that</w:t>
      </w:r>
      <w:r w:rsidR="004873AE" w:rsidRPr="00417E18">
        <w:rPr>
          <w:rFonts w:eastAsia="Calibri" w:cs="Calibri"/>
          <w:noProof/>
          <w:sz w:val="22"/>
          <w:szCs w:val="22"/>
        </w:rPr>
        <w:t xml:space="preserve"> the EU become</w:t>
      </w:r>
      <w:r w:rsidR="00F36680" w:rsidRPr="00417E18">
        <w:rPr>
          <w:rFonts w:eastAsia="Calibri" w:cs="Calibri"/>
          <w:noProof/>
          <w:sz w:val="22"/>
          <w:szCs w:val="22"/>
        </w:rPr>
        <w:t>s</w:t>
      </w:r>
      <w:r w:rsidR="004873AE" w:rsidRPr="00417E18">
        <w:rPr>
          <w:rFonts w:eastAsia="Calibri" w:cs="Calibri"/>
          <w:noProof/>
          <w:sz w:val="22"/>
          <w:szCs w:val="22"/>
        </w:rPr>
        <w:t xml:space="preserve"> dependent </w:t>
      </w:r>
      <w:r w:rsidR="008A1AEC" w:rsidRPr="00417E18">
        <w:rPr>
          <w:rFonts w:eastAsia="Calibri" w:cs="Calibri"/>
          <w:noProof/>
          <w:sz w:val="22"/>
          <w:szCs w:val="22"/>
        </w:rPr>
        <w:t>on</w:t>
      </w:r>
      <w:r w:rsidR="004873AE" w:rsidRPr="00417E18">
        <w:rPr>
          <w:rFonts w:eastAsia="Calibri" w:cs="Calibri"/>
          <w:noProof/>
          <w:sz w:val="22"/>
          <w:szCs w:val="22"/>
        </w:rPr>
        <w:t xml:space="preserve"> non-EU providers of this critical infrastructure</w:t>
      </w:r>
      <w:r w:rsidR="00F36680" w:rsidRPr="0C856F1D">
        <w:rPr>
          <w:rFonts w:eastAsia="Calibri" w:cs="Calibri"/>
          <w:noProof/>
          <w:sz w:val="22"/>
          <w:szCs w:val="22"/>
        </w:rPr>
        <w:t>,</w:t>
      </w:r>
      <w:r w:rsidR="004873AE" w:rsidRPr="00417E18">
        <w:rPr>
          <w:rFonts w:eastAsia="Calibri" w:cs="Calibri"/>
          <w:noProof/>
          <w:sz w:val="22"/>
          <w:szCs w:val="22"/>
        </w:rPr>
        <w:t xml:space="preserve"> </w:t>
      </w:r>
      <w:r w:rsidR="17FEBB36" w:rsidRPr="07868930">
        <w:rPr>
          <w:rFonts w:eastAsia="Calibri" w:cs="Calibri"/>
          <w:noProof/>
          <w:sz w:val="22"/>
          <w:szCs w:val="22"/>
        </w:rPr>
        <w:t>with</w:t>
      </w:r>
      <w:r w:rsidR="00F36680" w:rsidRPr="00417E18">
        <w:rPr>
          <w:rFonts w:eastAsia="Calibri" w:cs="Calibri"/>
          <w:noProof/>
          <w:sz w:val="22"/>
          <w:szCs w:val="22"/>
        </w:rPr>
        <w:t xml:space="preserve"> imp</w:t>
      </w:r>
      <w:r w:rsidR="00BC49BE" w:rsidRPr="00417E18">
        <w:rPr>
          <w:rFonts w:eastAsia="Calibri" w:cs="Calibri"/>
          <w:noProof/>
          <w:sz w:val="22"/>
          <w:szCs w:val="22"/>
        </w:rPr>
        <w:t>lications for both</w:t>
      </w:r>
      <w:r w:rsidR="004873AE" w:rsidRPr="00417E18">
        <w:rPr>
          <w:rFonts w:eastAsia="Calibri" w:cs="Calibri"/>
          <w:noProof/>
          <w:sz w:val="22"/>
          <w:szCs w:val="22"/>
        </w:rPr>
        <w:t xml:space="preserve"> </w:t>
      </w:r>
      <w:r w:rsidR="00CC73F0" w:rsidRPr="00417E18">
        <w:rPr>
          <w:rFonts w:eastAsia="Calibri" w:cs="Calibri"/>
          <w:noProof/>
          <w:sz w:val="22"/>
          <w:szCs w:val="22"/>
        </w:rPr>
        <w:t>competitiveness</w:t>
      </w:r>
      <w:r w:rsidR="004873AE" w:rsidRPr="00417E18">
        <w:rPr>
          <w:rFonts w:eastAsia="Calibri" w:cs="Calibri"/>
          <w:noProof/>
          <w:sz w:val="22"/>
          <w:szCs w:val="22"/>
        </w:rPr>
        <w:t xml:space="preserve"> and digital </w:t>
      </w:r>
      <w:r w:rsidR="00CC73F0" w:rsidRPr="00417E18">
        <w:rPr>
          <w:rFonts w:eastAsia="Calibri" w:cs="Calibri"/>
          <w:noProof/>
          <w:sz w:val="22"/>
          <w:szCs w:val="22"/>
        </w:rPr>
        <w:t>sovereignty</w:t>
      </w:r>
      <w:r w:rsidR="004873AE" w:rsidRPr="00417E18">
        <w:rPr>
          <w:rFonts w:eastAsia="Calibri" w:cs="Calibri"/>
          <w:noProof/>
          <w:sz w:val="22"/>
          <w:szCs w:val="22"/>
        </w:rPr>
        <w:t xml:space="preserve">, especially in </w:t>
      </w:r>
      <w:r w:rsidR="002347FC" w:rsidRPr="00417E18">
        <w:rPr>
          <w:rFonts w:eastAsia="Calibri" w:cs="Calibri"/>
          <w:noProof/>
          <w:sz w:val="22"/>
          <w:szCs w:val="22"/>
        </w:rPr>
        <w:t>a context</w:t>
      </w:r>
      <w:r w:rsidR="004873AE" w:rsidRPr="00417E18">
        <w:rPr>
          <w:rFonts w:eastAsia="Calibri" w:cs="Calibri"/>
          <w:noProof/>
          <w:sz w:val="22"/>
          <w:szCs w:val="22"/>
        </w:rPr>
        <w:t xml:space="preserve"> of geostrategic uncertaint</w:t>
      </w:r>
      <w:r w:rsidR="00FD351E" w:rsidRPr="00417E18">
        <w:rPr>
          <w:rFonts w:eastAsia="Calibri" w:cs="Calibri"/>
          <w:noProof/>
          <w:sz w:val="22"/>
          <w:szCs w:val="22"/>
        </w:rPr>
        <w:t>y</w:t>
      </w:r>
      <w:r w:rsidR="004873AE" w:rsidRPr="00417E18">
        <w:rPr>
          <w:rFonts w:eastAsia="Calibri" w:cs="Calibri"/>
          <w:noProof/>
          <w:sz w:val="22"/>
          <w:szCs w:val="22"/>
        </w:rPr>
        <w:t>.</w:t>
      </w:r>
      <w:r w:rsidR="004873AE" w:rsidRPr="00417E18" w:rsidDel="009C797A">
        <w:rPr>
          <w:rFonts w:eastAsia="Calibri" w:cs="Calibri"/>
          <w:noProof/>
          <w:sz w:val="22"/>
          <w:szCs w:val="22"/>
        </w:rPr>
        <w:t xml:space="preserve"> </w:t>
      </w:r>
      <w:r w:rsidR="00FF5C97" w:rsidRPr="0C856F1D">
        <w:rPr>
          <w:rFonts w:eastAsia="Calibri" w:cs="Calibri"/>
          <w:noProof/>
          <w:sz w:val="22"/>
          <w:szCs w:val="22"/>
        </w:rPr>
        <w:t>According to a European Commission study</w:t>
      </w:r>
      <w:r w:rsidR="00583458">
        <w:rPr>
          <w:rStyle w:val="FootnoteReference"/>
          <w:rFonts w:eastAsia="Calibri" w:cs="Calibri"/>
          <w:noProof/>
          <w:sz w:val="22"/>
          <w:szCs w:val="22"/>
        </w:rPr>
        <w:footnoteReference w:id="51"/>
      </w:r>
      <w:r w:rsidR="00FF5C97" w:rsidRPr="0C856F1D">
        <w:rPr>
          <w:rFonts w:eastAsia="Calibri" w:cs="Calibri"/>
          <w:noProof/>
          <w:sz w:val="22"/>
          <w:szCs w:val="22"/>
        </w:rPr>
        <w:t xml:space="preserve"> on Mobile Satellite Services in the 2 GHz band</w:t>
      </w:r>
      <w:r w:rsidR="732D739A" w:rsidRPr="07868930">
        <w:rPr>
          <w:rFonts w:eastAsia="Calibri" w:cs="Calibri"/>
          <w:noProof/>
          <w:sz w:val="22"/>
          <w:szCs w:val="22"/>
        </w:rPr>
        <w:t>,</w:t>
      </w:r>
      <w:r w:rsidR="00FF5C97" w:rsidRPr="0C856F1D">
        <w:rPr>
          <w:rFonts w:eastAsia="Calibri" w:cs="Calibri"/>
          <w:noProof/>
          <w:sz w:val="22"/>
          <w:szCs w:val="22"/>
        </w:rPr>
        <w:t xml:space="preserve"> </w:t>
      </w:r>
      <w:r w:rsidR="5DC8E8EA" w:rsidRPr="72667201">
        <w:rPr>
          <w:rFonts w:eastAsia="Calibri" w:cs="Calibri"/>
          <w:noProof/>
          <w:sz w:val="22"/>
          <w:szCs w:val="22"/>
        </w:rPr>
        <w:t xml:space="preserve">as of March 2025 </w:t>
      </w:r>
      <w:r w:rsidR="00FF5C97" w:rsidRPr="0C856F1D">
        <w:rPr>
          <w:rFonts w:eastAsia="Calibri" w:cs="Calibri"/>
          <w:noProof/>
          <w:sz w:val="22"/>
          <w:szCs w:val="22"/>
        </w:rPr>
        <w:t xml:space="preserve">the </w:t>
      </w:r>
      <w:r w:rsidR="732D739A" w:rsidRPr="07868930">
        <w:rPr>
          <w:rFonts w:eastAsia="Calibri" w:cs="Calibri"/>
          <w:noProof/>
          <w:sz w:val="22"/>
          <w:szCs w:val="22"/>
        </w:rPr>
        <w:t>EU</w:t>
      </w:r>
      <w:r w:rsidR="00FF5C97" w:rsidRPr="00417E18">
        <w:rPr>
          <w:rFonts w:eastAsia="Calibri" w:cs="Calibri"/>
          <w:noProof/>
          <w:sz w:val="22"/>
          <w:szCs w:val="22"/>
        </w:rPr>
        <w:t xml:space="preserve"> has</w:t>
      </w:r>
      <w:r w:rsidR="2586E369" w:rsidRPr="00417E18">
        <w:rPr>
          <w:rFonts w:eastAsia="Calibri" w:cs="Calibri"/>
          <w:noProof/>
          <w:sz w:val="22"/>
          <w:szCs w:val="22"/>
        </w:rPr>
        <w:t xml:space="preserve"> only 773 LEO satellites launched and </w:t>
      </w:r>
      <w:r w:rsidR="04332310" w:rsidRPr="00417E18">
        <w:rPr>
          <w:rFonts w:eastAsia="Calibri" w:cs="Calibri"/>
          <w:noProof/>
          <w:sz w:val="22"/>
          <w:szCs w:val="22"/>
        </w:rPr>
        <w:t>3</w:t>
      </w:r>
      <w:r w:rsidR="009C797A">
        <w:rPr>
          <w:rFonts w:eastAsia="Calibri" w:cs="Calibri"/>
          <w:noProof/>
          <w:sz w:val="22"/>
          <w:szCs w:val="22"/>
        </w:rPr>
        <w:t xml:space="preserve"> </w:t>
      </w:r>
      <w:r w:rsidR="04332310" w:rsidRPr="00417E18">
        <w:rPr>
          <w:rFonts w:eastAsia="Calibri" w:cs="Calibri"/>
          <w:noProof/>
          <w:sz w:val="22"/>
          <w:szCs w:val="22"/>
        </w:rPr>
        <w:t>120</w:t>
      </w:r>
      <w:r w:rsidR="2586E369" w:rsidRPr="00417E18">
        <w:rPr>
          <w:rFonts w:eastAsia="Calibri" w:cs="Calibri"/>
          <w:noProof/>
          <w:sz w:val="22"/>
          <w:szCs w:val="22"/>
        </w:rPr>
        <w:t xml:space="preserve"> planned, </w:t>
      </w:r>
      <w:r w:rsidR="002D1BA6" w:rsidRPr="00417E18">
        <w:rPr>
          <w:rFonts w:eastAsia="Calibri" w:cs="Calibri"/>
          <w:noProof/>
          <w:sz w:val="22"/>
          <w:szCs w:val="22"/>
        </w:rPr>
        <w:t xml:space="preserve">compared with </w:t>
      </w:r>
      <w:r w:rsidR="2586E369" w:rsidRPr="00417E18">
        <w:rPr>
          <w:rFonts w:eastAsia="Calibri" w:cs="Calibri"/>
          <w:noProof/>
          <w:sz w:val="22"/>
          <w:szCs w:val="22"/>
        </w:rPr>
        <w:t>220 launched</w:t>
      </w:r>
      <w:r w:rsidR="002D1BA6" w:rsidRPr="00417E18">
        <w:rPr>
          <w:rFonts w:eastAsia="Calibri" w:cs="Calibri"/>
          <w:noProof/>
          <w:sz w:val="22"/>
          <w:szCs w:val="22"/>
        </w:rPr>
        <w:t xml:space="preserve"> and</w:t>
      </w:r>
      <w:r w:rsidR="2586E369" w:rsidRPr="00417E18">
        <w:rPr>
          <w:rFonts w:eastAsia="Calibri" w:cs="Calibri"/>
          <w:noProof/>
          <w:sz w:val="22"/>
          <w:szCs w:val="22"/>
        </w:rPr>
        <w:t xml:space="preserve"> </w:t>
      </w:r>
      <w:r w:rsidR="04332310" w:rsidRPr="00417E18">
        <w:rPr>
          <w:rFonts w:eastAsia="Calibri" w:cs="Calibri"/>
          <w:noProof/>
          <w:sz w:val="22"/>
          <w:szCs w:val="22"/>
        </w:rPr>
        <w:t>27</w:t>
      </w:r>
      <w:r w:rsidR="009C797A">
        <w:rPr>
          <w:rFonts w:eastAsia="Calibri" w:cs="Calibri"/>
          <w:noProof/>
          <w:sz w:val="22"/>
          <w:szCs w:val="22"/>
        </w:rPr>
        <w:t xml:space="preserve"> </w:t>
      </w:r>
      <w:r w:rsidR="04332310" w:rsidRPr="00417E18">
        <w:rPr>
          <w:rFonts w:eastAsia="Calibri" w:cs="Calibri"/>
          <w:noProof/>
          <w:sz w:val="22"/>
          <w:szCs w:val="22"/>
        </w:rPr>
        <w:t>198</w:t>
      </w:r>
      <w:r w:rsidR="2586E369" w:rsidRPr="00417E18">
        <w:rPr>
          <w:rFonts w:eastAsia="Calibri" w:cs="Calibri"/>
          <w:noProof/>
          <w:sz w:val="22"/>
          <w:szCs w:val="22"/>
        </w:rPr>
        <w:t xml:space="preserve"> planned</w:t>
      </w:r>
      <w:r w:rsidR="002D1BA6" w:rsidRPr="0C856F1D">
        <w:rPr>
          <w:rFonts w:eastAsia="Calibri" w:cs="Calibri"/>
          <w:noProof/>
          <w:sz w:val="22"/>
          <w:szCs w:val="22"/>
        </w:rPr>
        <w:t xml:space="preserve"> in </w:t>
      </w:r>
      <w:r w:rsidR="002D1BA6" w:rsidRPr="00417E18">
        <w:rPr>
          <w:rFonts w:eastAsia="Calibri" w:cs="Calibri"/>
          <w:noProof/>
          <w:sz w:val="22"/>
          <w:szCs w:val="22"/>
        </w:rPr>
        <w:t>China</w:t>
      </w:r>
      <w:r w:rsidR="2586E369" w:rsidRPr="00417E18">
        <w:rPr>
          <w:rFonts w:eastAsia="Calibri" w:cs="Calibri"/>
          <w:noProof/>
          <w:sz w:val="22"/>
          <w:szCs w:val="22"/>
        </w:rPr>
        <w:t xml:space="preserve"> and </w:t>
      </w:r>
      <w:r w:rsidR="04332310" w:rsidRPr="00417E18">
        <w:rPr>
          <w:rFonts w:eastAsia="Calibri" w:cs="Calibri"/>
          <w:noProof/>
          <w:sz w:val="22"/>
          <w:szCs w:val="22"/>
        </w:rPr>
        <w:t>7</w:t>
      </w:r>
      <w:r w:rsidR="009C797A">
        <w:rPr>
          <w:rFonts w:eastAsia="Calibri" w:cs="Calibri"/>
          <w:noProof/>
          <w:sz w:val="22"/>
          <w:szCs w:val="22"/>
        </w:rPr>
        <w:t xml:space="preserve"> </w:t>
      </w:r>
      <w:r w:rsidR="04332310" w:rsidRPr="00417E18">
        <w:rPr>
          <w:rFonts w:eastAsia="Calibri" w:cs="Calibri"/>
          <w:noProof/>
          <w:sz w:val="22"/>
          <w:szCs w:val="22"/>
        </w:rPr>
        <w:t>633</w:t>
      </w:r>
      <w:r w:rsidR="2586E369" w:rsidRPr="00417E18">
        <w:rPr>
          <w:rFonts w:eastAsia="Calibri" w:cs="Calibri"/>
          <w:noProof/>
          <w:sz w:val="22"/>
          <w:szCs w:val="22"/>
        </w:rPr>
        <w:t xml:space="preserve"> launched</w:t>
      </w:r>
      <w:r w:rsidR="002D1BA6" w:rsidRPr="00417E18">
        <w:rPr>
          <w:rFonts w:eastAsia="Calibri" w:cs="Calibri"/>
          <w:noProof/>
          <w:sz w:val="22"/>
          <w:szCs w:val="22"/>
        </w:rPr>
        <w:t xml:space="preserve"> and</w:t>
      </w:r>
      <w:r w:rsidR="2586E369" w:rsidRPr="00417E18">
        <w:rPr>
          <w:rFonts w:eastAsia="Calibri" w:cs="Calibri"/>
          <w:noProof/>
          <w:sz w:val="22"/>
          <w:szCs w:val="22"/>
        </w:rPr>
        <w:t xml:space="preserve"> </w:t>
      </w:r>
      <w:r w:rsidR="04332310" w:rsidRPr="00417E18">
        <w:rPr>
          <w:rFonts w:eastAsia="Calibri" w:cs="Calibri"/>
          <w:noProof/>
          <w:sz w:val="22"/>
          <w:szCs w:val="22"/>
        </w:rPr>
        <w:t>33</w:t>
      </w:r>
      <w:r w:rsidR="009C797A">
        <w:rPr>
          <w:rFonts w:eastAsia="Calibri" w:cs="Calibri"/>
          <w:noProof/>
          <w:sz w:val="22"/>
          <w:szCs w:val="22"/>
        </w:rPr>
        <w:t xml:space="preserve"> </w:t>
      </w:r>
      <w:r w:rsidR="04332310" w:rsidRPr="00417E18">
        <w:rPr>
          <w:rFonts w:eastAsia="Calibri" w:cs="Calibri"/>
          <w:noProof/>
          <w:sz w:val="22"/>
          <w:szCs w:val="22"/>
        </w:rPr>
        <w:t>397</w:t>
      </w:r>
      <w:r w:rsidR="2586E369" w:rsidRPr="00417E18">
        <w:rPr>
          <w:rFonts w:eastAsia="Calibri" w:cs="Calibri"/>
          <w:noProof/>
          <w:sz w:val="22"/>
          <w:szCs w:val="22"/>
        </w:rPr>
        <w:t xml:space="preserve"> planned</w:t>
      </w:r>
      <w:r w:rsidR="002D1BA6" w:rsidRPr="0C856F1D">
        <w:rPr>
          <w:rFonts w:eastAsia="Calibri" w:cs="Calibri"/>
          <w:noProof/>
          <w:sz w:val="22"/>
          <w:szCs w:val="22"/>
        </w:rPr>
        <w:t xml:space="preserve"> in the US</w:t>
      </w:r>
      <w:r w:rsidR="05C28FB7" w:rsidRPr="07868930">
        <w:rPr>
          <w:rFonts w:eastAsia="Calibri" w:cs="Calibri"/>
          <w:noProof/>
          <w:sz w:val="22"/>
          <w:szCs w:val="22"/>
        </w:rPr>
        <w:t>.</w:t>
      </w:r>
    </w:p>
    <w:p w14:paraId="1675827B" w14:textId="697EA5D0" w:rsidR="5874A618" w:rsidRPr="00417E18" w:rsidRDefault="2586E369" w:rsidP="0066543B">
      <w:pPr>
        <w:spacing w:before="0"/>
        <w:rPr>
          <w:rFonts w:cs="Calibri"/>
          <w:noProof/>
          <w:sz w:val="22"/>
          <w:szCs w:val="22"/>
        </w:rPr>
      </w:pPr>
      <w:r w:rsidRPr="00417E18">
        <w:rPr>
          <w:rFonts w:eastAsia="Calibri" w:cs="Calibri"/>
          <w:noProof/>
          <w:sz w:val="22"/>
          <w:szCs w:val="22"/>
        </w:rPr>
        <w:t xml:space="preserve">Looking ahead, the number of authorisations is expected to increase significantly, </w:t>
      </w:r>
      <w:r w:rsidR="00F87030" w:rsidRPr="07868930">
        <w:rPr>
          <w:rFonts w:eastAsia="Calibri" w:cs="Calibri"/>
          <w:noProof/>
          <w:sz w:val="22"/>
          <w:szCs w:val="22"/>
        </w:rPr>
        <w:t>raising</w:t>
      </w:r>
      <w:r w:rsidRPr="00417E18">
        <w:rPr>
          <w:rFonts w:eastAsia="Calibri" w:cs="Calibri"/>
          <w:noProof/>
          <w:sz w:val="22"/>
          <w:szCs w:val="22"/>
        </w:rPr>
        <w:t xml:space="preserve"> compliance costs for operators and enforcement costs for authorities</w:t>
      </w:r>
      <w:r w:rsidR="00702AA4" w:rsidRPr="0C856F1D">
        <w:rPr>
          <w:rFonts w:eastAsia="Calibri" w:cs="Calibri"/>
          <w:noProof/>
          <w:sz w:val="22"/>
          <w:szCs w:val="22"/>
        </w:rPr>
        <w:t xml:space="preserve">. </w:t>
      </w:r>
      <w:r w:rsidR="00702AA4" w:rsidRPr="07868930">
        <w:rPr>
          <w:rFonts w:eastAsia="Calibri" w:cs="Calibri"/>
          <w:noProof/>
          <w:sz w:val="22"/>
          <w:szCs w:val="22"/>
        </w:rPr>
        <w:t>T</w:t>
      </w:r>
      <w:r w:rsidR="00EF1D3A" w:rsidRPr="07868930">
        <w:rPr>
          <w:rFonts w:eastAsia="Calibri" w:cs="Calibri"/>
          <w:noProof/>
          <w:sz w:val="22"/>
          <w:szCs w:val="22"/>
        </w:rPr>
        <w:t>he</w:t>
      </w:r>
      <w:r w:rsidRPr="00417E18">
        <w:rPr>
          <w:rFonts w:eastAsia="Calibri" w:cs="Calibri"/>
          <w:noProof/>
          <w:sz w:val="22"/>
          <w:szCs w:val="22"/>
        </w:rPr>
        <w:t xml:space="preserve"> coexistence of twenty-seven national authorisation regimes </w:t>
      </w:r>
      <w:r w:rsidR="00702AA4" w:rsidRPr="0C856F1D">
        <w:rPr>
          <w:rFonts w:eastAsia="Calibri" w:cs="Calibri"/>
          <w:noProof/>
          <w:sz w:val="22"/>
          <w:szCs w:val="22"/>
        </w:rPr>
        <w:t xml:space="preserve">also </w:t>
      </w:r>
      <w:r w:rsidR="00BE3FB1" w:rsidRPr="07868930">
        <w:rPr>
          <w:rFonts w:eastAsia="Calibri" w:cs="Calibri"/>
          <w:noProof/>
          <w:sz w:val="22"/>
          <w:szCs w:val="22"/>
        </w:rPr>
        <w:t>contributes</w:t>
      </w:r>
      <w:r w:rsidRPr="00417E18">
        <w:rPr>
          <w:rFonts w:eastAsia="Calibri" w:cs="Calibri"/>
          <w:noProof/>
          <w:sz w:val="22"/>
          <w:szCs w:val="22"/>
        </w:rPr>
        <w:t xml:space="preserve"> to coverage gaps and </w:t>
      </w:r>
      <w:r w:rsidRPr="07868930">
        <w:rPr>
          <w:rFonts w:eastAsia="Calibri" w:cs="Calibri"/>
          <w:noProof/>
          <w:sz w:val="22"/>
          <w:szCs w:val="22"/>
        </w:rPr>
        <w:t>slow</w:t>
      </w:r>
      <w:r w:rsidR="00041B75" w:rsidRPr="07868930">
        <w:rPr>
          <w:rFonts w:eastAsia="Calibri" w:cs="Calibri"/>
          <w:noProof/>
          <w:sz w:val="22"/>
          <w:szCs w:val="22"/>
        </w:rPr>
        <w:t>s</w:t>
      </w:r>
      <w:r w:rsidRPr="00417E18">
        <w:rPr>
          <w:rFonts w:eastAsia="Calibri" w:cs="Calibri"/>
          <w:noProof/>
          <w:sz w:val="22"/>
          <w:szCs w:val="22"/>
        </w:rPr>
        <w:t xml:space="preserve"> the rollout of pan-European satellite services.</w:t>
      </w:r>
    </w:p>
    <w:p w14:paraId="20BF388B" w14:textId="7289CE21" w:rsidR="00437F1A" w:rsidRPr="00417E18" w:rsidRDefault="45B3D3E9" w:rsidP="002D53C6">
      <w:pPr>
        <w:spacing w:before="0"/>
        <w:rPr>
          <w:rFonts w:eastAsia="Calibri" w:cs="Calibri"/>
          <w:noProof/>
          <w:sz w:val="22"/>
          <w:szCs w:val="22"/>
        </w:rPr>
      </w:pPr>
      <w:r w:rsidRPr="00417E18">
        <w:rPr>
          <w:rFonts w:eastAsia="Calibri" w:cs="Calibri"/>
          <w:b/>
          <w:bCs/>
          <w:noProof/>
          <w:sz w:val="22"/>
          <w:szCs w:val="22"/>
        </w:rPr>
        <w:t xml:space="preserve">The </w:t>
      </w:r>
      <w:r w:rsidR="009C797A">
        <w:rPr>
          <w:rFonts w:eastAsia="Calibri" w:cs="Calibri"/>
          <w:b/>
          <w:bCs/>
          <w:noProof/>
          <w:sz w:val="22"/>
          <w:szCs w:val="22"/>
        </w:rPr>
        <w:t xml:space="preserve">proposed </w:t>
      </w:r>
      <w:r w:rsidRPr="00417E18">
        <w:rPr>
          <w:rFonts w:eastAsia="Calibri" w:cs="Calibri"/>
          <w:b/>
          <w:bCs/>
          <w:noProof/>
          <w:sz w:val="22"/>
          <w:szCs w:val="22"/>
        </w:rPr>
        <w:t xml:space="preserve">DNA </w:t>
      </w:r>
      <w:r w:rsidR="00D715F8">
        <w:rPr>
          <w:rFonts w:eastAsia="Calibri" w:cs="Calibri"/>
          <w:b/>
          <w:bCs/>
          <w:noProof/>
          <w:sz w:val="22"/>
          <w:szCs w:val="22"/>
        </w:rPr>
        <w:t>and MSS (Mobile Satellite Services)</w:t>
      </w:r>
      <w:r w:rsidR="00D40ED7">
        <w:rPr>
          <w:rStyle w:val="FootnoteReference"/>
          <w:rFonts w:eastAsia="Calibri" w:cs="Calibri"/>
          <w:b/>
          <w:bCs/>
          <w:noProof/>
          <w:sz w:val="22"/>
          <w:szCs w:val="22"/>
        </w:rPr>
        <w:footnoteReference w:id="52"/>
      </w:r>
      <w:r w:rsidR="00D715F8">
        <w:rPr>
          <w:rFonts w:eastAsia="Calibri" w:cs="Calibri"/>
          <w:b/>
          <w:bCs/>
          <w:noProof/>
          <w:sz w:val="22"/>
          <w:szCs w:val="22"/>
        </w:rPr>
        <w:t xml:space="preserve"> Regulations </w:t>
      </w:r>
      <w:r w:rsidRPr="00417E18">
        <w:rPr>
          <w:rFonts w:eastAsia="Calibri" w:cs="Calibri"/>
          <w:b/>
          <w:bCs/>
          <w:noProof/>
          <w:sz w:val="22"/>
          <w:szCs w:val="22"/>
        </w:rPr>
        <w:t>introduce a single EU-level authorisation for satellite services</w:t>
      </w:r>
      <w:r w:rsidR="00932BAB" w:rsidRPr="00417E18">
        <w:rPr>
          <w:rFonts w:eastAsia="Calibri" w:cs="Calibri"/>
          <w:b/>
          <w:bCs/>
          <w:noProof/>
          <w:sz w:val="22"/>
          <w:szCs w:val="22"/>
        </w:rPr>
        <w:t xml:space="preserve"> </w:t>
      </w:r>
      <w:r w:rsidR="0085702F">
        <w:rPr>
          <w:rFonts w:eastAsia="Calibri" w:cs="Calibri"/>
          <w:noProof/>
          <w:sz w:val="22"/>
          <w:szCs w:val="22"/>
        </w:rPr>
        <w:t>ensuring</w:t>
      </w:r>
      <w:r w:rsidRPr="00417E18">
        <w:rPr>
          <w:rFonts w:eastAsia="Calibri" w:cs="Calibri"/>
          <w:noProof/>
          <w:sz w:val="22"/>
          <w:szCs w:val="22"/>
        </w:rPr>
        <w:t xml:space="preserve"> EU-wide access to spectrum under harmonised conditions. This framework </w:t>
      </w:r>
      <w:r w:rsidR="1162750B" w:rsidRPr="00417E18">
        <w:rPr>
          <w:rFonts w:eastAsia="Calibri" w:cs="Calibri"/>
          <w:noProof/>
          <w:sz w:val="22"/>
          <w:szCs w:val="22"/>
        </w:rPr>
        <w:t>aims to</w:t>
      </w:r>
      <w:r w:rsidRPr="00417E18">
        <w:rPr>
          <w:rFonts w:eastAsia="Calibri" w:cs="Calibri"/>
          <w:noProof/>
          <w:sz w:val="22"/>
          <w:szCs w:val="22"/>
        </w:rPr>
        <w:t xml:space="preserve"> create</w:t>
      </w:r>
      <w:r w:rsidR="00AA3041" w:rsidRPr="00417E18">
        <w:rPr>
          <w:rFonts w:eastAsia="Calibri" w:cs="Calibri"/>
          <w:noProof/>
          <w:sz w:val="22"/>
          <w:szCs w:val="22"/>
        </w:rPr>
        <w:t xml:space="preserve"> </w:t>
      </w:r>
      <w:r w:rsidRPr="00417E18">
        <w:rPr>
          <w:rFonts w:eastAsia="Calibri" w:cs="Calibri"/>
          <w:noProof/>
          <w:sz w:val="22"/>
          <w:szCs w:val="22"/>
        </w:rPr>
        <w:t xml:space="preserve">a level playing field, enable European operators to scale up, and support the development of innovative </w:t>
      </w:r>
      <w:r w:rsidR="00123FA6">
        <w:rPr>
          <w:rFonts w:eastAsia="Calibri" w:cs="Calibri"/>
          <w:noProof/>
          <w:sz w:val="22"/>
          <w:szCs w:val="22"/>
        </w:rPr>
        <w:t xml:space="preserve">satellite </w:t>
      </w:r>
      <w:r w:rsidRPr="00417E18">
        <w:rPr>
          <w:rFonts w:eastAsia="Calibri" w:cs="Calibri"/>
          <w:noProof/>
          <w:sz w:val="22"/>
          <w:szCs w:val="22"/>
        </w:rPr>
        <w:t>services</w:t>
      </w:r>
      <w:r w:rsidR="00123FA6">
        <w:rPr>
          <w:rFonts w:eastAsia="Calibri" w:cs="Calibri"/>
          <w:noProof/>
          <w:sz w:val="22"/>
          <w:szCs w:val="22"/>
        </w:rPr>
        <w:t>,</w:t>
      </w:r>
      <w:r w:rsidRPr="00417E18">
        <w:rPr>
          <w:rFonts w:eastAsia="Calibri" w:cs="Calibri"/>
          <w:noProof/>
          <w:sz w:val="22"/>
          <w:szCs w:val="22"/>
        </w:rPr>
        <w:t xml:space="preserve"> such as D2D connectivity, which are increasingly critical for EU security and resilience. It also</w:t>
      </w:r>
      <w:r w:rsidR="4FEDE92E" w:rsidRPr="00417E18">
        <w:rPr>
          <w:rFonts w:eastAsia="Calibri" w:cs="Calibri"/>
          <w:noProof/>
          <w:sz w:val="22"/>
          <w:szCs w:val="22"/>
        </w:rPr>
        <w:t xml:space="preserve"> aims to</w:t>
      </w:r>
      <w:r w:rsidRPr="00417E18">
        <w:rPr>
          <w:rFonts w:eastAsia="Calibri" w:cs="Calibri"/>
          <w:noProof/>
          <w:sz w:val="22"/>
          <w:szCs w:val="22"/>
        </w:rPr>
        <w:t xml:space="preserve"> strengthen the global competitiveness of EU operators and is expected to unlock further investment in satellite infrastructure. </w:t>
      </w:r>
      <w:r w:rsidRPr="00417E18" w:rsidDel="00D8645C">
        <w:rPr>
          <w:rFonts w:eastAsia="Calibri" w:cs="Calibri"/>
          <w:noProof/>
          <w:sz w:val="22"/>
          <w:szCs w:val="22"/>
        </w:rPr>
        <w:t xml:space="preserve">However, given the capital-intensive nature of satellite deployments and </w:t>
      </w:r>
      <w:r w:rsidR="00DA5766" w:rsidRPr="00DA5766">
        <w:rPr>
          <w:rFonts w:eastAsia="Calibri" w:cs="Calibri"/>
          <w:noProof/>
          <w:sz w:val="22"/>
          <w:szCs w:val="22"/>
        </w:rPr>
        <w:t>prolonged revenue reali</w:t>
      </w:r>
      <w:r w:rsidR="00EF667B">
        <w:rPr>
          <w:rFonts w:eastAsia="Calibri" w:cs="Calibri"/>
          <w:noProof/>
          <w:sz w:val="22"/>
          <w:szCs w:val="22"/>
        </w:rPr>
        <w:t>s</w:t>
      </w:r>
      <w:r w:rsidR="00DA5766" w:rsidRPr="00DA5766">
        <w:rPr>
          <w:rFonts w:eastAsia="Calibri" w:cs="Calibri"/>
          <w:noProof/>
          <w:sz w:val="22"/>
          <w:szCs w:val="22"/>
        </w:rPr>
        <w:t xml:space="preserve">ation timelines, structured public-private partnerships, </w:t>
      </w:r>
      <w:r w:rsidR="00897959">
        <w:rPr>
          <w:rFonts w:eastAsia="Calibri" w:cs="Calibri"/>
          <w:noProof/>
          <w:sz w:val="22"/>
          <w:szCs w:val="22"/>
        </w:rPr>
        <w:t xml:space="preserve">and </w:t>
      </w:r>
      <w:r w:rsidR="00DA5766" w:rsidRPr="00DA5766">
        <w:rPr>
          <w:rFonts w:eastAsia="Calibri" w:cs="Calibri"/>
          <w:noProof/>
          <w:sz w:val="22"/>
          <w:szCs w:val="22"/>
        </w:rPr>
        <w:t>strategic Union initiatives, remain key to accelerating this transformation and securing independent European infrastructure capabilities.</w:t>
      </w:r>
    </w:p>
    <w:p w14:paraId="63F46013" w14:textId="7321D36B" w:rsidR="00092049" w:rsidRPr="00417E18" w:rsidRDefault="00092049" w:rsidP="00967EE0">
      <w:pPr>
        <w:pStyle w:val="Heading4"/>
        <w:rPr>
          <w:rFonts w:eastAsia="Times New Roman" w:cs="Calibri"/>
          <w:noProof/>
        </w:rPr>
      </w:pPr>
      <w:bookmarkStart w:id="49" w:name="_Toc226710902"/>
      <w:bookmarkStart w:id="50" w:name="_Toc636400367"/>
      <w:bookmarkStart w:id="51" w:name="_Toc474477781"/>
      <w:r w:rsidRPr="00417E18">
        <w:rPr>
          <w:noProof/>
        </w:rPr>
        <w:t>Backbone networks</w:t>
      </w:r>
      <w:bookmarkEnd w:id="49"/>
      <w:bookmarkEnd w:id="50"/>
      <w:bookmarkEnd w:id="51"/>
      <w:r w:rsidRPr="00417E18">
        <w:rPr>
          <w:noProof/>
        </w:rPr>
        <w:t xml:space="preserve"> </w:t>
      </w:r>
    </w:p>
    <w:p w14:paraId="70629E7F" w14:textId="79A419B2" w:rsidR="1E91D775" w:rsidRPr="00417E18" w:rsidRDefault="36577BDF" w:rsidP="0066543B">
      <w:pPr>
        <w:spacing w:before="0"/>
        <w:rPr>
          <w:rFonts w:cs="Calibri"/>
          <w:noProof/>
          <w:sz w:val="22"/>
          <w:szCs w:val="22"/>
        </w:rPr>
      </w:pPr>
      <w:r w:rsidRPr="00417E18">
        <w:rPr>
          <w:rFonts w:eastAsia="Times New Roman" w:cs="Calibri"/>
          <w:noProof/>
          <w:sz w:val="22"/>
          <w:szCs w:val="22"/>
        </w:rPr>
        <w:t xml:space="preserve">The growing traffic in access networks, combined with </w:t>
      </w:r>
      <w:r w:rsidR="00FE22CD" w:rsidRPr="0C856F1D">
        <w:rPr>
          <w:rFonts w:eastAsia="Times New Roman" w:cs="Calibri"/>
          <w:noProof/>
          <w:sz w:val="22"/>
          <w:szCs w:val="22"/>
        </w:rPr>
        <w:t>rising</w:t>
      </w:r>
      <w:r w:rsidRPr="00417E18">
        <w:rPr>
          <w:rFonts w:eastAsia="Times New Roman" w:cs="Calibri"/>
          <w:noProof/>
          <w:sz w:val="22"/>
          <w:szCs w:val="22"/>
        </w:rPr>
        <w:t xml:space="preserve"> data flow from and to edge, cloud, AI capacities and Content Delivery Networks, will require massive scaling of </w:t>
      </w:r>
      <w:r w:rsidRPr="00417E18">
        <w:rPr>
          <w:rFonts w:eastAsia="Times New Roman" w:cs="Calibri"/>
          <w:b/>
          <w:bCs/>
          <w:noProof/>
          <w:sz w:val="22"/>
          <w:szCs w:val="22"/>
        </w:rPr>
        <w:t>backbone networks</w:t>
      </w:r>
      <w:r w:rsidR="002663B3" w:rsidRPr="07868930">
        <w:rPr>
          <w:rFonts w:eastAsia="Times New Roman" w:cs="Calibri"/>
          <w:noProof/>
          <w:sz w:val="22"/>
          <w:szCs w:val="22"/>
        </w:rPr>
        <w:t>.</w:t>
      </w:r>
      <w:r w:rsidRPr="00417E18">
        <w:rPr>
          <w:rFonts w:eastAsia="Times New Roman" w:cs="Calibri"/>
          <w:b/>
          <w:bCs/>
          <w:noProof/>
          <w:sz w:val="22"/>
          <w:szCs w:val="22"/>
        </w:rPr>
        <w:t xml:space="preserve"> </w:t>
      </w:r>
      <w:r w:rsidR="003D1842" w:rsidRPr="0C856F1D">
        <w:rPr>
          <w:rFonts w:eastAsia="Times New Roman" w:cs="Calibri"/>
          <w:noProof/>
          <w:sz w:val="22"/>
          <w:szCs w:val="22"/>
        </w:rPr>
        <w:t>This will rely on</w:t>
      </w:r>
      <w:r w:rsidRPr="00417E18">
        <w:rPr>
          <w:rFonts w:eastAsia="Times New Roman" w:cs="Calibri"/>
          <w:noProof/>
          <w:sz w:val="22"/>
          <w:szCs w:val="22"/>
        </w:rPr>
        <w:t xml:space="preserve"> advanced optical technologies such as coherent transmission, higher-order modulation, and open line systems, enabling </w:t>
      </w:r>
      <w:r w:rsidRPr="00417E18">
        <w:rPr>
          <w:rFonts w:eastAsia="Times New Roman" w:cs="Calibri"/>
          <w:b/>
          <w:bCs/>
          <w:noProof/>
          <w:sz w:val="22"/>
          <w:szCs w:val="22"/>
        </w:rPr>
        <w:t>multi-terabit capacities</w:t>
      </w:r>
      <w:r w:rsidRPr="00417E18">
        <w:rPr>
          <w:rFonts w:eastAsia="Times New Roman" w:cs="Calibri"/>
          <w:noProof/>
          <w:sz w:val="22"/>
          <w:szCs w:val="22"/>
        </w:rPr>
        <w:t xml:space="preserve"> per fibre. Backbone networks will increasingly interconnect </w:t>
      </w:r>
      <w:r w:rsidRPr="00417E18">
        <w:rPr>
          <w:rFonts w:eastAsia="Times New Roman" w:cs="Calibri"/>
          <w:b/>
          <w:bCs/>
          <w:noProof/>
          <w:sz w:val="22"/>
          <w:szCs w:val="22"/>
        </w:rPr>
        <w:t>distributed data centres and edge nodes</w:t>
      </w:r>
      <w:r w:rsidRPr="00417E18">
        <w:rPr>
          <w:rFonts w:eastAsia="Times New Roman" w:cs="Calibri"/>
          <w:noProof/>
          <w:sz w:val="22"/>
          <w:szCs w:val="22"/>
        </w:rPr>
        <w:t xml:space="preserve">, </w:t>
      </w:r>
      <w:r w:rsidR="007841F1" w:rsidRPr="00417E18">
        <w:rPr>
          <w:rFonts w:eastAsia="Times New Roman" w:cs="Calibri"/>
          <w:noProof/>
          <w:sz w:val="22"/>
          <w:szCs w:val="22"/>
        </w:rPr>
        <w:t>reduce</w:t>
      </w:r>
      <w:r w:rsidRPr="00417E18">
        <w:rPr>
          <w:rFonts w:eastAsia="Times New Roman" w:cs="Calibri"/>
          <w:noProof/>
          <w:sz w:val="22"/>
          <w:szCs w:val="22"/>
        </w:rPr>
        <w:t xml:space="preserve"> latency and </w:t>
      </w:r>
      <w:r w:rsidR="008C310A" w:rsidRPr="00417E18">
        <w:rPr>
          <w:rFonts w:eastAsia="Times New Roman" w:cs="Calibri"/>
          <w:noProof/>
          <w:sz w:val="22"/>
          <w:szCs w:val="22"/>
        </w:rPr>
        <w:t>support</w:t>
      </w:r>
      <w:r w:rsidRPr="00417E18">
        <w:rPr>
          <w:rFonts w:eastAsia="Times New Roman" w:cs="Calibri"/>
          <w:noProof/>
          <w:sz w:val="22"/>
          <w:szCs w:val="22"/>
        </w:rPr>
        <w:t xml:space="preserve"> real-time and mission-critical services.</w:t>
      </w:r>
    </w:p>
    <w:p w14:paraId="59CB5964" w14:textId="16A2F122" w:rsidR="1E91D775" w:rsidRPr="00417E18" w:rsidRDefault="36577BDF" w:rsidP="3F589F67">
      <w:pPr>
        <w:spacing w:before="0"/>
        <w:rPr>
          <w:rFonts w:eastAsia="Times New Roman" w:cs="Calibri"/>
          <w:noProof/>
          <w:sz w:val="22"/>
          <w:szCs w:val="22"/>
        </w:rPr>
      </w:pPr>
      <w:r w:rsidRPr="00417E18">
        <w:rPr>
          <w:rFonts w:eastAsia="Times New Roman" w:cs="Calibri"/>
          <w:noProof/>
          <w:sz w:val="22"/>
          <w:szCs w:val="22"/>
        </w:rPr>
        <w:t xml:space="preserve">Backbone architectures will also become more </w:t>
      </w:r>
      <w:r w:rsidRPr="00417E18">
        <w:rPr>
          <w:rFonts w:eastAsia="Times New Roman" w:cs="Calibri"/>
          <w:b/>
          <w:bCs/>
          <w:noProof/>
          <w:sz w:val="22"/>
          <w:szCs w:val="22"/>
        </w:rPr>
        <w:t>software-defined and automated</w:t>
      </w:r>
      <w:r w:rsidRPr="00417E18">
        <w:rPr>
          <w:rFonts w:eastAsia="Times New Roman" w:cs="Calibri"/>
          <w:noProof/>
          <w:sz w:val="22"/>
          <w:szCs w:val="22"/>
        </w:rPr>
        <w:t xml:space="preserve">, as </w:t>
      </w:r>
      <w:r w:rsidRPr="00417E18">
        <w:rPr>
          <w:rFonts w:eastAsia="Times New Roman" w:cs="Calibri"/>
          <w:b/>
          <w:bCs/>
          <w:noProof/>
          <w:sz w:val="22"/>
          <w:szCs w:val="22"/>
        </w:rPr>
        <w:t>resilience, security, and redundancy</w:t>
      </w:r>
      <w:r w:rsidRPr="00417E18">
        <w:rPr>
          <w:rFonts w:eastAsia="Times New Roman" w:cs="Calibri"/>
          <w:noProof/>
          <w:sz w:val="22"/>
          <w:szCs w:val="22"/>
        </w:rPr>
        <w:t xml:space="preserve"> </w:t>
      </w:r>
      <w:r w:rsidR="003E3C1C" w:rsidRPr="07868930">
        <w:rPr>
          <w:rFonts w:eastAsia="Times New Roman" w:cs="Calibri"/>
          <w:noProof/>
          <w:sz w:val="22"/>
          <w:szCs w:val="22"/>
        </w:rPr>
        <w:t>become</w:t>
      </w:r>
      <w:r w:rsidRPr="00417E18">
        <w:rPr>
          <w:rFonts w:eastAsia="Times New Roman" w:cs="Calibri"/>
          <w:noProof/>
          <w:sz w:val="22"/>
          <w:szCs w:val="22"/>
        </w:rPr>
        <w:t xml:space="preserve"> increasingly strategic priorities. This includes route diversification, protection against physical and cyber threats, and greater focus on submarine and cross-border terrestrial links as well as related deployment, maintenance and repair capacities (e.g. multi-purpose, modular vessels).   </w:t>
      </w:r>
      <w:r w:rsidR="1003CAA8" w:rsidRPr="3F589F67">
        <w:rPr>
          <w:rFonts w:eastAsia="Times New Roman" w:cs="Calibri"/>
          <w:noProof/>
          <w:sz w:val="22"/>
          <w:szCs w:val="22"/>
        </w:rPr>
        <w:t>The migration process to Post Quantum Cryptography shall safeguard the continuity of services, availability of data, and use of applications, and require coordinated action also across different types of networks, given the many interdependencies and interfaces.</w:t>
      </w:r>
      <w:r w:rsidR="64A00649" w:rsidRPr="3F589F67">
        <w:rPr>
          <w:rFonts w:eastAsia="Times New Roman" w:cs="Calibri"/>
          <w:noProof/>
          <w:sz w:val="22"/>
          <w:szCs w:val="22"/>
        </w:rPr>
        <w:t xml:space="preserve"> Quantum communications technologies will be integrated into critical backbone networks to support highly secured, mission-critical applications (e.g. QKD between Member States or banking companies).</w:t>
      </w:r>
    </w:p>
    <w:p w14:paraId="16E615B1" w14:textId="040950F7" w:rsidR="1E91D775" w:rsidRPr="00417E18" w:rsidRDefault="1E91D775" w:rsidP="0066543B">
      <w:pPr>
        <w:spacing w:before="0"/>
        <w:rPr>
          <w:rFonts w:cs="Calibri"/>
          <w:noProof/>
          <w:sz w:val="22"/>
          <w:szCs w:val="22"/>
        </w:rPr>
      </w:pPr>
    </w:p>
    <w:p w14:paraId="08410266" w14:textId="64D6F800" w:rsidR="001B39A5" w:rsidRPr="00417E18" w:rsidRDefault="001B39A5" w:rsidP="001B39A5">
      <w:pPr>
        <w:spacing w:before="0"/>
        <w:rPr>
          <w:rFonts w:cs="Calibri"/>
          <w:noProof/>
          <w:sz w:val="22"/>
          <w:szCs w:val="22"/>
        </w:rPr>
      </w:pPr>
      <w:r w:rsidRPr="00417E18">
        <w:rPr>
          <w:rFonts w:eastAsia="Times New Roman" w:cs="Calibri"/>
          <w:noProof/>
          <w:sz w:val="22"/>
          <w:szCs w:val="22"/>
        </w:rPr>
        <w:t xml:space="preserve">The rollout of future backbone networks will not only be driven by cross-border and intercontinental connectivity needs but </w:t>
      </w:r>
      <w:r w:rsidR="216A5646" w:rsidRPr="5FCDC78E">
        <w:rPr>
          <w:rFonts w:eastAsia="Times New Roman" w:cs="Calibri"/>
          <w:noProof/>
          <w:sz w:val="22"/>
          <w:szCs w:val="22"/>
        </w:rPr>
        <w:t xml:space="preserve">also </w:t>
      </w:r>
      <w:r w:rsidR="706C0B27" w:rsidRPr="5FCDC78E">
        <w:rPr>
          <w:rFonts w:eastAsia="Times New Roman" w:cs="Calibri"/>
          <w:noProof/>
          <w:sz w:val="22"/>
          <w:szCs w:val="22"/>
        </w:rPr>
        <w:t>by</w:t>
      </w:r>
      <w:r w:rsidRPr="00417E18">
        <w:rPr>
          <w:rFonts w:eastAsia="Times New Roman" w:cs="Calibri"/>
          <w:noProof/>
          <w:sz w:val="22"/>
          <w:szCs w:val="22"/>
        </w:rPr>
        <w:t xml:space="preserve"> the deployment of data centres and computing capacities in </w:t>
      </w:r>
      <w:r w:rsidRPr="00417E18">
        <w:rPr>
          <w:rFonts w:eastAsia="Times New Roman" w:cs="Calibri"/>
          <w:b/>
          <w:bCs/>
          <w:noProof/>
          <w:sz w:val="22"/>
          <w:szCs w:val="22"/>
        </w:rPr>
        <w:t>geostrategic</w:t>
      </w:r>
      <w:r w:rsidRPr="00417E18">
        <w:rPr>
          <w:rFonts w:eastAsia="Times New Roman" w:cs="Calibri"/>
          <w:noProof/>
          <w:sz w:val="22"/>
          <w:szCs w:val="22"/>
        </w:rPr>
        <w:t xml:space="preserve"> </w:t>
      </w:r>
      <w:r w:rsidRPr="00417E18">
        <w:rPr>
          <w:rFonts w:eastAsia="Times New Roman" w:cs="Calibri"/>
          <w:b/>
          <w:bCs/>
          <w:noProof/>
          <w:sz w:val="22"/>
          <w:szCs w:val="22"/>
        </w:rPr>
        <w:t>and</w:t>
      </w:r>
      <w:r w:rsidR="007246FB">
        <w:rPr>
          <w:rFonts w:eastAsia="Times New Roman" w:cs="Calibri"/>
          <w:b/>
          <w:bCs/>
          <w:noProof/>
          <w:sz w:val="22"/>
          <w:szCs w:val="22"/>
        </w:rPr>
        <w:t xml:space="preserve"> areas where renewable energy is abunda</w:t>
      </w:r>
      <w:r w:rsidR="003D347B">
        <w:rPr>
          <w:rFonts w:eastAsia="Times New Roman" w:cs="Calibri"/>
          <w:b/>
          <w:bCs/>
          <w:noProof/>
          <w:sz w:val="22"/>
          <w:szCs w:val="22"/>
        </w:rPr>
        <w:t>nt,</w:t>
      </w:r>
      <w:r w:rsidRPr="00417E18">
        <w:rPr>
          <w:rFonts w:eastAsia="Times New Roman" w:cs="Calibri"/>
          <w:noProof/>
          <w:sz w:val="22"/>
          <w:szCs w:val="22"/>
        </w:rPr>
        <w:t xml:space="preserve"> located close to </w:t>
      </w:r>
      <w:r w:rsidR="003D347B">
        <w:rPr>
          <w:rFonts w:eastAsia="Times New Roman" w:cs="Calibri"/>
          <w:noProof/>
          <w:sz w:val="22"/>
          <w:szCs w:val="22"/>
        </w:rPr>
        <w:t>clean power</w:t>
      </w:r>
      <w:r w:rsidRPr="00417E18">
        <w:rPr>
          <w:rFonts w:eastAsia="Times New Roman" w:cs="Calibri"/>
          <w:noProof/>
          <w:sz w:val="22"/>
          <w:szCs w:val="22"/>
        </w:rPr>
        <w:t xml:space="preserve"> sources (e.g. </w:t>
      </w:r>
      <w:r w:rsidR="003D347B">
        <w:rPr>
          <w:rFonts w:eastAsia="Times New Roman" w:cs="Calibri"/>
          <w:noProof/>
          <w:sz w:val="22"/>
          <w:szCs w:val="22"/>
        </w:rPr>
        <w:t xml:space="preserve">solar or </w:t>
      </w:r>
      <w:r w:rsidRPr="00417E18">
        <w:rPr>
          <w:rFonts w:eastAsia="Times New Roman" w:cs="Calibri"/>
          <w:noProof/>
          <w:sz w:val="22"/>
          <w:szCs w:val="22"/>
        </w:rPr>
        <w:t>hydropower plants).</w:t>
      </w:r>
    </w:p>
    <w:p w14:paraId="6D70CB61" w14:textId="3D15BCCB" w:rsidR="00C710D7" w:rsidRPr="00417E18" w:rsidRDefault="686406D2" w:rsidP="0066543B">
      <w:pPr>
        <w:spacing w:before="0"/>
        <w:rPr>
          <w:rFonts w:cs="Calibri"/>
          <w:noProof/>
          <w:sz w:val="22"/>
          <w:szCs w:val="22"/>
        </w:rPr>
      </w:pPr>
      <w:r w:rsidRPr="00417E18">
        <w:rPr>
          <w:rFonts w:eastAsia="Times New Roman" w:cs="Calibri"/>
          <w:noProof/>
          <w:sz w:val="22"/>
          <w:szCs w:val="22"/>
        </w:rPr>
        <w:t xml:space="preserve">In particular, the </w:t>
      </w:r>
      <w:r w:rsidR="7C822767" w:rsidRPr="00417E18">
        <w:rPr>
          <w:rFonts w:eastAsia="Times New Roman" w:cs="Calibri"/>
          <w:noProof/>
          <w:sz w:val="22"/>
          <w:szCs w:val="22"/>
        </w:rPr>
        <w:t xml:space="preserve">total value of </w:t>
      </w:r>
      <w:r w:rsidR="7C822767" w:rsidRPr="00417E18">
        <w:rPr>
          <w:rFonts w:eastAsia="Times New Roman" w:cs="Calibri"/>
          <w:b/>
          <w:bCs/>
          <w:noProof/>
          <w:sz w:val="22"/>
          <w:szCs w:val="22"/>
        </w:rPr>
        <w:t xml:space="preserve">submarine communication cables’ global sales was estimated at USD 3.8 bn in 2024 </w:t>
      </w:r>
      <w:r w:rsidR="7C822767" w:rsidRPr="00417E18">
        <w:rPr>
          <w:rFonts w:eastAsia="Times New Roman" w:cs="Calibri"/>
          <w:noProof/>
          <w:sz w:val="22"/>
          <w:szCs w:val="22"/>
        </w:rPr>
        <w:t xml:space="preserve">and is </w:t>
      </w:r>
      <w:r w:rsidR="09B1815C" w:rsidRPr="0C856F1D">
        <w:rPr>
          <w:rFonts w:eastAsia="Times New Roman" w:cs="Calibri"/>
          <w:noProof/>
          <w:sz w:val="22"/>
          <w:szCs w:val="22"/>
        </w:rPr>
        <w:t>expected</w:t>
      </w:r>
      <w:r w:rsidR="7C822767" w:rsidRPr="00417E18">
        <w:rPr>
          <w:rFonts w:eastAsia="Times New Roman" w:cs="Calibri"/>
          <w:noProof/>
          <w:sz w:val="22"/>
          <w:szCs w:val="22"/>
        </w:rPr>
        <w:t xml:space="preserve"> to reach at least</w:t>
      </w:r>
      <w:r w:rsidR="7C822767" w:rsidRPr="00417E18">
        <w:rPr>
          <w:rFonts w:eastAsia="Times New Roman" w:cs="Calibri"/>
          <w:b/>
          <w:bCs/>
          <w:noProof/>
          <w:sz w:val="22"/>
          <w:szCs w:val="22"/>
        </w:rPr>
        <w:t xml:space="preserve"> USD 7 bn by 2034</w:t>
      </w:r>
      <w:r w:rsidR="0062051A" w:rsidRPr="006D4910">
        <w:rPr>
          <w:rFonts w:eastAsia="Times New Roman" w:cs="Calibri"/>
          <w:b/>
          <w:bCs/>
          <w:noProof/>
          <w:sz w:val="22"/>
          <w:szCs w:val="22"/>
          <w:vertAlign w:val="superscript"/>
        </w:rPr>
        <w:footnoteReference w:id="53"/>
      </w:r>
      <w:r w:rsidR="44F420B5" w:rsidRPr="006D4910">
        <w:rPr>
          <w:rFonts w:eastAsia="Times New Roman" w:cs="Calibri"/>
          <w:b/>
          <w:bCs/>
          <w:noProof/>
          <w:sz w:val="22"/>
          <w:szCs w:val="22"/>
        </w:rPr>
        <w:t>.</w:t>
      </w:r>
      <w:r w:rsidR="7C822767" w:rsidRPr="00417E18">
        <w:rPr>
          <w:rFonts w:eastAsia="Times New Roman" w:cs="Calibri"/>
          <w:noProof/>
          <w:sz w:val="22"/>
          <w:szCs w:val="22"/>
        </w:rPr>
        <w:t xml:space="preserve"> In November 2024, Analys</w:t>
      </w:r>
      <w:r w:rsidR="00BD2945">
        <w:rPr>
          <w:rFonts w:eastAsia="Times New Roman" w:cs="Calibri"/>
          <w:noProof/>
          <w:sz w:val="22"/>
          <w:szCs w:val="22"/>
        </w:rPr>
        <w:t>y</w:t>
      </w:r>
      <w:r w:rsidR="7C822767" w:rsidRPr="00417E18">
        <w:rPr>
          <w:rFonts w:eastAsia="Times New Roman" w:cs="Calibri"/>
          <w:noProof/>
          <w:sz w:val="22"/>
          <w:szCs w:val="22"/>
        </w:rPr>
        <w:t xml:space="preserve">s Mason predicted even higher figures, up to </w:t>
      </w:r>
      <w:r w:rsidR="44F420B5" w:rsidRPr="00417E18">
        <w:rPr>
          <w:rFonts w:eastAsia="Times New Roman" w:cs="Calibri"/>
          <w:noProof/>
          <w:sz w:val="22"/>
          <w:szCs w:val="22"/>
        </w:rPr>
        <w:t>US</w:t>
      </w:r>
      <w:r w:rsidR="0E1A128E" w:rsidRPr="00417E18">
        <w:rPr>
          <w:rFonts w:eastAsia="Times New Roman" w:cs="Calibri"/>
          <w:noProof/>
          <w:sz w:val="22"/>
          <w:szCs w:val="22"/>
        </w:rPr>
        <w:t>D</w:t>
      </w:r>
      <w:r w:rsidR="7C822767" w:rsidRPr="00417E18">
        <w:rPr>
          <w:rFonts w:eastAsia="Times New Roman" w:cs="Calibri"/>
          <w:noProof/>
          <w:sz w:val="22"/>
          <w:szCs w:val="22"/>
        </w:rPr>
        <w:t xml:space="preserve"> 10 bn in 2029.</w:t>
      </w:r>
    </w:p>
    <w:p w14:paraId="5B1333DC" w14:textId="2DEF4D2A" w:rsidR="0036167C" w:rsidRPr="00417E18" w:rsidRDefault="0036167C" w:rsidP="0066543B">
      <w:pPr>
        <w:spacing w:before="0"/>
        <w:rPr>
          <w:rFonts w:cs="Calibri"/>
          <w:noProof/>
          <w:sz w:val="22"/>
          <w:szCs w:val="22"/>
        </w:rPr>
      </w:pPr>
      <w:r w:rsidRPr="00417E18">
        <w:rPr>
          <w:rFonts w:eastAsia="Times New Roman" w:cs="Calibri"/>
          <w:noProof/>
          <w:sz w:val="22"/>
          <w:szCs w:val="22"/>
        </w:rPr>
        <w:t xml:space="preserve">While the EU has good presence and strengths in the submarine/backbone networks market, it faces strong and increasing pressure from </w:t>
      </w:r>
      <w:r w:rsidR="00952FC0" w:rsidRPr="00417E18">
        <w:rPr>
          <w:rFonts w:eastAsia="Times New Roman" w:cs="Calibri"/>
          <w:noProof/>
          <w:sz w:val="22"/>
          <w:szCs w:val="22"/>
        </w:rPr>
        <w:t xml:space="preserve">global </w:t>
      </w:r>
      <w:r w:rsidR="665950D8" w:rsidRPr="00417E18">
        <w:rPr>
          <w:rFonts w:eastAsia="Times New Roman" w:cs="Calibri"/>
          <w:noProof/>
          <w:sz w:val="22"/>
          <w:szCs w:val="22"/>
        </w:rPr>
        <w:t>competitors</w:t>
      </w:r>
      <w:r w:rsidR="0B570C79" w:rsidRPr="00417E18">
        <w:rPr>
          <w:rFonts w:eastAsia="Times New Roman" w:cs="Calibri"/>
          <w:noProof/>
          <w:sz w:val="22"/>
          <w:szCs w:val="22"/>
        </w:rPr>
        <w:t>.</w:t>
      </w:r>
      <w:r w:rsidR="08E504E5" w:rsidRPr="00417E18">
        <w:rPr>
          <w:rFonts w:eastAsia="Times New Roman" w:cs="Calibri"/>
          <w:noProof/>
          <w:sz w:val="22"/>
          <w:szCs w:val="22"/>
        </w:rPr>
        <w:t xml:space="preserve"> Current market trends show </w:t>
      </w:r>
      <w:r w:rsidR="3C35FBAB" w:rsidRPr="00417E18">
        <w:rPr>
          <w:rFonts w:eastAsia="Times New Roman" w:cs="Calibri"/>
          <w:noProof/>
          <w:sz w:val="22"/>
          <w:szCs w:val="22"/>
        </w:rPr>
        <w:t>a steady decline in</w:t>
      </w:r>
      <w:r w:rsidR="7F8D412C" w:rsidRPr="00417E18">
        <w:rPr>
          <w:rFonts w:eastAsia="Times New Roman" w:cs="Calibri"/>
          <w:noProof/>
          <w:sz w:val="22"/>
          <w:szCs w:val="22"/>
        </w:rPr>
        <w:t xml:space="preserve"> European </w:t>
      </w:r>
      <w:r w:rsidR="50244ABF" w:rsidRPr="00417E18">
        <w:rPr>
          <w:rFonts w:eastAsia="Times New Roman" w:cs="Calibri"/>
          <w:noProof/>
          <w:sz w:val="22"/>
          <w:szCs w:val="22"/>
        </w:rPr>
        <w:t>investment</w:t>
      </w:r>
      <w:r w:rsidR="128FC745" w:rsidRPr="00417E18">
        <w:rPr>
          <w:rFonts w:eastAsia="Times New Roman" w:cs="Calibri"/>
          <w:noProof/>
          <w:sz w:val="22"/>
          <w:szCs w:val="22"/>
        </w:rPr>
        <w:t xml:space="preserve">, leading to the </w:t>
      </w:r>
      <w:r w:rsidR="2CF4070E" w:rsidRPr="00417E18">
        <w:rPr>
          <w:rFonts w:eastAsia="Times New Roman" w:cs="Calibri"/>
          <w:noProof/>
          <w:sz w:val="22"/>
          <w:szCs w:val="22"/>
        </w:rPr>
        <w:t>exit</w:t>
      </w:r>
      <w:r w:rsidR="46AE2C89" w:rsidRPr="00417E18">
        <w:rPr>
          <w:rFonts w:eastAsia="Times New Roman" w:cs="Calibri"/>
          <w:noProof/>
          <w:sz w:val="22"/>
          <w:szCs w:val="22"/>
        </w:rPr>
        <w:t xml:space="preserve"> </w:t>
      </w:r>
      <w:r w:rsidR="3D723870" w:rsidRPr="00417E18">
        <w:rPr>
          <w:rFonts w:eastAsia="Times New Roman" w:cs="Calibri"/>
          <w:noProof/>
          <w:sz w:val="22"/>
          <w:szCs w:val="22"/>
        </w:rPr>
        <w:t xml:space="preserve">of European actors </w:t>
      </w:r>
      <w:r w:rsidR="6003A69F" w:rsidRPr="00417E18">
        <w:rPr>
          <w:rFonts w:eastAsia="Times New Roman" w:cs="Calibri"/>
          <w:noProof/>
          <w:sz w:val="22"/>
          <w:szCs w:val="22"/>
        </w:rPr>
        <w:t xml:space="preserve">and a loss of </w:t>
      </w:r>
      <w:r w:rsidR="0CA3DE24" w:rsidRPr="00417E18">
        <w:rPr>
          <w:rFonts w:eastAsia="Times New Roman" w:cs="Calibri"/>
          <w:noProof/>
          <w:sz w:val="22"/>
          <w:szCs w:val="22"/>
        </w:rPr>
        <w:t>E</w:t>
      </w:r>
      <w:r w:rsidR="3D5A7C9D" w:rsidRPr="00417E18">
        <w:rPr>
          <w:rFonts w:eastAsia="Times New Roman" w:cs="Calibri"/>
          <w:noProof/>
          <w:sz w:val="22"/>
          <w:szCs w:val="22"/>
        </w:rPr>
        <w:t>U</w:t>
      </w:r>
      <w:r w:rsidR="0CA3DE24" w:rsidRPr="00417E18">
        <w:rPr>
          <w:rFonts w:eastAsia="Times New Roman" w:cs="Calibri"/>
          <w:noProof/>
          <w:sz w:val="22"/>
          <w:szCs w:val="22"/>
        </w:rPr>
        <w:t xml:space="preserve"> market</w:t>
      </w:r>
      <w:r w:rsidR="09B1815C" w:rsidRPr="0C856F1D">
        <w:rPr>
          <w:rFonts w:eastAsia="Times New Roman" w:cs="Calibri"/>
          <w:noProof/>
          <w:sz w:val="22"/>
          <w:szCs w:val="22"/>
        </w:rPr>
        <w:t xml:space="preserve"> share</w:t>
      </w:r>
      <w:r w:rsidR="00C86E16" w:rsidRPr="00417E18">
        <w:rPr>
          <w:rStyle w:val="FootnoteReference"/>
          <w:rFonts w:eastAsia="Times New Roman" w:cs="Calibri"/>
          <w:noProof/>
          <w:sz w:val="22"/>
          <w:szCs w:val="22"/>
        </w:rPr>
        <w:footnoteReference w:id="54"/>
      </w:r>
      <w:r w:rsidR="7744F4ED" w:rsidRPr="00417E18">
        <w:rPr>
          <w:rFonts w:eastAsia="Times New Roman" w:cs="Calibri"/>
          <w:noProof/>
          <w:sz w:val="22"/>
          <w:szCs w:val="22"/>
        </w:rPr>
        <w:t>.</w:t>
      </w:r>
      <w:r w:rsidR="6B728A93" w:rsidRPr="00417E18">
        <w:rPr>
          <w:rFonts w:eastAsia="Times New Roman" w:cs="Calibri"/>
          <w:noProof/>
          <w:sz w:val="22"/>
          <w:szCs w:val="22"/>
        </w:rPr>
        <w:t xml:space="preserve"> Meanwhile</w:t>
      </w:r>
      <w:r w:rsidR="4B71264E" w:rsidRPr="00417E18">
        <w:rPr>
          <w:rFonts w:eastAsia="Times New Roman" w:cs="Calibri"/>
          <w:noProof/>
          <w:sz w:val="22"/>
          <w:szCs w:val="22"/>
        </w:rPr>
        <w:t xml:space="preserve">, the </w:t>
      </w:r>
      <w:r w:rsidRPr="00417E18">
        <w:rPr>
          <w:rFonts w:eastAsia="Times New Roman" w:cs="Calibri"/>
          <w:noProof/>
          <w:sz w:val="22"/>
          <w:szCs w:val="22"/>
        </w:rPr>
        <w:t xml:space="preserve">US continues to invest in </w:t>
      </w:r>
      <w:r w:rsidRPr="00417E18">
        <w:rPr>
          <w:rFonts w:eastAsia="Times New Roman" w:cs="Calibri"/>
          <w:b/>
          <w:bCs/>
          <w:noProof/>
          <w:sz w:val="22"/>
          <w:szCs w:val="22"/>
        </w:rPr>
        <w:t>high-capacity backbone networks</w:t>
      </w:r>
      <w:r w:rsidRPr="00417E18">
        <w:rPr>
          <w:rFonts w:eastAsia="Times New Roman" w:cs="Calibri"/>
          <w:noProof/>
          <w:sz w:val="22"/>
          <w:szCs w:val="22"/>
        </w:rPr>
        <w:t xml:space="preserve">, driven largely by hyperscalers, content providers, and cloud companies. </w:t>
      </w:r>
    </w:p>
    <w:p w14:paraId="0AB977C9" w14:textId="6246D37A" w:rsidR="0036167C" w:rsidRPr="00417E18" w:rsidRDefault="0036167C" w:rsidP="0066543B">
      <w:pPr>
        <w:spacing w:before="0"/>
        <w:rPr>
          <w:rFonts w:cs="Calibri"/>
          <w:noProof/>
          <w:sz w:val="22"/>
          <w:szCs w:val="22"/>
        </w:rPr>
      </w:pPr>
      <w:r w:rsidRPr="00417E18">
        <w:rPr>
          <w:rFonts w:eastAsia="Times New Roman" w:cs="Calibri"/>
          <w:noProof/>
          <w:sz w:val="22"/>
          <w:szCs w:val="22"/>
        </w:rPr>
        <w:t xml:space="preserve">Between 2019 and 2023 the amount of international submarine cable capacity deployed by GAFAM </w:t>
      </w:r>
      <w:r w:rsidR="7A1FEC0A" w:rsidRPr="00417E18">
        <w:rPr>
          <w:rFonts w:eastAsia="Times New Roman" w:cs="Calibri"/>
          <w:noProof/>
          <w:sz w:val="22"/>
          <w:szCs w:val="22"/>
        </w:rPr>
        <w:t xml:space="preserve">(Google, Apple, Facebook, Amazon, </w:t>
      </w:r>
      <w:r w:rsidR="25C5EFDF" w:rsidRPr="00417E18">
        <w:rPr>
          <w:rFonts w:eastAsia="Times New Roman" w:cs="Calibri"/>
          <w:noProof/>
          <w:sz w:val="22"/>
          <w:szCs w:val="22"/>
        </w:rPr>
        <w:t>Microsoft) quadrupled</w:t>
      </w:r>
      <w:r w:rsidR="0FA83BB4" w:rsidRPr="00417E18">
        <w:rPr>
          <w:rFonts w:eastAsia="Times New Roman" w:cs="Calibri"/>
          <w:noProof/>
          <w:sz w:val="22"/>
          <w:szCs w:val="22"/>
        </w:rPr>
        <w:t>.</w:t>
      </w:r>
      <w:r w:rsidRPr="00417E18">
        <w:rPr>
          <w:rFonts w:eastAsia="Times New Roman" w:cs="Calibri"/>
          <w:noProof/>
          <w:sz w:val="22"/>
          <w:szCs w:val="22"/>
        </w:rPr>
        <w:t xml:space="preserve"> Today, Google, Meta, and Amazon own </w:t>
      </w:r>
      <w:hyperlink r:id="rId27">
        <w:r w:rsidRPr="00417E18">
          <w:rPr>
            <w:rStyle w:val="Hyperlink"/>
            <w:rFonts w:eastAsia="Times New Roman" w:cs="Calibri"/>
            <w:noProof/>
            <w:color w:val="467886"/>
            <w:sz w:val="22"/>
            <w:szCs w:val="22"/>
          </w:rPr>
          <w:t>59 international submarine cables</w:t>
        </w:r>
      </w:hyperlink>
      <w:r w:rsidRPr="00417E18">
        <w:rPr>
          <w:rFonts w:eastAsia="Times New Roman" w:cs="Calibri"/>
          <w:noProof/>
          <w:sz w:val="22"/>
          <w:szCs w:val="22"/>
        </w:rPr>
        <w:t xml:space="preserve">, up from just 20 in 2017, </w:t>
      </w:r>
      <w:r w:rsidR="00D160B0">
        <w:rPr>
          <w:rFonts w:eastAsia="Times New Roman" w:cs="Calibri"/>
          <w:noProof/>
          <w:sz w:val="22"/>
          <w:szCs w:val="22"/>
        </w:rPr>
        <w:t>meaning</w:t>
      </w:r>
      <w:r w:rsidR="00D160B0" w:rsidRPr="00417E18">
        <w:rPr>
          <w:rFonts w:eastAsia="Times New Roman" w:cs="Calibri"/>
          <w:noProof/>
          <w:sz w:val="22"/>
          <w:szCs w:val="22"/>
        </w:rPr>
        <w:t xml:space="preserve"> </w:t>
      </w:r>
      <w:r w:rsidRPr="00417E18">
        <w:rPr>
          <w:rFonts w:eastAsia="Times New Roman" w:cs="Calibri"/>
          <w:noProof/>
          <w:sz w:val="22"/>
          <w:szCs w:val="22"/>
        </w:rPr>
        <w:t xml:space="preserve">that the bulk of </w:t>
      </w:r>
      <w:r w:rsidRPr="00417E18">
        <w:rPr>
          <w:rFonts w:eastAsia="Times New Roman" w:cs="Calibri"/>
          <w:b/>
          <w:bCs/>
          <w:noProof/>
          <w:sz w:val="22"/>
          <w:szCs w:val="22"/>
        </w:rPr>
        <w:t>capacity is now held by non-EU controlled companies.</w:t>
      </w:r>
      <w:r w:rsidRPr="00417E18">
        <w:rPr>
          <w:rFonts w:eastAsia="Times New Roman" w:cs="Calibri"/>
          <w:noProof/>
          <w:sz w:val="22"/>
          <w:szCs w:val="22"/>
        </w:rPr>
        <w:t xml:space="preserve"> </w:t>
      </w:r>
    </w:p>
    <w:p w14:paraId="6BA6DA2D" w14:textId="2859F31D" w:rsidR="0036167C" w:rsidRPr="00417E18" w:rsidRDefault="0036167C" w:rsidP="0066543B">
      <w:pPr>
        <w:spacing w:before="0"/>
        <w:rPr>
          <w:rFonts w:eastAsia="Times New Roman" w:cs="Calibri"/>
          <w:noProof/>
          <w:sz w:val="22"/>
          <w:szCs w:val="22"/>
        </w:rPr>
      </w:pPr>
      <w:r w:rsidRPr="00417E18">
        <w:rPr>
          <w:rFonts w:eastAsia="Times New Roman" w:cs="Calibri"/>
          <w:noProof/>
          <w:sz w:val="22"/>
          <w:szCs w:val="22"/>
        </w:rPr>
        <w:t xml:space="preserve">In terms of cable manufacturing and deployment, the main US player, SubCom, has the greatest market share worldwide, followed by </w:t>
      </w:r>
      <w:r w:rsidR="3094D700" w:rsidRPr="00417E18">
        <w:rPr>
          <w:rFonts w:eastAsia="Times New Roman" w:cs="Calibri"/>
          <w:noProof/>
          <w:sz w:val="22"/>
          <w:szCs w:val="22"/>
        </w:rPr>
        <w:t xml:space="preserve">French-owned </w:t>
      </w:r>
      <w:r w:rsidRPr="00417E18">
        <w:rPr>
          <w:rFonts w:eastAsia="Times New Roman" w:cs="Calibri"/>
          <w:noProof/>
          <w:sz w:val="22"/>
          <w:szCs w:val="22"/>
        </w:rPr>
        <w:t xml:space="preserve">Alcatel Submarine Networks </w:t>
      </w:r>
      <w:r w:rsidR="6AD0D057" w:rsidRPr="00417E18">
        <w:rPr>
          <w:rFonts w:eastAsia="Times New Roman" w:cs="Calibri"/>
          <w:noProof/>
          <w:sz w:val="22"/>
          <w:szCs w:val="22"/>
        </w:rPr>
        <w:t xml:space="preserve">(ASN) </w:t>
      </w:r>
      <w:r w:rsidRPr="00417E18">
        <w:rPr>
          <w:rFonts w:eastAsia="Times New Roman" w:cs="Calibri"/>
          <w:noProof/>
          <w:sz w:val="22"/>
          <w:szCs w:val="22"/>
        </w:rPr>
        <w:t xml:space="preserve">and Japan’s NEC. China’s Huawei Marine Networks </w:t>
      </w:r>
      <w:r w:rsidR="7581AE02" w:rsidRPr="00417E18">
        <w:rPr>
          <w:rFonts w:eastAsia="Times New Roman" w:cs="Calibri"/>
          <w:noProof/>
          <w:sz w:val="22"/>
          <w:szCs w:val="22"/>
        </w:rPr>
        <w:t>(HMN)</w:t>
      </w:r>
      <w:r w:rsidR="036FA165" w:rsidRPr="00417E18">
        <w:rPr>
          <w:rFonts w:eastAsia="Times New Roman" w:cs="Calibri"/>
          <w:noProof/>
          <w:sz w:val="22"/>
          <w:szCs w:val="22"/>
        </w:rPr>
        <w:t xml:space="preserve"> </w:t>
      </w:r>
      <w:r w:rsidRPr="00417E18">
        <w:rPr>
          <w:rFonts w:eastAsia="Times New Roman" w:cs="Calibri"/>
          <w:noProof/>
          <w:sz w:val="22"/>
          <w:szCs w:val="22"/>
        </w:rPr>
        <w:t xml:space="preserve">is lagging behind but </w:t>
      </w:r>
      <w:r w:rsidR="09B1815C" w:rsidRPr="00417E18">
        <w:rPr>
          <w:rFonts w:eastAsia="Times New Roman" w:cs="Calibri"/>
          <w:noProof/>
          <w:sz w:val="22"/>
          <w:szCs w:val="22"/>
        </w:rPr>
        <w:t>is</w:t>
      </w:r>
      <w:r w:rsidRPr="00417E18">
        <w:rPr>
          <w:rFonts w:eastAsia="Times New Roman" w:cs="Calibri"/>
          <w:noProof/>
          <w:sz w:val="22"/>
          <w:szCs w:val="22"/>
        </w:rPr>
        <w:t xml:space="preserve"> gaining market </w:t>
      </w:r>
      <w:r w:rsidR="4A481684" w:rsidRPr="0C856F1D">
        <w:rPr>
          <w:rFonts w:eastAsia="Times New Roman" w:cs="Calibri"/>
          <w:noProof/>
          <w:sz w:val="22"/>
          <w:szCs w:val="22"/>
        </w:rPr>
        <w:t xml:space="preserve">share </w:t>
      </w:r>
      <w:r w:rsidR="3F08828D" w:rsidRPr="00417E18">
        <w:rPr>
          <w:rFonts w:eastAsia="Times New Roman" w:cs="Calibri"/>
          <w:noProof/>
          <w:sz w:val="22"/>
          <w:szCs w:val="22"/>
        </w:rPr>
        <w:t>rapidly.</w:t>
      </w:r>
      <w:r w:rsidRPr="00417E18">
        <w:rPr>
          <w:rFonts w:eastAsia="Times New Roman" w:cs="Calibri"/>
          <w:noProof/>
          <w:sz w:val="22"/>
          <w:szCs w:val="22"/>
        </w:rPr>
        <w:t xml:space="preserve"> Additionally, the US and Japan have recently announced massive investments in deployment capacities (including icebreaker vessels).</w:t>
      </w:r>
      <w:r w:rsidR="3EF2005D" w:rsidRPr="00417E18">
        <w:rPr>
          <w:rFonts w:eastAsia="Times New Roman" w:cs="Calibri"/>
          <w:noProof/>
          <w:sz w:val="22"/>
          <w:szCs w:val="22"/>
        </w:rPr>
        <w:t xml:space="preserve"> </w:t>
      </w:r>
      <w:r w:rsidR="3EF2005D" w:rsidRPr="5FCDC78E">
        <w:rPr>
          <w:rFonts w:eastAsia="Calibri" w:cs="Calibri"/>
          <w:noProof/>
          <w:color w:val="000000" w:themeColor="text1"/>
          <w:sz w:val="22"/>
          <w:szCs w:val="22"/>
        </w:rPr>
        <w:t>The EU Risk Assessment published by the Commission in October 2025 provides a full analysi</w:t>
      </w:r>
      <w:r w:rsidR="1F2C3160" w:rsidRPr="5FCDC78E">
        <w:rPr>
          <w:rFonts w:eastAsia="Calibri" w:cs="Calibri"/>
          <w:noProof/>
          <w:color w:val="000000" w:themeColor="text1"/>
          <w:sz w:val="22"/>
          <w:szCs w:val="22"/>
        </w:rPr>
        <w:t>s of the market and stakeholder ecosystem</w:t>
      </w:r>
      <w:r>
        <w:rPr>
          <w:rStyle w:val="FootnoteReference"/>
          <w:rFonts w:eastAsia="Calibri" w:cs="Calibri"/>
          <w:noProof/>
          <w:color w:val="000000" w:themeColor="text1"/>
          <w:sz w:val="22"/>
          <w:szCs w:val="22"/>
        </w:rPr>
        <w:footnoteReference w:id="55"/>
      </w:r>
      <w:r w:rsidR="2F037946" w:rsidRPr="00417E18">
        <w:rPr>
          <w:rFonts w:eastAsia="Times New Roman" w:cs="Calibri"/>
          <w:noProof/>
          <w:sz w:val="22"/>
          <w:szCs w:val="22"/>
        </w:rPr>
        <w:t>.</w:t>
      </w:r>
      <w:r w:rsidR="3EF2005D" w:rsidRPr="00417E18">
        <w:rPr>
          <w:rFonts w:eastAsia="Times New Roman" w:cs="Calibri"/>
          <w:noProof/>
          <w:sz w:val="22"/>
          <w:szCs w:val="22"/>
        </w:rPr>
        <w:t xml:space="preserve"> </w:t>
      </w:r>
    </w:p>
    <w:p w14:paraId="187CB971" w14:textId="78090766" w:rsidR="00EE4F15" w:rsidRPr="00417E18" w:rsidRDefault="7368CE19" w:rsidP="0066543B">
      <w:pPr>
        <w:spacing w:before="0"/>
        <w:rPr>
          <w:rFonts w:cs="Calibri"/>
          <w:noProof/>
          <w:sz w:val="22"/>
          <w:szCs w:val="22"/>
        </w:rPr>
      </w:pPr>
      <w:r w:rsidRPr="5FCDC78E">
        <w:rPr>
          <w:rFonts w:cs="Calibri"/>
          <w:noProof/>
          <w:sz w:val="22"/>
          <w:szCs w:val="22"/>
        </w:rPr>
        <w:t>Given</w:t>
      </w:r>
      <w:r w:rsidR="00B36B66" w:rsidRPr="00417E18">
        <w:rPr>
          <w:rFonts w:cs="Calibri"/>
          <w:noProof/>
          <w:sz w:val="22"/>
          <w:szCs w:val="22"/>
        </w:rPr>
        <w:t xml:space="preserve"> their criticality and of the rapidly evolving markets that determine network topogra</w:t>
      </w:r>
      <w:r w:rsidR="00BE17F0" w:rsidRPr="00417E18">
        <w:rPr>
          <w:rFonts w:cs="Calibri"/>
          <w:noProof/>
          <w:sz w:val="22"/>
          <w:szCs w:val="22"/>
        </w:rPr>
        <w:t xml:space="preserve">phy, capacity, but also resilience, </w:t>
      </w:r>
      <w:r w:rsidR="004913AA" w:rsidRPr="00417E18">
        <w:rPr>
          <w:rFonts w:cs="Calibri"/>
          <w:noProof/>
          <w:sz w:val="22"/>
          <w:szCs w:val="22"/>
        </w:rPr>
        <w:t xml:space="preserve">security and control, the EU has </w:t>
      </w:r>
      <w:r w:rsidR="68FA2B6C" w:rsidRPr="5FCDC78E">
        <w:rPr>
          <w:rFonts w:cs="Calibri"/>
          <w:noProof/>
          <w:sz w:val="22"/>
          <w:szCs w:val="22"/>
        </w:rPr>
        <w:t>pa</w:t>
      </w:r>
      <w:r w:rsidRPr="5FCDC78E">
        <w:rPr>
          <w:rFonts w:cs="Calibri"/>
          <w:noProof/>
          <w:sz w:val="22"/>
          <w:szCs w:val="22"/>
        </w:rPr>
        <w:t>id</w:t>
      </w:r>
      <w:r w:rsidR="004913AA" w:rsidRPr="00417E18">
        <w:rPr>
          <w:rFonts w:cs="Calibri"/>
          <w:noProof/>
          <w:sz w:val="22"/>
          <w:szCs w:val="22"/>
        </w:rPr>
        <w:t xml:space="preserve"> increasing attention to backbone networks and in particular </w:t>
      </w:r>
      <w:r w:rsidR="000650A3" w:rsidRPr="5FCDC78E">
        <w:rPr>
          <w:rFonts w:cs="Calibri"/>
          <w:b/>
          <w:noProof/>
          <w:sz w:val="22"/>
          <w:szCs w:val="22"/>
        </w:rPr>
        <w:t>submarine cables</w:t>
      </w:r>
      <w:r w:rsidR="004619E5" w:rsidRPr="5FCDC78E">
        <w:rPr>
          <w:rFonts w:cs="Calibri"/>
          <w:b/>
          <w:noProof/>
          <w:sz w:val="22"/>
          <w:szCs w:val="22"/>
        </w:rPr>
        <w:t>,</w:t>
      </w:r>
      <w:r w:rsidR="004619E5" w:rsidRPr="00417E18">
        <w:rPr>
          <w:rFonts w:cs="Calibri"/>
          <w:noProof/>
          <w:sz w:val="22"/>
          <w:szCs w:val="22"/>
        </w:rPr>
        <w:t xml:space="preserve"> </w:t>
      </w:r>
      <w:r w:rsidR="00667405" w:rsidRPr="00417E18">
        <w:rPr>
          <w:rFonts w:cs="Calibri"/>
          <w:noProof/>
          <w:sz w:val="22"/>
          <w:szCs w:val="22"/>
        </w:rPr>
        <w:t>proposing</w:t>
      </w:r>
      <w:r w:rsidR="004619E5" w:rsidRPr="00417E18">
        <w:rPr>
          <w:rFonts w:cs="Calibri"/>
          <w:noProof/>
          <w:sz w:val="22"/>
          <w:szCs w:val="22"/>
        </w:rPr>
        <w:t xml:space="preserve"> a</w:t>
      </w:r>
      <w:r w:rsidR="00EE4F15" w:rsidRPr="00417E18">
        <w:rPr>
          <w:rFonts w:cs="Calibri"/>
          <w:noProof/>
          <w:sz w:val="22"/>
          <w:szCs w:val="22"/>
        </w:rPr>
        <w:t xml:space="preserve"> comprehensive policy approach, including regulatory and funding measures. </w:t>
      </w:r>
    </w:p>
    <w:p w14:paraId="575ABCFD" w14:textId="5EDE077C" w:rsidR="006C528B" w:rsidRPr="00B9577A" w:rsidRDefault="05FE277F" w:rsidP="0066543B">
      <w:pPr>
        <w:spacing w:before="0"/>
        <w:rPr>
          <w:rFonts w:cs="Calibri"/>
          <w:noProof/>
          <w:sz w:val="22"/>
          <w:szCs w:val="22"/>
        </w:rPr>
      </w:pPr>
      <w:r w:rsidRPr="5FCDC78E">
        <w:rPr>
          <w:rFonts w:cs="Calibri"/>
          <w:noProof/>
          <w:sz w:val="22"/>
          <w:szCs w:val="22"/>
        </w:rPr>
        <w:t>On the</w:t>
      </w:r>
      <w:r w:rsidR="0065424B" w:rsidRPr="00417E18">
        <w:rPr>
          <w:rFonts w:cs="Calibri"/>
          <w:noProof/>
          <w:sz w:val="22"/>
          <w:szCs w:val="22"/>
        </w:rPr>
        <w:t xml:space="preserve"> </w:t>
      </w:r>
      <w:r w:rsidR="3C9844C6" w:rsidRPr="00417E18">
        <w:rPr>
          <w:rFonts w:cs="Calibri"/>
          <w:noProof/>
          <w:sz w:val="22"/>
          <w:szCs w:val="22"/>
        </w:rPr>
        <w:t>policy</w:t>
      </w:r>
      <w:r w:rsidRPr="5FCDC78E">
        <w:rPr>
          <w:rFonts w:cs="Calibri"/>
          <w:noProof/>
          <w:sz w:val="22"/>
          <w:szCs w:val="22"/>
        </w:rPr>
        <w:t xml:space="preserve"> side</w:t>
      </w:r>
      <w:r w:rsidR="6ED38C7D" w:rsidRPr="5FCDC78E">
        <w:rPr>
          <w:rFonts w:cs="Calibri"/>
          <w:noProof/>
          <w:sz w:val="22"/>
          <w:szCs w:val="22"/>
        </w:rPr>
        <w:t>,</w:t>
      </w:r>
      <w:r w:rsidR="76651AEF" w:rsidRPr="5FCDC78E">
        <w:rPr>
          <w:rFonts w:cs="Calibri"/>
          <w:noProof/>
          <w:sz w:val="22"/>
          <w:szCs w:val="22"/>
        </w:rPr>
        <w:t xml:space="preserve"> the</w:t>
      </w:r>
      <w:r w:rsidR="6ED38C7D" w:rsidRPr="5FCDC78E">
        <w:rPr>
          <w:rFonts w:cs="Calibri"/>
          <w:noProof/>
          <w:sz w:val="22"/>
          <w:szCs w:val="22"/>
        </w:rPr>
        <w:t xml:space="preserve"> </w:t>
      </w:r>
      <w:r w:rsidR="5555287D" w:rsidRPr="5FCDC78E">
        <w:rPr>
          <w:rFonts w:cs="Calibri"/>
          <w:noProof/>
          <w:sz w:val="22"/>
          <w:szCs w:val="22"/>
        </w:rPr>
        <w:t>EU Action Plan on Cable Security</w:t>
      </w:r>
      <w:r w:rsidR="5BF45B00" w:rsidRPr="5FCDC78E">
        <w:rPr>
          <w:rFonts w:cs="Calibri"/>
          <w:noProof/>
          <w:sz w:val="22"/>
          <w:szCs w:val="22"/>
        </w:rPr>
        <w:t xml:space="preserve"> </w:t>
      </w:r>
      <w:r w:rsidR="262996D3" w:rsidRPr="5FCDC78E">
        <w:rPr>
          <w:noProof/>
          <w:sz w:val="22"/>
          <w:szCs w:val="22"/>
        </w:rPr>
        <w:t>has</w:t>
      </w:r>
      <w:r w:rsidR="00730AE8" w:rsidRPr="5FCDC78E">
        <w:rPr>
          <w:noProof/>
          <w:sz w:val="22"/>
          <w:szCs w:val="22"/>
        </w:rPr>
        <w:t xml:space="preserve"> </w:t>
      </w:r>
      <w:r w:rsidR="00730AE8" w:rsidRPr="00417E18">
        <w:rPr>
          <w:rFonts w:cs="Calibri"/>
          <w:noProof/>
          <w:sz w:val="22"/>
          <w:szCs w:val="22"/>
        </w:rPr>
        <w:t xml:space="preserve">outlined a series of coordinated actions to address </w:t>
      </w:r>
      <w:r w:rsidR="169E2AE3" w:rsidRPr="00417E18">
        <w:rPr>
          <w:rFonts w:cs="Calibri"/>
          <w:noProof/>
          <w:sz w:val="22"/>
          <w:szCs w:val="22"/>
        </w:rPr>
        <w:t xml:space="preserve">risks </w:t>
      </w:r>
      <w:r w:rsidR="00730AE8" w:rsidRPr="00417E18">
        <w:rPr>
          <w:rFonts w:cs="Calibri"/>
          <w:noProof/>
          <w:sz w:val="22"/>
          <w:szCs w:val="22"/>
        </w:rPr>
        <w:t xml:space="preserve">and enhance the </w:t>
      </w:r>
      <w:r w:rsidR="75B3BA7E" w:rsidRPr="00417E18">
        <w:rPr>
          <w:rFonts w:cs="Calibri"/>
          <w:noProof/>
          <w:sz w:val="22"/>
          <w:szCs w:val="22"/>
        </w:rPr>
        <w:t>security and</w:t>
      </w:r>
      <w:r w:rsidR="00730AE8" w:rsidRPr="00417E18">
        <w:rPr>
          <w:rFonts w:cs="Calibri"/>
          <w:noProof/>
          <w:sz w:val="22"/>
          <w:szCs w:val="22"/>
        </w:rPr>
        <w:t xml:space="preserve"> resilience of data and power submarine cable infrastructures, across </w:t>
      </w:r>
      <w:r w:rsidR="5B1ECCA5" w:rsidRPr="5FCDC78E">
        <w:rPr>
          <w:rFonts w:cs="Calibri"/>
          <w:noProof/>
          <w:sz w:val="22"/>
          <w:szCs w:val="22"/>
        </w:rPr>
        <w:t xml:space="preserve">the </w:t>
      </w:r>
      <w:r w:rsidR="0E73A82D" w:rsidRPr="5FCDC78E">
        <w:rPr>
          <w:rFonts w:cs="Calibri"/>
          <w:noProof/>
          <w:sz w:val="22"/>
          <w:szCs w:val="22"/>
        </w:rPr>
        <w:t>full</w:t>
      </w:r>
      <w:r w:rsidR="00730AE8" w:rsidRPr="00417E18">
        <w:rPr>
          <w:rFonts w:cs="Calibri"/>
          <w:noProof/>
          <w:sz w:val="22"/>
          <w:szCs w:val="22"/>
        </w:rPr>
        <w:t xml:space="preserve"> resilience cycle: prevention, detection, response and recovery, and deterrence</w:t>
      </w:r>
      <w:r w:rsidR="003B48F0" w:rsidRPr="5FCDC78E">
        <w:rPr>
          <w:rFonts w:cs="Calibri"/>
          <w:noProof/>
          <w:sz w:val="22"/>
          <w:szCs w:val="22"/>
          <w:vertAlign w:val="superscript"/>
        </w:rPr>
        <w:footnoteReference w:id="56"/>
      </w:r>
      <w:r w:rsidR="5B1ECCA5" w:rsidRPr="5FCDC78E">
        <w:rPr>
          <w:rFonts w:cs="Calibri"/>
          <w:noProof/>
          <w:sz w:val="22"/>
          <w:szCs w:val="22"/>
        </w:rPr>
        <w:t>.</w:t>
      </w:r>
      <w:r w:rsidR="705D6F03" w:rsidRPr="5FCDC78E">
        <w:rPr>
          <w:rFonts w:cs="Calibri"/>
          <w:noProof/>
          <w:sz w:val="22"/>
          <w:szCs w:val="22"/>
        </w:rPr>
        <w:t xml:space="preserve"> </w:t>
      </w:r>
      <w:r w:rsidR="006C528B" w:rsidRPr="00417E18">
        <w:rPr>
          <w:rFonts w:cs="Calibri"/>
          <w:noProof/>
          <w:sz w:val="22"/>
          <w:szCs w:val="22"/>
        </w:rPr>
        <w:t xml:space="preserve">To support the implementation of the </w:t>
      </w:r>
      <w:r w:rsidR="09EE69A2" w:rsidRPr="5FCDC78E">
        <w:rPr>
          <w:rFonts w:cs="Calibri"/>
          <w:noProof/>
          <w:sz w:val="22"/>
          <w:szCs w:val="22"/>
        </w:rPr>
        <w:t xml:space="preserve">2024 </w:t>
      </w:r>
      <w:r w:rsidR="006C528B" w:rsidRPr="00417E18">
        <w:rPr>
          <w:rFonts w:cs="Calibri"/>
          <w:noProof/>
          <w:sz w:val="22"/>
          <w:szCs w:val="22"/>
        </w:rPr>
        <w:t>Cable Recommendation</w:t>
      </w:r>
      <w:r w:rsidR="00B8514A">
        <w:rPr>
          <w:rStyle w:val="FootnoteReference"/>
          <w:rFonts w:cs="Calibri"/>
          <w:noProof/>
          <w:sz w:val="22"/>
          <w:szCs w:val="22"/>
        </w:rPr>
        <w:footnoteReference w:id="57"/>
      </w:r>
      <w:r w:rsidR="006C528B" w:rsidRPr="00417E18">
        <w:rPr>
          <w:rFonts w:cs="Calibri"/>
          <w:noProof/>
          <w:sz w:val="22"/>
          <w:szCs w:val="22"/>
        </w:rPr>
        <w:t xml:space="preserve"> and</w:t>
      </w:r>
      <w:r w:rsidR="2D1CE708" w:rsidRPr="5FCDC78E">
        <w:rPr>
          <w:rFonts w:cs="Calibri"/>
          <w:noProof/>
          <w:sz w:val="22"/>
          <w:szCs w:val="22"/>
        </w:rPr>
        <w:t xml:space="preserve"> </w:t>
      </w:r>
      <w:r w:rsidR="20032A76" w:rsidRPr="5FCDC78E">
        <w:rPr>
          <w:rFonts w:cs="Calibri"/>
          <w:noProof/>
          <w:sz w:val="22"/>
          <w:szCs w:val="22"/>
        </w:rPr>
        <w:t>2025</w:t>
      </w:r>
      <w:r w:rsidR="006C528B" w:rsidRPr="00417E18">
        <w:rPr>
          <w:rFonts w:cs="Calibri"/>
          <w:noProof/>
          <w:sz w:val="22"/>
          <w:szCs w:val="22"/>
        </w:rPr>
        <w:t xml:space="preserve"> Action Plan, the Commission set up the Submarine Cable Infrastructures Expert Group</w:t>
      </w:r>
      <w:r w:rsidR="2FDFCE1E" w:rsidRPr="00417E18">
        <w:rPr>
          <w:rFonts w:cs="Calibri"/>
          <w:noProof/>
          <w:sz w:val="22"/>
          <w:szCs w:val="22"/>
        </w:rPr>
        <w:t xml:space="preserve"> and published </w:t>
      </w:r>
      <w:r w:rsidR="5FEABA4B" w:rsidRPr="5FCDC78E">
        <w:rPr>
          <w:rFonts w:cs="Calibri"/>
          <w:noProof/>
          <w:sz w:val="22"/>
          <w:szCs w:val="22"/>
        </w:rPr>
        <w:t xml:space="preserve">in October 2025, </w:t>
      </w:r>
      <w:r w:rsidR="754B2D4D" w:rsidRPr="5FCDC78E">
        <w:rPr>
          <w:rFonts w:cs="Calibri"/>
          <w:noProof/>
          <w:sz w:val="22"/>
          <w:szCs w:val="22"/>
        </w:rPr>
        <w:t>its</w:t>
      </w:r>
      <w:r w:rsidR="2D1CE708" w:rsidRPr="5FCDC78E">
        <w:rPr>
          <w:rFonts w:cs="Calibri"/>
          <w:noProof/>
          <w:sz w:val="22"/>
          <w:szCs w:val="22"/>
        </w:rPr>
        <w:t> </w:t>
      </w:r>
      <w:r w:rsidR="2B6F65E9" w:rsidRPr="5FCDC78E">
        <w:rPr>
          <w:rFonts w:cs="Calibri"/>
          <w:noProof/>
          <w:sz w:val="22"/>
          <w:szCs w:val="22"/>
        </w:rPr>
        <w:t xml:space="preserve">EU risk assessment (based on threats, vulnerabilities and dependencies), </w:t>
      </w:r>
      <w:r w:rsidR="2B6F65E9" w:rsidRPr="00B9577A">
        <w:rPr>
          <w:rFonts w:cs="Calibri"/>
          <w:noProof/>
          <w:sz w:val="22"/>
          <w:szCs w:val="22"/>
        </w:rPr>
        <w:t>including mapping and stress test guidance</w:t>
      </w:r>
      <w:r w:rsidR="006C528B" w:rsidRPr="00B9577A">
        <w:rPr>
          <w:rFonts w:cs="Calibri"/>
          <w:noProof/>
          <w:sz w:val="22"/>
          <w:szCs w:val="22"/>
        </w:rPr>
        <w:t> on the security and resilience of EU submarine cable infrastructures</w:t>
      </w:r>
      <w:r w:rsidR="00824C15" w:rsidRPr="00B9577A">
        <w:rPr>
          <w:rStyle w:val="FootnoteReference"/>
          <w:rFonts w:cs="Calibri"/>
          <w:noProof/>
          <w:sz w:val="22"/>
          <w:szCs w:val="22"/>
        </w:rPr>
        <w:footnoteReference w:id="58"/>
      </w:r>
      <w:r w:rsidR="006C528B" w:rsidRPr="00B9577A">
        <w:rPr>
          <w:rFonts w:cs="Calibri"/>
          <w:noProof/>
          <w:sz w:val="22"/>
          <w:szCs w:val="22"/>
        </w:rPr>
        <w:t>.</w:t>
      </w:r>
    </w:p>
    <w:p w14:paraId="22D0A982" w14:textId="7096F966" w:rsidR="00EE4F15" w:rsidRPr="00417E18" w:rsidRDefault="006C528B" w:rsidP="0066543B">
      <w:pPr>
        <w:spacing w:before="0"/>
        <w:rPr>
          <w:rFonts w:cs="Calibri"/>
          <w:noProof/>
          <w:sz w:val="22"/>
          <w:szCs w:val="22"/>
        </w:rPr>
      </w:pPr>
      <w:r w:rsidRPr="00B9577A" w:rsidDel="00071444">
        <w:rPr>
          <w:rFonts w:cs="Calibri"/>
          <w:noProof/>
          <w:sz w:val="22"/>
          <w:szCs w:val="22"/>
        </w:rPr>
        <w:t>Furthermore</w:t>
      </w:r>
      <w:r w:rsidR="00071444" w:rsidRPr="00B9577A">
        <w:rPr>
          <w:rFonts w:cs="Calibri"/>
          <w:noProof/>
          <w:sz w:val="22"/>
          <w:szCs w:val="22"/>
        </w:rPr>
        <w:t>,</w:t>
      </w:r>
      <w:r w:rsidRPr="00B9577A">
        <w:rPr>
          <w:rFonts w:cs="Calibri"/>
          <w:noProof/>
          <w:sz w:val="22"/>
          <w:szCs w:val="22"/>
        </w:rPr>
        <w:t xml:space="preserve"> on 5 February 2026 the Commission published </w:t>
      </w:r>
      <w:r w:rsidR="00EB04D4" w:rsidRPr="00B9577A">
        <w:rPr>
          <w:rFonts w:cs="Calibri"/>
          <w:noProof/>
          <w:sz w:val="22"/>
          <w:szCs w:val="22"/>
        </w:rPr>
        <w:t>the Cable Security Toolbox, which recommends a set of mitigation measures to address the identified risk scenarios</w:t>
      </w:r>
      <w:r w:rsidR="484A4B78" w:rsidRPr="00B9577A">
        <w:rPr>
          <w:rFonts w:cs="Calibri"/>
          <w:noProof/>
          <w:sz w:val="22"/>
          <w:szCs w:val="22"/>
        </w:rPr>
        <w:t>,</w:t>
      </w:r>
      <w:r w:rsidR="00EB04D4" w:rsidRPr="00B9577A">
        <w:rPr>
          <w:rFonts w:cs="Calibri"/>
          <w:noProof/>
          <w:sz w:val="22"/>
          <w:szCs w:val="22"/>
        </w:rPr>
        <w:t xml:space="preserve"> as</w:t>
      </w:r>
      <w:r w:rsidR="00EB04D4" w:rsidRPr="00417E18">
        <w:rPr>
          <w:rFonts w:cs="Calibri"/>
          <w:noProof/>
          <w:sz w:val="22"/>
          <w:szCs w:val="22"/>
        </w:rPr>
        <w:t xml:space="preserve"> well as a list of Cable Projects of European Interest (CPEIs), </w:t>
      </w:r>
      <w:r w:rsidR="00EB04D4" w:rsidRPr="00417E18">
        <w:rPr>
          <w:rFonts w:cs="Calibri"/>
          <w:i/>
          <w:iCs/>
          <w:noProof/>
          <w:sz w:val="22"/>
          <w:szCs w:val="22"/>
        </w:rPr>
        <w:t>i.e</w:t>
      </w:r>
      <w:r w:rsidR="316211DD" w:rsidRPr="00417E18">
        <w:rPr>
          <w:rFonts w:cs="Calibri"/>
          <w:i/>
          <w:iCs/>
          <w:noProof/>
          <w:sz w:val="22"/>
          <w:szCs w:val="22"/>
        </w:rPr>
        <w:t>.</w:t>
      </w:r>
      <w:r w:rsidR="2C972406" w:rsidRPr="00417E18">
        <w:rPr>
          <w:rFonts w:cs="Calibri"/>
          <w:i/>
          <w:iCs/>
          <w:noProof/>
          <w:sz w:val="22"/>
          <w:szCs w:val="22"/>
        </w:rPr>
        <w:t>,</w:t>
      </w:r>
      <w:r w:rsidR="00EB04D4" w:rsidRPr="00417E18">
        <w:rPr>
          <w:rFonts w:cs="Calibri"/>
          <w:i/>
          <w:iCs/>
          <w:noProof/>
          <w:sz w:val="22"/>
          <w:szCs w:val="22"/>
        </w:rPr>
        <w:t xml:space="preserve"> </w:t>
      </w:r>
      <w:r w:rsidR="00EB04D4" w:rsidRPr="00417E18">
        <w:rPr>
          <w:rFonts w:cs="Calibri"/>
          <w:noProof/>
          <w:sz w:val="22"/>
          <w:szCs w:val="22"/>
        </w:rPr>
        <w:t>areas to be prioritised for public funding</w:t>
      </w:r>
      <w:r w:rsidR="00B96978" w:rsidRPr="00417E18">
        <w:rPr>
          <w:rStyle w:val="FootnoteReference"/>
          <w:rFonts w:cs="Calibri"/>
          <w:noProof/>
          <w:sz w:val="22"/>
          <w:szCs w:val="22"/>
        </w:rPr>
        <w:footnoteReference w:id="59"/>
      </w:r>
      <w:r w:rsidR="23286044" w:rsidRPr="00417E18">
        <w:rPr>
          <w:rFonts w:cs="Calibri"/>
          <w:noProof/>
          <w:sz w:val="22"/>
          <w:szCs w:val="22"/>
        </w:rPr>
        <w:t>.</w:t>
      </w:r>
      <w:r w:rsidR="6FAC5396" w:rsidRPr="00417E18">
        <w:rPr>
          <w:rFonts w:cs="Calibri"/>
          <w:noProof/>
          <w:sz w:val="22"/>
          <w:szCs w:val="22"/>
        </w:rPr>
        <w:t xml:space="preserve"> </w:t>
      </w:r>
    </w:p>
    <w:p w14:paraId="6C861BAB" w14:textId="78B01B55" w:rsidR="0009396B" w:rsidRPr="00417E18" w:rsidRDefault="24CB487D" w:rsidP="50A16846">
      <w:pPr>
        <w:spacing w:before="0" w:line="278" w:lineRule="auto"/>
        <w:rPr>
          <w:rFonts w:cs="Calibri"/>
          <w:noProof/>
          <w:sz w:val="22"/>
          <w:szCs w:val="22"/>
        </w:rPr>
      </w:pPr>
      <w:r w:rsidRPr="5FCDC78E">
        <w:rPr>
          <w:rFonts w:cs="Calibri"/>
          <w:noProof/>
          <w:sz w:val="22"/>
          <w:szCs w:val="22"/>
        </w:rPr>
        <w:t xml:space="preserve">On </w:t>
      </w:r>
      <w:r w:rsidR="160F2607" w:rsidRPr="5FCDC78E">
        <w:rPr>
          <w:rFonts w:cs="Calibri"/>
          <w:noProof/>
          <w:sz w:val="22"/>
          <w:szCs w:val="22"/>
        </w:rPr>
        <w:t>the</w:t>
      </w:r>
      <w:r w:rsidR="6F6C11EA" w:rsidRPr="5FCDC78E">
        <w:rPr>
          <w:rFonts w:cs="Calibri"/>
          <w:noProof/>
          <w:sz w:val="22"/>
          <w:szCs w:val="22"/>
        </w:rPr>
        <w:t xml:space="preserve"> </w:t>
      </w:r>
      <w:r w:rsidR="0009396B" w:rsidRPr="00417E18">
        <w:rPr>
          <w:rFonts w:cs="Calibri"/>
          <w:noProof/>
          <w:sz w:val="22"/>
          <w:szCs w:val="22"/>
        </w:rPr>
        <w:t>funding</w:t>
      </w:r>
      <w:r w:rsidRPr="5FCDC78E">
        <w:rPr>
          <w:rFonts w:cs="Calibri"/>
          <w:noProof/>
          <w:sz w:val="22"/>
          <w:szCs w:val="22"/>
        </w:rPr>
        <w:t xml:space="preserve"> side</w:t>
      </w:r>
      <w:r w:rsidR="0009396B" w:rsidRPr="00417E18">
        <w:rPr>
          <w:rFonts w:cs="Calibri"/>
          <w:noProof/>
          <w:sz w:val="22"/>
          <w:szCs w:val="22"/>
        </w:rPr>
        <w:t xml:space="preserve">, to date the EU </w:t>
      </w:r>
      <w:r w:rsidR="0009396B" w:rsidRPr="00417E18">
        <w:rPr>
          <w:rFonts w:cs="Calibri"/>
          <w:b/>
          <w:bCs/>
          <w:noProof/>
          <w:sz w:val="22"/>
          <w:szCs w:val="22"/>
        </w:rPr>
        <w:t>invested over EUR 600 million</w:t>
      </w:r>
      <w:r w:rsidR="0009396B" w:rsidRPr="00417E18">
        <w:rPr>
          <w:rFonts w:cs="Calibri"/>
          <w:noProof/>
          <w:sz w:val="22"/>
          <w:szCs w:val="22"/>
        </w:rPr>
        <w:t xml:space="preserve"> in more than </w:t>
      </w:r>
      <w:r w:rsidR="0009396B" w:rsidRPr="00417E18">
        <w:rPr>
          <w:rFonts w:cs="Calibri"/>
          <w:b/>
          <w:bCs/>
          <w:noProof/>
          <w:sz w:val="22"/>
          <w:szCs w:val="22"/>
        </w:rPr>
        <w:t>70 Digital Global Gateways</w:t>
      </w:r>
      <w:r w:rsidR="0009396B" w:rsidRPr="00417E18">
        <w:rPr>
          <w:rFonts w:cs="Calibri"/>
          <w:noProof/>
          <w:sz w:val="22"/>
          <w:szCs w:val="22"/>
        </w:rPr>
        <w:t xml:space="preserve"> projects through the Connecting Europe Facility Digital programme (CEF Digital).</w:t>
      </w:r>
      <w:r w:rsidR="4DFDF62E" w:rsidRPr="00417E18">
        <w:rPr>
          <w:rFonts w:cs="Calibri"/>
          <w:noProof/>
          <w:sz w:val="22"/>
          <w:szCs w:val="22"/>
        </w:rPr>
        <w:t xml:space="preserve"> </w:t>
      </w:r>
      <w:r w:rsidR="0009396B" w:rsidRPr="00417E18">
        <w:rPr>
          <w:rFonts w:cs="Calibri"/>
          <w:noProof/>
          <w:sz w:val="22"/>
          <w:szCs w:val="22"/>
        </w:rPr>
        <w:t>While a number of satellite</w:t>
      </w:r>
      <w:r w:rsidR="000B9EA8" w:rsidRPr="00417E18">
        <w:rPr>
          <w:rFonts w:cs="Calibri"/>
          <w:noProof/>
          <w:sz w:val="22"/>
          <w:szCs w:val="22"/>
        </w:rPr>
        <w:t>-</w:t>
      </w:r>
      <w:r w:rsidR="0009396B" w:rsidRPr="00417E18">
        <w:rPr>
          <w:rFonts w:cs="Calibri"/>
          <w:noProof/>
          <w:sz w:val="22"/>
          <w:szCs w:val="22"/>
        </w:rPr>
        <w:t>terrestrial links and cross border terrestrial backbone projects have been funded, the vast majority of the funding was dedicated to submarine cable projects (59 projects for EUR 548 million). These projects are enabling significant improvements in the coverage of islands and remote territories, reduce vulnerabilities and risks</w:t>
      </w:r>
      <w:r w:rsidR="729F2B38" w:rsidRPr="00417E18">
        <w:rPr>
          <w:rFonts w:cs="Calibri"/>
          <w:noProof/>
          <w:sz w:val="22"/>
          <w:szCs w:val="22"/>
        </w:rPr>
        <w:t>, while</w:t>
      </w:r>
      <w:r w:rsidR="76831EF0" w:rsidRPr="00417E18">
        <w:rPr>
          <w:rFonts w:cs="Calibri"/>
          <w:noProof/>
          <w:sz w:val="22"/>
          <w:szCs w:val="22"/>
        </w:rPr>
        <w:t xml:space="preserve"> </w:t>
      </w:r>
      <w:r w:rsidR="5474855D" w:rsidRPr="00417E18">
        <w:rPr>
          <w:rFonts w:cs="Calibri"/>
          <w:noProof/>
          <w:sz w:val="22"/>
          <w:szCs w:val="22"/>
        </w:rPr>
        <w:t>increasing</w:t>
      </w:r>
      <w:r w:rsidR="0009396B" w:rsidRPr="00417E18">
        <w:rPr>
          <w:rFonts w:cs="Calibri"/>
          <w:noProof/>
          <w:sz w:val="22"/>
          <w:szCs w:val="22"/>
        </w:rPr>
        <w:t xml:space="preserve"> the overall resilience and redundancy of connectivity systems within the EU and linking the EU to the world, contributing to strategic objectives such as the connection of Europe to Asia through the Arctic, including Greenland’s</w:t>
      </w:r>
      <w:r w:rsidR="00050847" w:rsidRPr="00417E18">
        <w:rPr>
          <w:rFonts w:cs="Calibri"/>
          <w:noProof/>
          <w:sz w:val="22"/>
          <w:szCs w:val="22"/>
        </w:rPr>
        <w:t xml:space="preserve"> and other areas </w:t>
      </w:r>
      <w:r w:rsidR="0070664A" w:rsidRPr="00417E18">
        <w:rPr>
          <w:rFonts w:cs="Calibri"/>
          <w:noProof/>
          <w:sz w:val="22"/>
          <w:szCs w:val="22"/>
        </w:rPr>
        <w:t>identified in the CPEI list</w:t>
      </w:r>
      <w:r w:rsidR="0009396B" w:rsidRPr="00417E18">
        <w:rPr>
          <w:rFonts w:cs="Calibri"/>
          <w:noProof/>
          <w:sz w:val="22"/>
          <w:szCs w:val="22"/>
        </w:rPr>
        <w:t xml:space="preserve">. </w:t>
      </w:r>
    </w:p>
    <w:p w14:paraId="41656CDF" w14:textId="68B717E1" w:rsidR="0959F8E1" w:rsidRPr="00417E18" w:rsidRDefault="0959F8E1" w:rsidP="0066543B">
      <w:pPr>
        <w:spacing w:before="0"/>
        <w:rPr>
          <w:rFonts w:eastAsia="Times New Roman" w:cs="Calibri"/>
          <w:noProof/>
          <w:sz w:val="22"/>
          <w:szCs w:val="22"/>
        </w:rPr>
      </w:pPr>
      <w:r w:rsidRPr="00417E18">
        <w:rPr>
          <w:rFonts w:cs="Calibri"/>
          <w:noProof/>
          <w:sz w:val="22"/>
          <w:szCs w:val="22"/>
        </w:rPr>
        <w:t>In line with the EU Action Plan on Cable Security, t</w:t>
      </w:r>
      <w:r w:rsidR="2C7F8BA3" w:rsidRPr="00417E18">
        <w:rPr>
          <w:rFonts w:cs="Calibri"/>
          <w:noProof/>
          <w:sz w:val="22"/>
          <w:szCs w:val="22"/>
        </w:rPr>
        <w:t xml:space="preserve">he Commission amended the </w:t>
      </w:r>
      <w:hyperlink r:id="rId28">
        <w:r w:rsidR="2C7F8BA3" w:rsidRPr="00417E18">
          <w:rPr>
            <w:rStyle w:val="Hyperlink"/>
            <w:rFonts w:cs="Calibri"/>
            <w:noProof/>
            <w:sz w:val="22"/>
            <w:szCs w:val="22"/>
          </w:rPr>
          <w:t>CEF Digital Work Programme</w:t>
        </w:r>
      </w:hyperlink>
      <w:r w:rsidR="2C7F8BA3" w:rsidRPr="00417E18">
        <w:rPr>
          <w:rFonts w:cs="Calibri"/>
          <w:noProof/>
          <w:sz w:val="22"/>
          <w:szCs w:val="22"/>
        </w:rPr>
        <w:t xml:space="preserve">, </w:t>
      </w:r>
      <w:r w:rsidR="78606B25" w:rsidRPr="5FCDC78E">
        <w:rPr>
          <w:rFonts w:cs="Calibri"/>
          <w:noProof/>
          <w:sz w:val="22"/>
          <w:szCs w:val="22"/>
        </w:rPr>
        <w:t xml:space="preserve">in February 2026, </w:t>
      </w:r>
      <w:r w:rsidR="2C7F8BA3" w:rsidRPr="00417E18">
        <w:rPr>
          <w:rFonts w:cs="Calibri"/>
          <w:noProof/>
          <w:sz w:val="22"/>
          <w:szCs w:val="22"/>
        </w:rPr>
        <w:t>allocating EUR 347 million to fund strategic submarine cable projects</w:t>
      </w:r>
      <w:r w:rsidR="00DC6914">
        <w:rPr>
          <w:rStyle w:val="FootnoteReference"/>
          <w:rFonts w:cs="Calibri"/>
          <w:noProof/>
          <w:sz w:val="22"/>
          <w:szCs w:val="22"/>
        </w:rPr>
        <w:footnoteReference w:id="60"/>
      </w:r>
      <w:r w:rsidR="00B9577A">
        <w:rPr>
          <w:rFonts w:cs="Calibri"/>
          <w:noProof/>
          <w:sz w:val="22"/>
          <w:szCs w:val="22"/>
        </w:rPr>
        <w:t xml:space="preserve">. </w:t>
      </w:r>
      <w:r w:rsidR="2C7F8BA3" w:rsidRPr="00417E18">
        <w:rPr>
          <w:rFonts w:cs="Calibri"/>
          <w:noProof/>
          <w:sz w:val="22"/>
          <w:szCs w:val="22"/>
        </w:rPr>
        <w:t xml:space="preserve">These calls will support the CPEIs, </w:t>
      </w:r>
      <w:r w:rsidR="50FDFB4A" w:rsidRPr="00417E18">
        <w:rPr>
          <w:rFonts w:cs="Calibri"/>
          <w:noProof/>
          <w:sz w:val="22"/>
          <w:szCs w:val="22"/>
        </w:rPr>
        <w:t xml:space="preserve">including to </w:t>
      </w:r>
      <w:r w:rsidR="2C7F8BA3" w:rsidRPr="00417E18">
        <w:rPr>
          <w:rFonts w:cs="Calibri"/>
          <w:noProof/>
          <w:sz w:val="22"/>
          <w:szCs w:val="22"/>
        </w:rPr>
        <w:t>enhance the EU's cable repair capacity</w:t>
      </w:r>
      <w:r w:rsidR="49182448" w:rsidRPr="00417E18">
        <w:rPr>
          <w:rFonts w:cs="Calibri"/>
          <w:noProof/>
          <w:sz w:val="22"/>
          <w:szCs w:val="22"/>
        </w:rPr>
        <w:t>,</w:t>
      </w:r>
      <w:r w:rsidR="2C7F8BA3" w:rsidRPr="00417E18">
        <w:rPr>
          <w:rFonts w:cs="Calibri"/>
          <w:noProof/>
          <w:sz w:val="22"/>
          <w:szCs w:val="22"/>
        </w:rPr>
        <w:t xml:space="preserve"> and equip submarine cables with smart capabilities.</w:t>
      </w:r>
    </w:p>
    <w:p w14:paraId="4325B39F" w14:textId="3F8C720F" w:rsidR="2C7F8BA3" w:rsidRPr="00417E18" w:rsidRDefault="2C7F8BA3" w:rsidP="0066543B">
      <w:pPr>
        <w:spacing w:before="0"/>
        <w:rPr>
          <w:rFonts w:eastAsia="Times New Roman" w:cs="Calibri"/>
          <w:noProof/>
          <w:sz w:val="22"/>
          <w:szCs w:val="22"/>
        </w:rPr>
      </w:pPr>
      <w:r w:rsidRPr="00417E18">
        <w:rPr>
          <w:rFonts w:cs="Calibri"/>
          <w:noProof/>
          <w:sz w:val="22"/>
          <w:szCs w:val="22"/>
        </w:rPr>
        <w:t xml:space="preserve">In 2026, two funding calls worth EUR 60 million will support cable repair modules, alongside a separate EUR 20 million call for SMART cable system equipment. These are sensors and monitoring components integrated into submarine telecommunications infrastructure to gather real-time ocean and seismic data. Additionally, two calls for </w:t>
      </w:r>
      <w:r w:rsidR="2E2E1441" w:rsidRPr="00417E18">
        <w:rPr>
          <w:rFonts w:cs="Calibri"/>
          <w:noProof/>
          <w:sz w:val="22"/>
          <w:szCs w:val="22"/>
        </w:rPr>
        <w:t>new CPEI cables</w:t>
      </w:r>
      <w:r w:rsidRPr="00417E18">
        <w:rPr>
          <w:rFonts w:cs="Calibri"/>
          <w:noProof/>
          <w:sz w:val="22"/>
          <w:szCs w:val="22"/>
        </w:rPr>
        <w:t xml:space="preserve"> </w:t>
      </w:r>
      <w:r w:rsidR="004A40CB" w:rsidRPr="0C856F1D">
        <w:rPr>
          <w:rFonts w:cs="Calibri"/>
          <w:noProof/>
          <w:sz w:val="22"/>
          <w:szCs w:val="22"/>
        </w:rPr>
        <w:t>are planned for</w:t>
      </w:r>
      <w:r w:rsidRPr="00417E18">
        <w:rPr>
          <w:rFonts w:cs="Calibri"/>
          <w:noProof/>
          <w:sz w:val="22"/>
          <w:szCs w:val="22"/>
        </w:rPr>
        <w:t xml:space="preserve"> 2026 and 2027, </w:t>
      </w:r>
      <w:r w:rsidR="006E6852" w:rsidRPr="0C856F1D">
        <w:rPr>
          <w:rFonts w:cs="Calibri"/>
          <w:noProof/>
          <w:sz w:val="22"/>
          <w:szCs w:val="22"/>
        </w:rPr>
        <w:t xml:space="preserve">with a </w:t>
      </w:r>
      <w:r w:rsidR="00384E58" w:rsidRPr="0C856F1D">
        <w:rPr>
          <w:rFonts w:cs="Calibri"/>
          <w:noProof/>
          <w:sz w:val="22"/>
          <w:szCs w:val="22"/>
        </w:rPr>
        <w:t>total</w:t>
      </w:r>
      <w:r w:rsidR="006E6852" w:rsidRPr="0C856F1D">
        <w:rPr>
          <w:rFonts w:cs="Calibri"/>
          <w:noProof/>
          <w:sz w:val="22"/>
          <w:szCs w:val="22"/>
        </w:rPr>
        <w:t xml:space="preserve"> budget of</w:t>
      </w:r>
      <w:r w:rsidRPr="00417E18">
        <w:rPr>
          <w:rFonts w:cs="Calibri"/>
          <w:noProof/>
          <w:sz w:val="22"/>
          <w:szCs w:val="22"/>
        </w:rPr>
        <w:t xml:space="preserve"> EUR 267 million.</w:t>
      </w:r>
    </w:p>
    <w:p w14:paraId="042E0ED7" w14:textId="522BDB11" w:rsidR="00EE4F15" w:rsidRPr="00417E18" w:rsidRDefault="00C622BC" w:rsidP="0066543B">
      <w:pPr>
        <w:spacing w:before="0"/>
        <w:rPr>
          <w:rFonts w:eastAsia="Times New Roman" w:cs="Calibri"/>
          <w:noProof/>
          <w:sz w:val="22"/>
          <w:szCs w:val="22"/>
        </w:rPr>
      </w:pPr>
      <w:r w:rsidRPr="00417E18">
        <w:rPr>
          <w:rFonts w:cs="Calibri"/>
          <w:noProof/>
          <w:sz w:val="22"/>
          <w:szCs w:val="22"/>
        </w:rPr>
        <w:t xml:space="preserve">However, </w:t>
      </w:r>
      <w:r w:rsidR="00075FBF" w:rsidRPr="00417E18">
        <w:rPr>
          <w:rFonts w:eastAsia="Times New Roman" w:cs="Calibri"/>
          <w:noProof/>
          <w:sz w:val="22"/>
          <w:szCs w:val="22"/>
        </w:rPr>
        <w:t>while CEF has</w:t>
      </w:r>
      <w:r w:rsidR="00B01E39" w:rsidRPr="00417E18">
        <w:rPr>
          <w:rFonts w:eastAsia="Times New Roman" w:cs="Calibri"/>
          <w:noProof/>
          <w:sz w:val="22"/>
          <w:szCs w:val="22"/>
        </w:rPr>
        <w:t xml:space="preserve"> already</w:t>
      </w:r>
      <w:r w:rsidR="00075FBF" w:rsidRPr="00417E18">
        <w:rPr>
          <w:rFonts w:eastAsia="Times New Roman" w:cs="Calibri"/>
          <w:noProof/>
          <w:sz w:val="22"/>
          <w:szCs w:val="22"/>
        </w:rPr>
        <w:t xml:space="preserve"> intervened in the CPEI areas, and will</w:t>
      </w:r>
      <w:r w:rsidR="007D289B" w:rsidRPr="00417E18">
        <w:rPr>
          <w:rFonts w:eastAsia="Times New Roman" w:cs="Calibri"/>
          <w:noProof/>
          <w:sz w:val="22"/>
          <w:szCs w:val="22"/>
        </w:rPr>
        <w:t xml:space="preserve"> continue to</w:t>
      </w:r>
      <w:r w:rsidR="00075FBF" w:rsidRPr="00417E18">
        <w:rPr>
          <w:rFonts w:eastAsia="Times New Roman" w:cs="Calibri"/>
          <w:noProof/>
          <w:sz w:val="22"/>
          <w:szCs w:val="22"/>
        </w:rPr>
        <w:t xml:space="preserve"> do so in an increasingly focused manner</w:t>
      </w:r>
      <w:r w:rsidRPr="00417E18">
        <w:rPr>
          <w:rFonts w:eastAsia="Times New Roman" w:cs="Calibri"/>
          <w:noProof/>
          <w:sz w:val="22"/>
          <w:szCs w:val="22"/>
        </w:rPr>
        <w:t xml:space="preserve">, </w:t>
      </w:r>
      <w:r w:rsidRPr="00417E18">
        <w:rPr>
          <w:rFonts w:cs="Calibri"/>
          <w:noProof/>
          <w:sz w:val="22"/>
          <w:szCs w:val="22"/>
        </w:rPr>
        <w:t>the rem</w:t>
      </w:r>
      <w:r w:rsidR="696E192F" w:rsidRPr="00417E18">
        <w:rPr>
          <w:rFonts w:cs="Calibri"/>
          <w:noProof/>
          <w:sz w:val="22"/>
          <w:szCs w:val="22"/>
        </w:rPr>
        <w:t>ai</w:t>
      </w:r>
      <w:r w:rsidRPr="00417E18">
        <w:rPr>
          <w:rFonts w:cs="Calibri"/>
          <w:noProof/>
          <w:sz w:val="22"/>
          <w:szCs w:val="22"/>
        </w:rPr>
        <w:t xml:space="preserve">ning funding capacity of CEF Digital remains modest compared to </w:t>
      </w:r>
      <w:r w:rsidR="007D289B" w:rsidRPr="00417E18">
        <w:rPr>
          <w:rFonts w:cs="Calibri"/>
          <w:noProof/>
          <w:sz w:val="22"/>
          <w:szCs w:val="22"/>
        </w:rPr>
        <w:t xml:space="preserve">the </w:t>
      </w:r>
      <w:r w:rsidR="228D00F5" w:rsidRPr="00417E18">
        <w:rPr>
          <w:rFonts w:cs="Calibri"/>
          <w:noProof/>
          <w:sz w:val="22"/>
          <w:szCs w:val="22"/>
        </w:rPr>
        <w:t>total investments</w:t>
      </w:r>
      <w:r w:rsidRPr="00417E18">
        <w:rPr>
          <w:rFonts w:cs="Calibri"/>
          <w:noProof/>
          <w:sz w:val="22"/>
          <w:szCs w:val="22"/>
        </w:rPr>
        <w:t xml:space="preserve"> needs</w:t>
      </w:r>
      <w:r w:rsidR="6FC1E6A0" w:rsidRPr="0C856F1D">
        <w:rPr>
          <w:rFonts w:cs="Calibri"/>
          <w:noProof/>
          <w:sz w:val="22"/>
          <w:szCs w:val="22"/>
        </w:rPr>
        <w:t>. This</w:t>
      </w:r>
      <w:r w:rsidR="576D089A" w:rsidRPr="00417E18">
        <w:rPr>
          <w:rFonts w:cs="Calibri"/>
          <w:noProof/>
          <w:sz w:val="22"/>
          <w:szCs w:val="22"/>
        </w:rPr>
        <w:t xml:space="preserve"> gap </w:t>
      </w:r>
      <w:r w:rsidR="6ACCEB45" w:rsidRPr="0C856F1D">
        <w:rPr>
          <w:rFonts w:cs="Calibri"/>
          <w:noProof/>
          <w:sz w:val="22"/>
          <w:szCs w:val="22"/>
        </w:rPr>
        <w:t>is also reflected in the</w:t>
      </w:r>
      <w:r w:rsidRPr="00417E18">
        <w:rPr>
          <w:rFonts w:cs="Calibri"/>
          <w:noProof/>
          <w:sz w:val="22"/>
          <w:szCs w:val="22"/>
        </w:rPr>
        <w:t xml:space="preserve"> increasin</w:t>
      </w:r>
      <w:r w:rsidR="4A013F75" w:rsidRPr="00417E18">
        <w:rPr>
          <w:rFonts w:cs="Calibri"/>
          <w:noProof/>
          <w:sz w:val="22"/>
          <w:szCs w:val="22"/>
        </w:rPr>
        <w:t>gly high</w:t>
      </w:r>
      <w:r w:rsidRPr="00417E18">
        <w:rPr>
          <w:rFonts w:cs="Calibri"/>
          <w:noProof/>
          <w:sz w:val="22"/>
          <w:szCs w:val="22"/>
        </w:rPr>
        <w:t xml:space="preserve"> oversubscription rates</w:t>
      </w:r>
      <w:r w:rsidR="0062051A" w:rsidRPr="00417E18">
        <w:rPr>
          <w:rFonts w:cs="Calibri"/>
          <w:noProof/>
          <w:sz w:val="22"/>
          <w:szCs w:val="22"/>
        </w:rPr>
        <w:t xml:space="preserve"> in CEF Global Gateway calls</w:t>
      </w:r>
      <w:r w:rsidR="00E44D79" w:rsidRPr="00417E18">
        <w:rPr>
          <w:rStyle w:val="FootnoteReference"/>
          <w:rFonts w:cs="Calibri"/>
          <w:noProof/>
          <w:sz w:val="22"/>
          <w:szCs w:val="22"/>
        </w:rPr>
        <w:footnoteReference w:id="61"/>
      </w:r>
      <w:r w:rsidRPr="00417E18" w:rsidDel="00075FBF">
        <w:rPr>
          <w:rFonts w:cs="Calibri"/>
          <w:noProof/>
          <w:sz w:val="22"/>
          <w:szCs w:val="22"/>
        </w:rPr>
        <w:t xml:space="preserve">. </w:t>
      </w:r>
      <w:r w:rsidR="016FE4B7" w:rsidRPr="0C856F1D">
        <w:rPr>
          <w:rFonts w:eastAsia="Times New Roman" w:cs="Calibri"/>
          <w:noProof/>
          <w:sz w:val="22"/>
          <w:szCs w:val="22"/>
        </w:rPr>
        <w:t>C</w:t>
      </w:r>
      <w:r w:rsidR="66672996" w:rsidRPr="00417E18">
        <w:rPr>
          <w:rFonts w:eastAsia="Times New Roman" w:cs="Calibri"/>
          <w:noProof/>
          <w:sz w:val="22"/>
          <w:szCs w:val="22"/>
        </w:rPr>
        <w:t>ost</w:t>
      </w:r>
      <w:r w:rsidR="00EE4F15" w:rsidRPr="00417E18">
        <w:rPr>
          <w:rFonts w:eastAsia="Times New Roman" w:cs="Calibri"/>
          <w:noProof/>
          <w:sz w:val="22"/>
          <w:szCs w:val="22"/>
        </w:rPr>
        <w:t xml:space="preserve"> estimates for deploying CPEI projects </w:t>
      </w:r>
      <w:r w:rsidR="48E5AF22" w:rsidRPr="0C856F1D">
        <w:rPr>
          <w:rFonts w:eastAsia="Times New Roman" w:cs="Calibri"/>
          <w:noProof/>
          <w:sz w:val="22"/>
          <w:szCs w:val="22"/>
        </w:rPr>
        <w:t>exceed</w:t>
      </w:r>
      <w:r w:rsidR="00EE4F15" w:rsidRPr="00417E18">
        <w:rPr>
          <w:rFonts w:eastAsia="Times New Roman" w:cs="Calibri"/>
          <w:noProof/>
          <w:sz w:val="22"/>
          <w:szCs w:val="22"/>
        </w:rPr>
        <w:t xml:space="preserve"> EUR </w:t>
      </w:r>
      <w:r w:rsidR="13C7AE79" w:rsidRPr="00417E18">
        <w:rPr>
          <w:rFonts w:eastAsia="Times New Roman" w:cs="Calibri"/>
          <w:noProof/>
          <w:sz w:val="22"/>
          <w:szCs w:val="22"/>
        </w:rPr>
        <w:t>10</w:t>
      </w:r>
      <w:r w:rsidR="00C94255">
        <w:rPr>
          <w:rFonts w:eastAsia="Times New Roman" w:cs="Calibri"/>
          <w:noProof/>
          <w:sz w:val="22"/>
          <w:szCs w:val="22"/>
        </w:rPr>
        <w:t xml:space="preserve"> billion</w:t>
      </w:r>
      <w:r w:rsidR="00621700" w:rsidRPr="5FCDC78E">
        <w:rPr>
          <w:rFonts w:eastAsia="Times New Roman" w:cs="Calibri"/>
          <w:noProof/>
          <w:sz w:val="22"/>
          <w:szCs w:val="22"/>
          <w:vertAlign w:val="superscript"/>
        </w:rPr>
        <w:footnoteReference w:id="62"/>
      </w:r>
      <w:r w:rsidR="00EE4F15" w:rsidRPr="00417E18">
        <w:rPr>
          <w:rFonts w:eastAsia="Times New Roman" w:cs="Calibri"/>
          <w:noProof/>
          <w:sz w:val="22"/>
          <w:szCs w:val="22"/>
        </w:rPr>
        <w:t xml:space="preserve">. Other studies suggest that </w:t>
      </w:r>
      <w:r w:rsidR="6A8E5A62" w:rsidRPr="00417E18">
        <w:rPr>
          <w:rFonts w:eastAsia="Times New Roman" w:cs="Calibri"/>
          <w:noProof/>
          <w:sz w:val="22"/>
          <w:szCs w:val="22"/>
        </w:rPr>
        <w:t xml:space="preserve">at least </w:t>
      </w:r>
      <w:r w:rsidR="66672996" w:rsidRPr="00417E18">
        <w:rPr>
          <w:rFonts w:eastAsia="Times New Roman" w:cs="Calibri"/>
          <w:noProof/>
          <w:sz w:val="22"/>
          <w:szCs w:val="22"/>
        </w:rPr>
        <w:t>a</w:t>
      </w:r>
      <w:r w:rsidR="00EE4F15" w:rsidRPr="00417E18">
        <w:rPr>
          <w:rFonts w:eastAsia="Times New Roman" w:cs="Calibri"/>
          <w:noProof/>
          <w:sz w:val="22"/>
          <w:szCs w:val="22"/>
        </w:rPr>
        <w:t xml:space="preserve"> threefold increase of the current level of funding per annum for submarine cables (i.e. EUR 200 million) </w:t>
      </w:r>
      <w:r w:rsidR="6A8E5A62" w:rsidRPr="0C856F1D">
        <w:rPr>
          <w:rFonts w:eastAsia="Times New Roman" w:cs="Calibri"/>
          <w:noProof/>
          <w:sz w:val="22"/>
          <w:szCs w:val="22"/>
        </w:rPr>
        <w:t>will be</w:t>
      </w:r>
      <w:r w:rsidR="00EE4F15" w:rsidRPr="00417E18">
        <w:rPr>
          <w:rFonts w:eastAsia="Times New Roman" w:cs="Calibri"/>
          <w:noProof/>
          <w:sz w:val="22"/>
          <w:szCs w:val="22"/>
        </w:rPr>
        <w:t xml:space="preserve"> needed to maintain the current level of European ownership in the cable market and give greater scope and ambition to address market fragilitie</w:t>
      </w:r>
      <w:r w:rsidR="00EE4F15" w:rsidRPr="00417E18">
        <w:rPr>
          <w:rFonts w:cs="Calibri"/>
          <w:noProof/>
          <w:sz w:val="22"/>
          <w:szCs w:val="22"/>
        </w:rPr>
        <w:t xml:space="preserve">s and critical capability </w:t>
      </w:r>
      <w:r w:rsidR="07D74E30" w:rsidRPr="00417E18">
        <w:rPr>
          <w:rFonts w:cs="Calibri"/>
          <w:noProof/>
          <w:sz w:val="22"/>
          <w:szCs w:val="22"/>
        </w:rPr>
        <w:t>gaps</w:t>
      </w:r>
      <w:r w:rsidR="00EE4F15" w:rsidRPr="00417E18">
        <w:rPr>
          <w:rFonts w:cs="Calibri"/>
          <w:noProof/>
          <w:sz w:val="22"/>
          <w:szCs w:val="22"/>
        </w:rPr>
        <w:t>.</w:t>
      </w:r>
    </w:p>
    <w:p w14:paraId="5834C6F0" w14:textId="2B62AEF6" w:rsidR="001049F5" w:rsidRPr="00CC44C0" w:rsidRDefault="00075FBF" w:rsidP="0066543B">
      <w:pPr>
        <w:spacing w:before="0"/>
        <w:rPr>
          <w:rFonts w:cs="Calibri"/>
          <w:noProof/>
          <w:sz w:val="22"/>
          <w:szCs w:val="22"/>
        </w:rPr>
      </w:pPr>
      <w:r w:rsidRPr="4668229E">
        <w:rPr>
          <w:rFonts w:eastAsia="Times New Roman" w:cs="Calibri"/>
          <w:noProof/>
          <w:sz w:val="22"/>
          <w:szCs w:val="22"/>
        </w:rPr>
        <w:t xml:space="preserve">It is therefore </w:t>
      </w:r>
      <w:r w:rsidR="00AE079D" w:rsidRPr="4668229E">
        <w:rPr>
          <w:rFonts w:eastAsia="Times New Roman" w:cs="Calibri"/>
          <w:noProof/>
          <w:sz w:val="22"/>
          <w:szCs w:val="22"/>
        </w:rPr>
        <w:t xml:space="preserve">important </w:t>
      </w:r>
      <w:r w:rsidR="00B01E39" w:rsidRPr="4668229E">
        <w:rPr>
          <w:rFonts w:eastAsia="Times New Roman" w:cs="Calibri"/>
          <w:noProof/>
          <w:sz w:val="22"/>
          <w:szCs w:val="22"/>
        </w:rPr>
        <w:t>that</w:t>
      </w:r>
      <w:r w:rsidRPr="4668229E">
        <w:rPr>
          <w:rFonts w:eastAsia="Times New Roman" w:cs="Calibri"/>
          <w:noProof/>
          <w:sz w:val="22"/>
          <w:szCs w:val="22"/>
        </w:rPr>
        <w:t xml:space="preserve"> </w:t>
      </w:r>
      <w:r w:rsidR="001049F5" w:rsidRPr="4668229E">
        <w:rPr>
          <w:rFonts w:eastAsia="Times New Roman" w:cs="Calibri"/>
          <w:noProof/>
          <w:sz w:val="22"/>
          <w:szCs w:val="22"/>
        </w:rPr>
        <w:t xml:space="preserve">support </w:t>
      </w:r>
      <w:r w:rsidRPr="4668229E">
        <w:rPr>
          <w:rFonts w:eastAsia="Times New Roman" w:cs="Calibri"/>
          <w:noProof/>
          <w:sz w:val="22"/>
          <w:szCs w:val="22"/>
        </w:rPr>
        <w:t xml:space="preserve">continues </w:t>
      </w:r>
      <w:r w:rsidR="001049F5" w:rsidRPr="4668229E">
        <w:rPr>
          <w:rFonts w:eastAsia="Times New Roman" w:cs="Calibri"/>
          <w:noProof/>
          <w:sz w:val="22"/>
          <w:szCs w:val="22"/>
        </w:rPr>
        <w:t xml:space="preserve">for the deployment, upgrade and maintenance of submarine cables to </w:t>
      </w:r>
      <w:r w:rsidR="00A07A51" w:rsidRPr="4668229E">
        <w:rPr>
          <w:rFonts w:eastAsia="Times New Roman" w:cs="Calibri"/>
          <w:noProof/>
          <w:sz w:val="22"/>
          <w:szCs w:val="22"/>
        </w:rPr>
        <w:t xml:space="preserve">preserve </w:t>
      </w:r>
      <w:r w:rsidR="001049F5" w:rsidRPr="4668229E">
        <w:rPr>
          <w:rFonts w:eastAsia="Times New Roman" w:cs="Calibri"/>
          <w:noProof/>
          <w:sz w:val="22"/>
          <w:szCs w:val="22"/>
        </w:rPr>
        <w:t xml:space="preserve">competition and </w:t>
      </w:r>
      <w:r w:rsidR="00A07A51" w:rsidRPr="4668229E">
        <w:rPr>
          <w:rFonts w:eastAsia="Times New Roman" w:cs="Calibri"/>
          <w:noProof/>
          <w:sz w:val="22"/>
          <w:szCs w:val="22"/>
        </w:rPr>
        <w:t xml:space="preserve">foster increased </w:t>
      </w:r>
      <w:r w:rsidR="001049F5" w:rsidRPr="4668229E">
        <w:rPr>
          <w:rFonts w:eastAsia="Times New Roman" w:cs="Calibri"/>
          <w:noProof/>
          <w:sz w:val="22"/>
          <w:szCs w:val="22"/>
        </w:rPr>
        <w:t xml:space="preserve">reliability and security standards. </w:t>
      </w:r>
      <w:r w:rsidR="60257EFB" w:rsidRPr="7DD8A33D">
        <w:rPr>
          <w:rFonts w:eastAsia="Times New Roman" w:cs="Calibri"/>
          <w:noProof/>
          <w:sz w:val="22"/>
          <w:szCs w:val="22"/>
        </w:rPr>
        <w:t xml:space="preserve">Deploying submarine cables and equipping them with advanced security monitoring and rapid-repair capabilities remains vital and requires </w:t>
      </w:r>
      <w:r w:rsidR="588872EF" w:rsidRPr="7DD8A33D">
        <w:rPr>
          <w:rFonts w:eastAsia="Times New Roman" w:cs="Calibri"/>
          <w:noProof/>
          <w:sz w:val="22"/>
          <w:szCs w:val="22"/>
        </w:rPr>
        <w:t>c</w:t>
      </w:r>
      <w:r w:rsidR="007B60D8" w:rsidRPr="7DD8A33D">
        <w:rPr>
          <w:rFonts w:eastAsia="Times New Roman" w:cs="Calibri"/>
          <w:noProof/>
          <w:sz w:val="22"/>
          <w:szCs w:val="22"/>
        </w:rPr>
        <w:t xml:space="preserve">ontinued public funding in the next MFF. In line with the Cable Security Toolbox, this intervention must </w:t>
      </w:r>
      <w:r w:rsidR="2A777D20" w:rsidRPr="4668229E">
        <w:rPr>
          <w:rFonts w:eastAsia="Times New Roman" w:cs="Calibri"/>
          <w:noProof/>
          <w:sz w:val="22"/>
          <w:szCs w:val="22"/>
        </w:rPr>
        <w:t xml:space="preserve">focus on routes that are </w:t>
      </w:r>
      <w:r w:rsidR="007B60D8" w:rsidRPr="4668229E">
        <w:rPr>
          <w:rFonts w:eastAsia="Times New Roman" w:cs="Calibri"/>
          <w:noProof/>
          <w:sz w:val="22"/>
          <w:szCs w:val="22"/>
        </w:rPr>
        <w:t xml:space="preserve">strategic </w:t>
      </w:r>
      <w:r w:rsidR="3DF173EC" w:rsidRPr="4668229E">
        <w:rPr>
          <w:rFonts w:eastAsia="Times New Roman" w:cs="Calibri"/>
          <w:noProof/>
          <w:sz w:val="22"/>
          <w:szCs w:val="22"/>
        </w:rPr>
        <w:t>for the EU (CPEI areas)</w:t>
      </w:r>
      <w:r w:rsidR="007B60D8" w:rsidRPr="4668229E">
        <w:rPr>
          <w:rFonts w:eastAsia="Times New Roman" w:cs="Calibri"/>
          <w:noProof/>
          <w:sz w:val="22"/>
          <w:szCs w:val="22"/>
        </w:rPr>
        <w:t xml:space="preserve"> and reduce reliance on </w:t>
      </w:r>
      <w:r w:rsidR="38258CC7" w:rsidRPr="4668229E">
        <w:rPr>
          <w:rFonts w:eastAsia="Times New Roman" w:cs="Calibri"/>
          <w:noProof/>
          <w:sz w:val="22"/>
          <w:szCs w:val="22"/>
        </w:rPr>
        <w:t>non-</w:t>
      </w:r>
      <w:r w:rsidR="38258CC7" w:rsidRPr="7DD8A33D">
        <w:rPr>
          <w:rFonts w:eastAsia="Times New Roman" w:cs="Calibri"/>
          <w:noProof/>
          <w:sz w:val="22"/>
          <w:szCs w:val="22"/>
        </w:rPr>
        <w:t>EU</w:t>
      </w:r>
      <w:r w:rsidR="007B60D8" w:rsidRPr="4668229E">
        <w:rPr>
          <w:rFonts w:eastAsia="Times New Roman" w:cs="Calibri"/>
          <w:noProof/>
          <w:sz w:val="22"/>
          <w:szCs w:val="22"/>
        </w:rPr>
        <w:t xml:space="preserve"> suppliers.</w:t>
      </w:r>
    </w:p>
    <w:p w14:paraId="7045E4B0" w14:textId="6E0B16E0" w:rsidR="004668EB" w:rsidRPr="00417E18" w:rsidRDefault="00D6022F" w:rsidP="004668EB">
      <w:pPr>
        <w:pStyle w:val="NoSpacing"/>
        <w:spacing w:after="60" w:line="278" w:lineRule="auto"/>
        <w:jc w:val="both"/>
        <w:rPr>
          <w:rFonts w:ascii="Calibri" w:eastAsia="Times New Roman" w:hAnsi="Calibri" w:cs="Calibri"/>
          <w:noProof/>
          <w:sz w:val="22"/>
          <w:szCs w:val="22"/>
          <w:lang w:val="en-GB"/>
        </w:rPr>
      </w:pPr>
      <w:r w:rsidRPr="07868930">
        <w:rPr>
          <w:rFonts w:ascii="Calibri" w:hAnsi="Calibri" w:cs="Calibri"/>
          <w:noProof/>
          <w:sz w:val="22"/>
          <w:szCs w:val="22"/>
          <w:lang w:val="en-GB"/>
        </w:rPr>
        <w:t>In</w:t>
      </w:r>
      <w:r w:rsidRPr="0C856F1D">
        <w:rPr>
          <w:rFonts w:ascii="Calibri" w:hAnsi="Calibri" w:cs="Calibri"/>
          <w:noProof/>
          <w:sz w:val="22"/>
          <w:szCs w:val="22"/>
          <w:lang w:val="en-GB"/>
        </w:rPr>
        <w:t xml:space="preserve"> parallel</w:t>
      </w:r>
      <w:r w:rsidR="00B01E39" w:rsidRPr="00417E18">
        <w:rPr>
          <w:rFonts w:ascii="Calibri" w:hAnsi="Calibri" w:cs="Calibri"/>
          <w:noProof/>
          <w:sz w:val="22"/>
          <w:szCs w:val="22"/>
          <w:lang w:val="en-GB"/>
        </w:rPr>
        <w:t>,</w:t>
      </w:r>
      <w:r w:rsidR="004668EB" w:rsidRPr="00417E18">
        <w:rPr>
          <w:rFonts w:ascii="Calibri" w:eastAsia="Times New Roman" w:hAnsi="Calibri" w:cs="Calibri"/>
          <w:noProof/>
          <w:sz w:val="22"/>
          <w:szCs w:val="22"/>
          <w:lang w:val="en-GB"/>
        </w:rPr>
        <w:t xml:space="preserve"> the </w:t>
      </w:r>
      <w:r w:rsidR="004668EB" w:rsidRPr="00417E18">
        <w:rPr>
          <w:rFonts w:ascii="Calibri" w:eastAsia="Times New Roman" w:hAnsi="Calibri" w:cs="Calibri"/>
          <w:b/>
          <w:noProof/>
          <w:sz w:val="22"/>
          <w:szCs w:val="22"/>
          <w:lang w:val="en-GB"/>
        </w:rPr>
        <w:t xml:space="preserve">DNA introduces new provisions concerning the resilience of electronic communications networks and services. </w:t>
      </w:r>
      <w:r w:rsidR="004668EB" w:rsidRPr="00417E18">
        <w:rPr>
          <w:rFonts w:ascii="Calibri" w:eastAsia="Times New Roman" w:hAnsi="Calibri" w:cs="Calibri"/>
          <w:noProof/>
          <w:sz w:val="22"/>
          <w:szCs w:val="22"/>
          <w:lang w:val="en-GB"/>
        </w:rPr>
        <w:t xml:space="preserve">These include cooperation and coordination of resilience and preparedness actions, data collection, early warning, networks’ resilience mapping and networks’ capabilities to ensure the redundancy through different types of networks’ backups. The purpose is to </w:t>
      </w:r>
      <w:r w:rsidR="004668EB" w:rsidRPr="00417E18">
        <w:rPr>
          <w:rFonts w:ascii="Calibri" w:eastAsia="Times New Roman" w:hAnsi="Calibri" w:cs="Calibri"/>
          <w:b/>
          <w:noProof/>
          <w:sz w:val="22"/>
          <w:szCs w:val="22"/>
          <w:lang w:val="en-GB"/>
        </w:rPr>
        <w:t>identify potential bottlenecks where resilience-enhancing measures are needed at Union level, including strategic investments to support redundancy, in particular, for trans-European digital networks</w:t>
      </w:r>
      <w:r w:rsidR="004668EB" w:rsidRPr="00417E18">
        <w:rPr>
          <w:rFonts w:ascii="Calibri" w:eastAsia="Times New Roman" w:hAnsi="Calibri" w:cs="Calibri"/>
          <w:noProof/>
          <w:sz w:val="22"/>
          <w:szCs w:val="22"/>
          <w:lang w:val="en-GB"/>
        </w:rPr>
        <w:t xml:space="preserve">. </w:t>
      </w:r>
    </w:p>
    <w:p w14:paraId="459EC553" w14:textId="233DD241" w:rsidR="00F55C8D" w:rsidRPr="00417E18" w:rsidRDefault="004668EB" w:rsidP="0066543B">
      <w:pPr>
        <w:spacing w:before="0"/>
        <w:rPr>
          <w:rFonts w:cs="Calibri"/>
          <w:noProof/>
          <w:sz w:val="22"/>
          <w:szCs w:val="22"/>
        </w:rPr>
      </w:pPr>
      <w:r w:rsidRPr="00417E18">
        <w:rPr>
          <w:rFonts w:eastAsia="Times New Roman" w:cs="Calibri"/>
          <w:noProof/>
          <w:sz w:val="22"/>
          <w:szCs w:val="22"/>
        </w:rPr>
        <w:t xml:space="preserve">In this context, the newly </w:t>
      </w:r>
      <w:r w:rsidR="009B21ED">
        <w:rPr>
          <w:rFonts w:eastAsia="Times New Roman" w:cs="Calibri"/>
          <w:noProof/>
          <w:sz w:val="22"/>
          <w:szCs w:val="22"/>
        </w:rPr>
        <w:t>proposed</w:t>
      </w:r>
      <w:r w:rsidR="009B21ED" w:rsidRPr="00417E18">
        <w:rPr>
          <w:rFonts w:eastAsia="Times New Roman" w:cs="Calibri"/>
          <w:noProof/>
          <w:sz w:val="22"/>
          <w:szCs w:val="22"/>
        </w:rPr>
        <w:t xml:space="preserve"> </w:t>
      </w:r>
      <w:r w:rsidRPr="00417E18">
        <w:rPr>
          <w:rFonts w:eastAsia="Times New Roman" w:cs="Calibri"/>
          <w:noProof/>
          <w:sz w:val="22"/>
          <w:szCs w:val="22"/>
        </w:rPr>
        <w:t>Office for Digital Networks (ODN) will be tasked</w:t>
      </w:r>
      <w:r w:rsidR="009B21ED">
        <w:rPr>
          <w:rFonts w:eastAsia="Times New Roman" w:cs="Calibri"/>
          <w:noProof/>
          <w:sz w:val="22"/>
          <w:szCs w:val="22"/>
        </w:rPr>
        <w:t>, once the DNA proposal is adopted,</w:t>
      </w:r>
      <w:r w:rsidRPr="00417E18">
        <w:rPr>
          <w:rFonts w:eastAsia="Times New Roman" w:cs="Calibri"/>
          <w:noProof/>
          <w:sz w:val="22"/>
          <w:szCs w:val="22"/>
        </w:rPr>
        <w:t xml:space="preserve"> with ensuring a coherent, cross-border approach for electronic communications networks and services</w:t>
      </w:r>
      <w:r w:rsidR="002730DB" w:rsidRPr="00417E18">
        <w:rPr>
          <w:rFonts w:eastAsia="Times New Roman" w:cs="Calibri"/>
          <w:noProof/>
          <w:sz w:val="22"/>
          <w:szCs w:val="22"/>
        </w:rPr>
        <w:t>, among others</w:t>
      </w:r>
      <w:r w:rsidR="00F55C8D" w:rsidRPr="00417E18">
        <w:rPr>
          <w:rFonts w:eastAsia="Times New Roman" w:cs="Calibri"/>
          <w:noProof/>
          <w:sz w:val="22"/>
          <w:szCs w:val="22"/>
        </w:rPr>
        <w:t xml:space="preserve"> by preparing the </w:t>
      </w:r>
      <w:r w:rsidR="00F55C8D" w:rsidRPr="00417E18">
        <w:rPr>
          <w:rFonts w:eastAsia="Times New Roman" w:cs="Calibri"/>
          <w:b/>
          <w:noProof/>
          <w:sz w:val="22"/>
          <w:szCs w:val="22"/>
        </w:rPr>
        <w:t>Union Preparedness Plan for Digital Infrastructures</w:t>
      </w:r>
      <w:r w:rsidR="00F55C8D" w:rsidRPr="00417E18">
        <w:rPr>
          <w:rFonts w:eastAsia="Times New Roman" w:cs="Calibri"/>
          <w:noProof/>
          <w:sz w:val="22"/>
          <w:szCs w:val="22"/>
        </w:rPr>
        <w:t xml:space="preserve">, which will include a comprehensive assessment and an overview of network topology at Union level, identify route diversification, potential bottlenecks or points of failure and areas where resilience-related measures, such as strategic investments to support redundancy, are needed. </w:t>
      </w:r>
    </w:p>
    <w:p w14:paraId="7704E780" w14:textId="02BC99DB" w:rsidR="00F55C8D" w:rsidRPr="00417E18" w:rsidRDefault="00F55C8D" w:rsidP="0066543B">
      <w:pPr>
        <w:spacing w:before="0"/>
        <w:rPr>
          <w:rFonts w:eastAsia="Times New Roman" w:cs="Calibri"/>
          <w:noProof/>
          <w:sz w:val="22"/>
          <w:szCs w:val="22"/>
        </w:rPr>
      </w:pPr>
      <w:r w:rsidRPr="00417E18">
        <w:rPr>
          <w:rFonts w:eastAsia="Times New Roman" w:cs="Calibri"/>
          <w:noProof/>
          <w:sz w:val="22"/>
          <w:szCs w:val="22"/>
        </w:rPr>
        <w:t>Such information</w:t>
      </w:r>
      <w:r w:rsidR="000A2960" w:rsidRPr="0C856F1D">
        <w:rPr>
          <w:rFonts w:eastAsia="Times New Roman" w:cs="Calibri"/>
          <w:noProof/>
          <w:sz w:val="22"/>
          <w:szCs w:val="22"/>
        </w:rPr>
        <w:t>,</w:t>
      </w:r>
      <w:r w:rsidRPr="00417E18">
        <w:rPr>
          <w:rFonts w:eastAsia="Times New Roman" w:cs="Calibri"/>
          <w:noProof/>
          <w:sz w:val="22"/>
          <w:szCs w:val="22"/>
        </w:rPr>
        <w:t xml:space="preserve"> especially on integrated connectivity covering a wide range of terrestrial and non-terrestrial communications networks, </w:t>
      </w:r>
      <w:r w:rsidR="002730DB" w:rsidRPr="00417E18">
        <w:rPr>
          <w:rFonts w:eastAsia="Times New Roman" w:cs="Calibri"/>
          <w:noProof/>
          <w:sz w:val="22"/>
          <w:szCs w:val="22"/>
        </w:rPr>
        <w:t>can</w:t>
      </w:r>
      <w:r w:rsidRPr="00417E18">
        <w:rPr>
          <w:rFonts w:eastAsia="Times New Roman" w:cs="Calibri"/>
          <w:noProof/>
          <w:sz w:val="22"/>
          <w:szCs w:val="22"/>
        </w:rPr>
        <w:t xml:space="preserve"> </w:t>
      </w:r>
      <w:r w:rsidR="000A2960" w:rsidRPr="0C856F1D">
        <w:rPr>
          <w:rFonts w:eastAsia="Times New Roman" w:cs="Calibri"/>
          <w:noProof/>
          <w:sz w:val="22"/>
          <w:szCs w:val="22"/>
        </w:rPr>
        <w:t>support</w:t>
      </w:r>
      <w:r w:rsidRPr="00417E18">
        <w:rPr>
          <w:rFonts w:eastAsia="Times New Roman" w:cs="Calibri"/>
          <w:noProof/>
          <w:sz w:val="22"/>
          <w:szCs w:val="22"/>
        </w:rPr>
        <w:t xml:space="preserve"> </w:t>
      </w:r>
      <w:r w:rsidRPr="00417E18">
        <w:rPr>
          <w:rFonts w:eastAsia="Times New Roman" w:cs="Calibri"/>
          <w:b/>
          <w:noProof/>
          <w:sz w:val="22"/>
          <w:szCs w:val="22"/>
        </w:rPr>
        <w:t>a wider analysis</w:t>
      </w:r>
      <w:r w:rsidR="48792D24" w:rsidRPr="00417E18">
        <w:rPr>
          <w:rFonts w:eastAsia="Times New Roman" w:cs="Calibri"/>
          <w:b/>
          <w:noProof/>
          <w:sz w:val="22"/>
          <w:szCs w:val="22"/>
        </w:rPr>
        <w:t>,</w:t>
      </w:r>
      <w:r w:rsidR="19DDDDFA" w:rsidRPr="00417E18">
        <w:rPr>
          <w:rFonts w:eastAsia="Times New Roman" w:cs="Calibri"/>
          <w:b/>
          <w:noProof/>
          <w:sz w:val="22"/>
          <w:szCs w:val="22"/>
        </w:rPr>
        <w:t xml:space="preserve"> </w:t>
      </w:r>
      <w:r w:rsidR="48792D24" w:rsidRPr="00417E18">
        <w:rPr>
          <w:rFonts w:eastAsia="Times New Roman" w:cs="Calibri"/>
          <w:b/>
          <w:bCs/>
          <w:noProof/>
          <w:sz w:val="22"/>
          <w:szCs w:val="22"/>
        </w:rPr>
        <w:t>complementing</w:t>
      </w:r>
      <w:r w:rsidRPr="00417E18">
        <w:rPr>
          <w:rFonts w:eastAsia="Times New Roman" w:cs="Calibri"/>
          <w:b/>
          <w:noProof/>
          <w:sz w:val="22"/>
          <w:szCs w:val="22"/>
        </w:rPr>
        <w:t xml:space="preserve"> the one which led to the Cable Projects of European Interest,</w:t>
      </w:r>
      <w:r w:rsidRPr="00417E18">
        <w:rPr>
          <w:rFonts w:eastAsia="Times New Roman" w:cs="Calibri"/>
          <w:noProof/>
          <w:sz w:val="22"/>
          <w:szCs w:val="22"/>
        </w:rPr>
        <w:t xml:space="preserve"> </w:t>
      </w:r>
      <w:r w:rsidR="4A438D28" w:rsidRPr="00417E18">
        <w:rPr>
          <w:rFonts w:eastAsia="Times New Roman" w:cs="Calibri"/>
          <w:noProof/>
          <w:sz w:val="22"/>
          <w:szCs w:val="22"/>
        </w:rPr>
        <w:t xml:space="preserve">and </w:t>
      </w:r>
      <w:r w:rsidRPr="00417E18">
        <w:rPr>
          <w:rFonts w:eastAsia="Times New Roman" w:cs="Calibri"/>
          <w:noProof/>
          <w:sz w:val="22"/>
          <w:szCs w:val="22"/>
        </w:rPr>
        <w:t xml:space="preserve">thereby ensuring </w:t>
      </w:r>
      <w:r w:rsidRPr="00417E18">
        <w:rPr>
          <w:rFonts w:eastAsia="Times New Roman" w:cs="Calibri"/>
          <w:b/>
          <w:noProof/>
          <w:sz w:val="22"/>
          <w:szCs w:val="22"/>
        </w:rPr>
        <w:t xml:space="preserve">an updated, </w:t>
      </w:r>
      <w:r w:rsidR="00AD1F2A" w:rsidRPr="00417E18">
        <w:rPr>
          <w:rFonts w:eastAsia="Times New Roman" w:cs="Calibri"/>
          <w:b/>
          <w:noProof/>
          <w:sz w:val="22"/>
          <w:szCs w:val="22"/>
        </w:rPr>
        <w:t>integrated</w:t>
      </w:r>
      <w:r w:rsidRPr="00417E18">
        <w:rPr>
          <w:rFonts w:eastAsia="Times New Roman" w:cs="Calibri"/>
          <w:b/>
          <w:noProof/>
          <w:sz w:val="22"/>
          <w:szCs w:val="22"/>
        </w:rPr>
        <w:t xml:space="preserve"> prioritisation of critical investments</w:t>
      </w:r>
      <w:r w:rsidRPr="00417E18">
        <w:rPr>
          <w:rFonts w:eastAsia="Times New Roman" w:cs="Calibri"/>
          <w:noProof/>
          <w:sz w:val="22"/>
          <w:szCs w:val="22"/>
        </w:rPr>
        <w:t xml:space="preserve"> in strategic backbone networks. </w:t>
      </w:r>
      <w:r w:rsidR="003A4F52" w:rsidRPr="0C856F1D">
        <w:rPr>
          <w:rFonts w:eastAsia="Times New Roman" w:cs="Calibri"/>
          <w:noProof/>
          <w:sz w:val="22"/>
          <w:szCs w:val="22"/>
        </w:rPr>
        <w:t xml:space="preserve">Building on </w:t>
      </w:r>
      <w:r w:rsidR="001A2328" w:rsidRPr="0C856F1D">
        <w:rPr>
          <w:rFonts w:eastAsia="Times New Roman" w:cs="Calibri"/>
          <w:noProof/>
          <w:sz w:val="22"/>
          <w:szCs w:val="22"/>
        </w:rPr>
        <w:t xml:space="preserve">broader orientation set out </w:t>
      </w:r>
      <w:r w:rsidR="00AD1F2A" w:rsidRPr="00417E18">
        <w:rPr>
          <w:rFonts w:eastAsia="Times New Roman" w:cs="Calibri"/>
          <w:noProof/>
          <w:sz w:val="22"/>
          <w:szCs w:val="22"/>
        </w:rPr>
        <w:t xml:space="preserve">in the Council </w:t>
      </w:r>
      <w:r w:rsidR="00710677" w:rsidRPr="07868930">
        <w:rPr>
          <w:rFonts w:eastAsia="Times New Roman" w:cs="Calibri"/>
          <w:noProof/>
          <w:sz w:val="22"/>
          <w:szCs w:val="22"/>
        </w:rPr>
        <w:t>c</w:t>
      </w:r>
      <w:r w:rsidR="00AD1F2A" w:rsidRPr="07868930">
        <w:rPr>
          <w:rFonts w:eastAsia="Times New Roman" w:cs="Calibri"/>
          <w:noProof/>
          <w:sz w:val="22"/>
          <w:szCs w:val="22"/>
        </w:rPr>
        <w:t>onclusions</w:t>
      </w:r>
      <w:r w:rsidR="00AD1F2A" w:rsidRPr="00417E18">
        <w:rPr>
          <w:rFonts w:eastAsia="Times New Roman" w:cs="Calibri"/>
          <w:noProof/>
          <w:sz w:val="22"/>
          <w:szCs w:val="22"/>
        </w:rPr>
        <w:t xml:space="preserve"> on Connectivity of </w:t>
      </w:r>
      <w:r w:rsidR="00B756EE" w:rsidRPr="00417E18">
        <w:rPr>
          <w:rFonts w:eastAsia="Times New Roman" w:cs="Calibri"/>
          <w:noProof/>
          <w:sz w:val="22"/>
          <w:szCs w:val="22"/>
        </w:rPr>
        <w:t xml:space="preserve">6 </w:t>
      </w:r>
      <w:r w:rsidR="00AD1F2A" w:rsidRPr="00417E18">
        <w:rPr>
          <w:rFonts w:eastAsia="Times New Roman" w:cs="Calibri"/>
          <w:noProof/>
          <w:sz w:val="22"/>
          <w:szCs w:val="22"/>
        </w:rPr>
        <w:t>June 2025</w:t>
      </w:r>
      <w:r w:rsidR="001A2328" w:rsidRPr="0C856F1D">
        <w:rPr>
          <w:rFonts w:eastAsia="Times New Roman" w:cs="Calibri"/>
          <w:noProof/>
          <w:sz w:val="22"/>
          <w:szCs w:val="22"/>
        </w:rPr>
        <w:t xml:space="preserve">, the Council also </w:t>
      </w:r>
      <w:r w:rsidR="001A2328" w:rsidRPr="07868930">
        <w:rPr>
          <w:rFonts w:eastAsia="Times New Roman" w:cs="Calibri"/>
          <w:noProof/>
          <w:sz w:val="22"/>
          <w:szCs w:val="22"/>
        </w:rPr>
        <w:t>invited</w:t>
      </w:r>
      <w:r w:rsidR="00E655C8" w:rsidRPr="00417E18">
        <w:rPr>
          <w:rFonts w:eastAsia="Times New Roman" w:cs="Calibri"/>
          <w:noProof/>
          <w:sz w:val="22"/>
          <w:szCs w:val="22"/>
        </w:rPr>
        <w:t xml:space="preserve"> the Commission </w:t>
      </w:r>
      <w:r w:rsidR="00E634B5" w:rsidRPr="00417E18">
        <w:rPr>
          <w:rFonts w:eastAsia="Times New Roman" w:cs="Calibri"/>
          <w:noProof/>
          <w:sz w:val="22"/>
          <w:szCs w:val="22"/>
        </w:rPr>
        <w:t xml:space="preserve">to </w:t>
      </w:r>
      <w:r w:rsidR="00D57AB7" w:rsidRPr="0C856F1D">
        <w:rPr>
          <w:rFonts w:eastAsia="Times New Roman" w:cs="Calibri"/>
          <w:noProof/>
          <w:sz w:val="22"/>
          <w:szCs w:val="22"/>
        </w:rPr>
        <w:t>assess the possibility</w:t>
      </w:r>
      <w:r w:rsidR="00B82B18" w:rsidRPr="00417E18">
        <w:rPr>
          <w:rFonts w:eastAsia="Times New Roman" w:cs="Calibri"/>
          <w:noProof/>
          <w:sz w:val="22"/>
          <w:szCs w:val="22"/>
        </w:rPr>
        <w:t xml:space="preserve"> of</w:t>
      </w:r>
      <w:r w:rsidR="00E634B5" w:rsidRPr="00417E18">
        <w:rPr>
          <w:rFonts w:eastAsia="Times New Roman" w:cs="Calibri"/>
          <w:noProof/>
          <w:sz w:val="22"/>
          <w:szCs w:val="22"/>
        </w:rPr>
        <w:t xml:space="preserve"> a coordinated initiative for planning and developing a reliable and resilient network of digital infrastructures and capacities, </w:t>
      </w:r>
      <w:r w:rsidR="00D57AB7" w:rsidRPr="0C856F1D">
        <w:rPr>
          <w:rFonts w:eastAsia="Times New Roman" w:cs="Calibri"/>
          <w:noProof/>
          <w:sz w:val="22"/>
          <w:szCs w:val="22"/>
        </w:rPr>
        <w:t>including</w:t>
      </w:r>
      <w:r w:rsidR="00E634B5" w:rsidRPr="00417E18">
        <w:rPr>
          <w:rFonts w:eastAsia="Times New Roman" w:cs="Calibri"/>
          <w:noProof/>
          <w:sz w:val="22"/>
          <w:szCs w:val="22"/>
        </w:rPr>
        <w:t xml:space="preserve"> backbone terrestrial, submarine and satellite networks, across the Union and with international partner countries</w:t>
      </w:r>
      <w:r w:rsidR="009238A0" w:rsidRPr="00417E18">
        <w:rPr>
          <w:rFonts w:eastAsia="Times New Roman" w:cs="Calibri"/>
          <w:noProof/>
          <w:sz w:val="22"/>
          <w:szCs w:val="22"/>
        </w:rPr>
        <w:t xml:space="preserve">. </w:t>
      </w:r>
    </w:p>
    <w:p w14:paraId="461CBA1C" w14:textId="493CE88B" w:rsidR="1DCB6AB3" w:rsidRPr="00417E18" w:rsidRDefault="1DCB6AB3" w:rsidP="00D12017">
      <w:pPr>
        <w:pStyle w:val="NoSpacing"/>
        <w:spacing w:after="60" w:line="278" w:lineRule="auto"/>
        <w:rPr>
          <w:rFonts w:ascii="Calibri" w:eastAsia="Times New Roman" w:hAnsi="Calibri" w:cs="Calibri"/>
          <w:noProof/>
          <w:sz w:val="22"/>
          <w:szCs w:val="22"/>
          <w:highlight w:val="yellow"/>
          <w:lang w:val="en-GB"/>
        </w:rPr>
      </w:pPr>
    </w:p>
    <w:tbl>
      <w:tblPr>
        <w:tblStyle w:val="TableGrid"/>
        <w:tblW w:w="0" w:type="auto"/>
        <w:tblLook w:val="06A0" w:firstRow="1" w:lastRow="0" w:firstColumn="1" w:lastColumn="0" w:noHBand="1" w:noVBand="1"/>
      </w:tblPr>
      <w:tblGrid>
        <w:gridCol w:w="9350"/>
      </w:tblGrid>
      <w:tr w:rsidR="4101C7C1" w:rsidRPr="00417E18" w14:paraId="0ACCDCC4" w14:textId="77777777" w:rsidTr="3DD8758B">
        <w:trPr>
          <w:trHeight w:val="300"/>
        </w:trPr>
        <w:tc>
          <w:tcPr>
            <w:tcW w:w="9360" w:type="dxa"/>
            <w:shd w:val="clear" w:color="auto" w:fill="D4F1EE"/>
          </w:tcPr>
          <w:p w14:paraId="522F8EB7" w14:textId="3592D123" w:rsidR="00DD4D68" w:rsidRPr="00417E18" w:rsidRDefault="61FE1EF3" w:rsidP="0066543B">
            <w:pPr>
              <w:spacing w:before="0"/>
              <w:rPr>
                <w:rFonts w:eastAsia="Aptos" w:cs="Calibri"/>
                <w:b/>
                <w:noProof/>
              </w:rPr>
            </w:pPr>
            <w:r w:rsidRPr="00417E18">
              <w:rPr>
                <w:rFonts w:eastAsia="Aptos" w:cs="Calibri"/>
                <w:b/>
                <w:noProof/>
              </w:rPr>
              <w:t xml:space="preserve"> </w:t>
            </w:r>
            <w:r w:rsidR="5AB3A78F" w:rsidRPr="00417E18">
              <w:rPr>
                <w:rFonts w:eastAsia="Aptos" w:cs="Calibri"/>
                <w:b/>
                <w:noProof/>
              </w:rPr>
              <w:t xml:space="preserve">Recommendation: </w:t>
            </w:r>
          </w:p>
          <w:p w14:paraId="56D67F00" w14:textId="1BCF3534" w:rsidR="199666E6" w:rsidRPr="00417E18" w:rsidRDefault="2ED70D01" w:rsidP="00D12017">
            <w:pPr>
              <w:spacing w:line="278" w:lineRule="auto"/>
              <w:rPr>
                <w:rFonts w:eastAsia="Calibri" w:cs="Calibri"/>
                <w:noProof/>
              </w:rPr>
            </w:pPr>
            <w:r w:rsidRPr="00417E18">
              <w:rPr>
                <w:rFonts w:eastAsia="Calibri" w:cs="Calibri"/>
                <w:noProof/>
              </w:rPr>
              <w:t xml:space="preserve">Member States should accelerate the deployment of </w:t>
            </w:r>
            <w:r w:rsidR="52C89B6A" w:rsidRPr="00417E18">
              <w:rPr>
                <w:rFonts w:eastAsia="Calibri" w:cs="Calibri"/>
                <w:noProof/>
              </w:rPr>
              <w:t xml:space="preserve">secure and </w:t>
            </w:r>
            <w:r w:rsidRPr="00417E18">
              <w:rPr>
                <w:rFonts w:eastAsia="Calibri" w:cs="Calibri"/>
                <w:noProof/>
              </w:rPr>
              <w:t>resilient connectivity infrastructure across the Union, by:</w:t>
            </w:r>
          </w:p>
          <w:p w14:paraId="07A70FF3" w14:textId="77777777" w:rsidR="00D64112" w:rsidRDefault="39C7B358" w:rsidP="00F36E2D">
            <w:pPr>
              <w:pStyle w:val="ListParagraph"/>
              <w:numPr>
                <w:ilvl w:val="0"/>
                <w:numId w:val="19"/>
              </w:numPr>
              <w:spacing w:before="60" w:after="120" w:line="278" w:lineRule="auto"/>
              <w:ind w:left="714" w:hanging="357"/>
              <w:contextualSpacing w:val="0"/>
              <w:rPr>
                <w:rFonts w:eastAsia="Calibri" w:cs="Calibri"/>
                <w:noProof/>
              </w:rPr>
            </w:pPr>
            <w:r w:rsidRPr="6E0CA051">
              <w:rPr>
                <w:rFonts w:eastAsia="Calibri" w:cs="Calibri"/>
                <w:noProof/>
              </w:rPr>
              <w:t>cooperating within the Cables Expert Group to implement the Cable Security Toolbox</w:t>
            </w:r>
            <w:r w:rsidR="0F76FD35" w:rsidRPr="6E0CA051">
              <w:rPr>
                <w:rFonts w:eastAsia="Calibri" w:cs="Calibri"/>
                <w:noProof/>
              </w:rPr>
              <w:t>,</w:t>
            </w:r>
            <w:r w:rsidRPr="6E0CA051">
              <w:rPr>
                <w:rFonts w:eastAsia="Calibri" w:cs="Calibri"/>
                <w:noProof/>
              </w:rPr>
              <w:t xml:space="preserve"> to advance the deployment of Cable Projects of European Interest</w:t>
            </w:r>
            <w:r w:rsidR="0E3943AF" w:rsidRPr="6E0CA051">
              <w:rPr>
                <w:rFonts w:eastAsia="Calibri" w:cs="Calibri"/>
                <w:noProof/>
              </w:rPr>
              <w:t>, and assess future priorities</w:t>
            </w:r>
            <w:r w:rsidR="4F39B642" w:rsidRPr="6E0CA051">
              <w:rPr>
                <w:rFonts w:eastAsia="Calibri" w:cs="Calibri"/>
                <w:noProof/>
              </w:rPr>
              <w:t>;</w:t>
            </w:r>
            <w:r w:rsidR="4C026503" w:rsidRPr="6E0CA051">
              <w:rPr>
                <w:rFonts w:eastAsia="Calibri" w:cs="Calibri"/>
                <w:noProof/>
              </w:rPr>
              <w:t xml:space="preserve"> </w:t>
            </w:r>
          </w:p>
          <w:p w14:paraId="42C67161" w14:textId="77777777" w:rsidR="00D64112" w:rsidRDefault="75EA036D" w:rsidP="00F36E2D">
            <w:pPr>
              <w:pStyle w:val="ListParagraph"/>
              <w:numPr>
                <w:ilvl w:val="0"/>
                <w:numId w:val="19"/>
              </w:numPr>
              <w:spacing w:before="60" w:after="120" w:line="278" w:lineRule="auto"/>
              <w:ind w:left="714" w:hanging="357"/>
              <w:contextualSpacing w:val="0"/>
              <w:rPr>
                <w:rFonts w:eastAsia="Calibri" w:cs="Calibri"/>
                <w:noProof/>
              </w:rPr>
            </w:pPr>
            <w:r w:rsidRPr="6E0CA051">
              <w:rPr>
                <w:rFonts w:eastAsia="Calibri" w:cs="Calibri"/>
                <w:noProof/>
              </w:rPr>
              <w:t xml:space="preserve">building on the CPEI approach, analyse </w:t>
            </w:r>
            <w:r w:rsidR="518C82B7" w:rsidRPr="6E0CA051">
              <w:rPr>
                <w:rFonts w:eastAsia="Calibri" w:cs="Calibri"/>
                <w:noProof/>
              </w:rPr>
              <w:t>needs</w:t>
            </w:r>
            <w:r w:rsidR="27B62DE7" w:rsidRPr="6E0CA051">
              <w:rPr>
                <w:rFonts w:eastAsia="Calibri" w:cs="Calibri"/>
                <w:noProof/>
              </w:rPr>
              <w:t xml:space="preserve"> and </w:t>
            </w:r>
            <w:r w:rsidR="518C82B7" w:rsidRPr="6E0CA051">
              <w:rPr>
                <w:rFonts w:eastAsia="Calibri" w:cs="Calibri"/>
                <w:noProof/>
              </w:rPr>
              <w:t>links</w:t>
            </w:r>
            <w:r w:rsidR="74A9200E" w:rsidRPr="6E0CA051">
              <w:rPr>
                <w:rFonts w:eastAsia="Calibri" w:cs="Calibri"/>
                <w:noProof/>
              </w:rPr>
              <w:t xml:space="preserve"> to other types of networks</w:t>
            </w:r>
            <w:r w:rsidR="39C7B358" w:rsidRPr="6E0CA051">
              <w:rPr>
                <w:rFonts w:eastAsia="Calibri" w:cs="Calibri"/>
                <w:noProof/>
              </w:rPr>
              <w:t>, taking into account projected AI data centre and cloud needs and pooling funding resources at national and EU level to deliver end-to-end resilient, secure and redundant connectivity infrastructure;</w:t>
            </w:r>
          </w:p>
          <w:p w14:paraId="01069A11" w14:textId="2FF08917" w:rsidR="00D64112" w:rsidRDefault="39C7B358" w:rsidP="00F36E2D">
            <w:pPr>
              <w:pStyle w:val="ListParagraph"/>
              <w:numPr>
                <w:ilvl w:val="0"/>
                <w:numId w:val="19"/>
              </w:numPr>
              <w:spacing w:before="60" w:after="120" w:line="278" w:lineRule="auto"/>
              <w:ind w:left="714" w:hanging="357"/>
              <w:contextualSpacing w:val="0"/>
              <w:rPr>
                <w:rFonts w:eastAsia="Calibri" w:cs="Calibri"/>
                <w:noProof/>
              </w:rPr>
            </w:pPr>
            <w:r w:rsidRPr="6E0CA051">
              <w:rPr>
                <w:rFonts w:eastAsia="Calibri" w:cs="Calibri"/>
                <w:noProof/>
              </w:rPr>
              <w:t>supporting the rollout of high-quality 5G stand-alone and 6G across the EU, including by assigning, defining sharing conditions or renewing spectrum rights under investment-conducive conditions, with particular attention to the 3.8-4.2 GHz band for local private networks</w:t>
            </w:r>
            <w:r w:rsidRPr="3F9C7EE7">
              <w:rPr>
                <w:rFonts w:eastAsia="Calibri" w:cs="Calibri"/>
                <w:noProof/>
              </w:rPr>
              <w:t>;</w:t>
            </w:r>
          </w:p>
          <w:p w14:paraId="2CB483E8" w14:textId="7CF6ACAF" w:rsidR="791363FE" w:rsidRPr="00967EE0" w:rsidRDefault="791363FE" w:rsidP="6CD7B308">
            <w:pPr>
              <w:pStyle w:val="ListParagraph"/>
              <w:numPr>
                <w:ilvl w:val="0"/>
                <w:numId w:val="19"/>
              </w:numPr>
              <w:spacing w:before="60" w:after="120" w:line="278" w:lineRule="auto"/>
              <w:ind w:left="714" w:hanging="357"/>
              <w:contextualSpacing w:val="0"/>
              <w:rPr>
                <w:rFonts w:eastAsia="Calibri" w:cs="Calibri"/>
                <w:noProof/>
              </w:rPr>
            </w:pPr>
            <w:r w:rsidRPr="00444EC8">
              <w:rPr>
                <w:rFonts w:eastAsia="Calibri" w:cs="Calibri"/>
                <w:noProof/>
              </w:rPr>
              <w:t xml:space="preserve">should actively contribute to 6G development in Europe, in particular by promoting EU capacities in 6G and related technologies (semiconductors, quantum, AI, cloud), supporting R&amp;I funding and pilots (together or in coordination with the European Commission and the SNS JU). </w:t>
            </w:r>
          </w:p>
          <w:p w14:paraId="4433547D" w14:textId="77777777" w:rsidR="00D64112" w:rsidRDefault="39C7B358" w:rsidP="00F36E2D">
            <w:pPr>
              <w:pStyle w:val="ListParagraph"/>
              <w:numPr>
                <w:ilvl w:val="0"/>
                <w:numId w:val="19"/>
              </w:numPr>
              <w:spacing w:before="60" w:after="120" w:line="278" w:lineRule="auto"/>
              <w:ind w:left="714" w:hanging="357"/>
              <w:contextualSpacing w:val="0"/>
              <w:rPr>
                <w:rFonts w:eastAsia="Calibri" w:cs="Calibri"/>
                <w:noProof/>
              </w:rPr>
            </w:pPr>
            <w:r w:rsidRPr="6E0CA051">
              <w:rPr>
                <w:rFonts w:eastAsia="Calibri" w:cs="Calibri"/>
                <w:noProof/>
              </w:rPr>
              <w:t>supporting the coordinated deployment of low-latency and high-speed secure satellite connectivity in multiple orbital layers, as a resilient and secure complement to terrestrial connectivity;</w:t>
            </w:r>
          </w:p>
          <w:p w14:paraId="6266AF8D" w14:textId="5BDADE5E" w:rsidR="7FA85494" w:rsidDel="00B30BF4" w:rsidRDefault="39C7B358" w:rsidP="783D8A34">
            <w:pPr>
              <w:pStyle w:val="ListParagraph"/>
              <w:numPr>
                <w:ilvl w:val="0"/>
                <w:numId w:val="19"/>
              </w:numPr>
              <w:spacing w:before="60" w:after="120" w:line="278" w:lineRule="auto"/>
              <w:ind w:left="714" w:hanging="357"/>
              <w:contextualSpacing w:val="0"/>
              <w:rPr>
                <w:rFonts w:eastAsia="Calibri" w:cs="Calibri"/>
                <w:noProof/>
              </w:rPr>
            </w:pPr>
            <w:r w:rsidRPr="783D8A34">
              <w:rPr>
                <w:rFonts w:eastAsia="Calibri" w:cs="Calibri"/>
                <w:noProof/>
              </w:rPr>
              <w:t>continuing the expansion of fibre networks through coordinated funding and regulation, with particular attention to underserved and rural areas, and actively promoting the switch-off of copper networks where FTTH coverage has reached around 95% and comparable retail offers are available;</w:t>
            </w:r>
          </w:p>
          <w:p w14:paraId="50E2E58C" w14:textId="38A330EC" w:rsidR="00415185" w:rsidRPr="00D44B20" w:rsidRDefault="00415185" w:rsidP="00E11929">
            <w:pPr>
              <w:pStyle w:val="ListParagraph"/>
              <w:numPr>
                <w:ilvl w:val="0"/>
                <w:numId w:val="19"/>
              </w:numPr>
              <w:spacing w:before="60" w:after="120" w:line="278" w:lineRule="auto"/>
              <w:ind w:left="714" w:hanging="357"/>
              <w:contextualSpacing w:val="0"/>
              <w:rPr>
                <w:rFonts w:eastAsia="Calibri" w:cs="Calibri"/>
                <w:noProof/>
              </w:rPr>
            </w:pPr>
            <w:r w:rsidRPr="00D44B20">
              <w:rPr>
                <w:rFonts w:eastAsia="Calibri" w:cs="Calibri"/>
                <w:noProof/>
              </w:rPr>
              <w:t>strengthening joint efforts to improve network coverage by supporting, via targeted funding and appropriate regulatory intervention, as appropriate, end users’' connections</w:t>
            </w:r>
            <w:r w:rsidR="00354647">
              <w:rPr>
                <w:rFonts w:eastAsia="Calibri" w:cs="Calibri"/>
                <w:noProof/>
              </w:rPr>
              <w:t>.</w:t>
            </w:r>
          </w:p>
          <w:p w14:paraId="083BF172" w14:textId="61CD2525" w:rsidR="7FA85494" w:rsidRPr="00D64112" w:rsidRDefault="7FA85494" w:rsidP="00967EE0">
            <w:pPr>
              <w:rPr>
                <w:noProof/>
                <w:sz w:val="24"/>
                <w:szCs w:val="24"/>
              </w:rPr>
            </w:pPr>
          </w:p>
        </w:tc>
      </w:tr>
    </w:tbl>
    <w:p w14:paraId="267B1553" w14:textId="09B692B2" w:rsidR="00870D91" w:rsidRPr="002F5D85" w:rsidRDefault="5120BFEA" w:rsidP="00E11929">
      <w:pPr>
        <w:pStyle w:val="Heading3"/>
        <w:numPr>
          <w:ilvl w:val="2"/>
          <w:numId w:val="40"/>
        </w:numPr>
        <w:rPr>
          <w:noProof/>
        </w:rPr>
      </w:pPr>
      <w:bookmarkStart w:id="52" w:name="_Toc226710903"/>
      <w:bookmarkStart w:id="53" w:name="_Toc1480286707"/>
      <w:bookmarkStart w:id="54" w:name="_Toc2139168695"/>
      <w:bookmarkStart w:id="55" w:name="_Toc231830058"/>
      <w:r w:rsidRPr="00417E18">
        <w:rPr>
          <w:noProof/>
        </w:rPr>
        <w:t>Digitalisation of SMEs and u</w:t>
      </w:r>
      <w:r w:rsidR="19D204B9" w:rsidRPr="00417E18">
        <w:rPr>
          <w:noProof/>
        </w:rPr>
        <w:t>ptake of digital technologies by EU enterprises: AI, Cloud and data analytics</w:t>
      </w:r>
      <w:bookmarkEnd w:id="52"/>
      <w:bookmarkEnd w:id="53"/>
      <w:bookmarkEnd w:id="54"/>
      <w:bookmarkEnd w:id="55"/>
    </w:p>
    <w:p w14:paraId="31CFB15D" w14:textId="2E767E43" w:rsidR="001F5747" w:rsidRPr="00417E18" w:rsidRDefault="001F5747" w:rsidP="00A734D1">
      <w:pPr>
        <w:spacing w:line="278" w:lineRule="auto"/>
        <w:rPr>
          <w:noProof/>
          <w:sz w:val="22"/>
          <w:szCs w:val="22"/>
        </w:rPr>
      </w:pPr>
      <w:r w:rsidRPr="00417E18">
        <w:rPr>
          <w:noProof/>
          <w:sz w:val="22"/>
          <w:szCs w:val="22"/>
        </w:rPr>
        <w:t xml:space="preserve">While building cutting-edge capacity and infrastructure is a necessary condition for digital competitiveness, </w:t>
      </w:r>
      <w:r w:rsidRPr="00574C43">
        <w:rPr>
          <w:b/>
          <w:noProof/>
          <w:sz w:val="22"/>
          <w:szCs w:val="22"/>
        </w:rPr>
        <w:t xml:space="preserve">the </w:t>
      </w:r>
      <w:r w:rsidR="00537345" w:rsidRPr="00574C43">
        <w:rPr>
          <w:b/>
          <w:noProof/>
          <w:sz w:val="22"/>
          <w:szCs w:val="22"/>
        </w:rPr>
        <w:t xml:space="preserve">diffusion </w:t>
      </w:r>
      <w:r w:rsidR="00C16F31" w:rsidRPr="00574C43">
        <w:rPr>
          <w:b/>
          <w:noProof/>
          <w:sz w:val="22"/>
          <w:szCs w:val="22"/>
        </w:rPr>
        <w:t xml:space="preserve">and deployment </w:t>
      </w:r>
      <w:r w:rsidR="00537345" w:rsidRPr="00574C43">
        <w:rPr>
          <w:b/>
          <w:noProof/>
          <w:sz w:val="22"/>
          <w:szCs w:val="22"/>
        </w:rPr>
        <w:t xml:space="preserve">of advanced technologies </w:t>
      </w:r>
      <w:r w:rsidR="00C16F31" w:rsidRPr="00574C43">
        <w:rPr>
          <w:b/>
          <w:noProof/>
          <w:sz w:val="22"/>
          <w:szCs w:val="22"/>
        </w:rPr>
        <w:t xml:space="preserve">across businesses </w:t>
      </w:r>
      <w:r w:rsidR="00527B2A" w:rsidRPr="00574C43">
        <w:rPr>
          <w:b/>
          <w:noProof/>
          <w:sz w:val="22"/>
          <w:szCs w:val="22"/>
        </w:rPr>
        <w:t xml:space="preserve">is key to ensure </w:t>
      </w:r>
      <w:r w:rsidR="00F317CB" w:rsidRPr="00574C43">
        <w:rPr>
          <w:b/>
          <w:noProof/>
          <w:sz w:val="22"/>
          <w:szCs w:val="22"/>
        </w:rPr>
        <w:t xml:space="preserve">that technological leadership translates </w:t>
      </w:r>
      <w:r w:rsidR="00FC0E52" w:rsidRPr="00574C43">
        <w:rPr>
          <w:b/>
          <w:noProof/>
          <w:sz w:val="22"/>
          <w:szCs w:val="22"/>
        </w:rPr>
        <w:t>into</w:t>
      </w:r>
      <w:r w:rsidR="00F317CB" w:rsidRPr="00574C43">
        <w:rPr>
          <w:b/>
          <w:noProof/>
          <w:sz w:val="22"/>
          <w:szCs w:val="22"/>
        </w:rPr>
        <w:t xml:space="preserve"> competitiv</w:t>
      </w:r>
      <w:r w:rsidR="00FC0E52" w:rsidRPr="00574C43">
        <w:rPr>
          <w:b/>
          <w:noProof/>
          <w:sz w:val="22"/>
          <w:szCs w:val="22"/>
        </w:rPr>
        <w:t>eness gains.</w:t>
      </w:r>
      <w:r w:rsidR="00FC0E52" w:rsidRPr="00417E18">
        <w:rPr>
          <w:noProof/>
          <w:sz w:val="22"/>
          <w:szCs w:val="22"/>
        </w:rPr>
        <w:t xml:space="preserve"> </w:t>
      </w:r>
    </w:p>
    <w:p w14:paraId="1D68DA79" w14:textId="77777777" w:rsidR="00574C43" w:rsidRDefault="57BF2FC2" w:rsidP="00A734D1">
      <w:pPr>
        <w:spacing w:line="278" w:lineRule="auto"/>
        <w:rPr>
          <w:noProof/>
          <w:sz w:val="22"/>
          <w:szCs w:val="22"/>
        </w:rPr>
      </w:pPr>
      <w:r w:rsidRPr="6E0CA051">
        <w:rPr>
          <w:noProof/>
          <w:sz w:val="22"/>
          <w:szCs w:val="22"/>
        </w:rPr>
        <w:t>Th</w:t>
      </w:r>
      <w:r w:rsidR="20A4236A" w:rsidRPr="6E0CA051">
        <w:rPr>
          <w:noProof/>
          <w:sz w:val="22"/>
          <w:szCs w:val="22"/>
        </w:rPr>
        <w:t xml:space="preserve">e broad diffusion of technologies </w:t>
      </w:r>
      <w:r w:rsidR="43996B41" w:rsidRPr="6E0CA051">
        <w:rPr>
          <w:noProof/>
          <w:sz w:val="22"/>
          <w:szCs w:val="22"/>
        </w:rPr>
        <w:t xml:space="preserve">across firms, sectors and regions is </w:t>
      </w:r>
      <w:r w:rsidRPr="6E0CA051">
        <w:rPr>
          <w:noProof/>
          <w:sz w:val="22"/>
          <w:szCs w:val="22"/>
        </w:rPr>
        <w:t>the</w:t>
      </w:r>
      <w:r w:rsidR="113F9198" w:rsidRPr="6E0CA051">
        <w:rPr>
          <w:noProof/>
          <w:sz w:val="22"/>
          <w:szCs w:val="22"/>
        </w:rPr>
        <w:t>refore a</w:t>
      </w:r>
      <w:r w:rsidRPr="6E0CA051">
        <w:rPr>
          <w:noProof/>
          <w:sz w:val="22"/>
          <w:szCs w:val="22"/>
        </w:rPr>
        <w:t xml:space="preserve"> second fundamental challenge facing</w:t>
      </w:r>
      <w:r w:rsidR="202C53E6" w:rsidRPr="6E0CA051">
        <w:rPr>
          <w:noProof/>
          <w:sz w:val="22"/>
          <w:szCs w:val="22"/>
        </w:rPr>
        <w:t xml:space="preserve"> </w:t>
      </w:r>
      <w:r w:rsidR="0EA5762C" w:rsidRPr="6E0CA051">
        <w:rPr>
          <w:noProof/>
          <w:sz w:val="22"/>
          <w:szCs w:val="22"/>
        </w:rPr>
        <w:t>the EU</w:t>
      </w:r>
      <w:r w:rsidR="43996B41" w:rsidRPr="6E0CA051">
        <w:rPr>
          <w:noProof/>
          <w:sz w:val="22"/>
          <w:szCs w:val="22"/>
        </w:rPr>
        <w:t xml:space="preserve">, and </w:t>
      </w:r>
      <w:r w:rsidR="6E7125ED" w:rsidRPr="6E0CA051">
        <w:rPr>
          <w:noProof/>
          <w:sz w:val="22"/>
          <w:szCs w:val="22"/>
        </w:rPr>
        <w:t>a key</w:t>
      </w:r>
      <w:r w:rsidR="7230E169" w:rsidRPr="6E0CA051">
        <w:rPr>
          <w:noProof/>
          <w:sz w:val="22"/>
          <w:szCs w:val="22"/>
        </w:rPr>
        <w:t xml:space="preserve"> driver for productivity growth and economic transformation. </w:t>
      </w:r>
      <w:r w:rsidR="09D1E47D" w:rsidRPr="6E0CA051">
        <w:rPr>
          <w:noProof/>
          <w:sz w:val="22"/>
          <w:szCs w:val="22"/>
        </w:rPr>
        <w:t>The data on cloud, data analytics and AI up</w:t>
      </w:r>
      <w:r w:rsidR="3440F14D" w:rsidRPr="6E0CA051">
        <w:rPr>
          <w:noProof/>
          <w:sz w:val="22"/>
          <w:szCs w:val="22"/>
        </w:rPr>
        <w:t>-</w:t>
      </w:r>
      <w:r w:rsidR="09D1E47D" w:rsidRPr="6E0CA051">
        <w:rPr>
          <w:noProof/>
          <w:sz w:val="22"/>
          <w:szCs w:val="22"/>
        </w:rPr>
        <w:t xml:space="preserve">take confirm that </w:t>
      </w:r>
      <w:r w:rsidR="139A338F" w:rsidRPr="6E0CA051">
        <w:rPr>
          <w:noProof/>
          <w:sz w:val="22"/>
          <w:szCs w:val="22"/>
        </w:rPr>
        <w:t>headline adoption figures are moving in the right direction, but progress is too slow relative to 2030 targets, and SMEs consistently lag behind large</w:t>
      </w:r>
      <w:r w:rsidR="14BCD043" w:rsidRPr="6E0CA051">
        <w:rPr>
          <w:noProof/>
          <w:sz w:val="22"/>
          <w:szCs w:val="22"/>
        </w:rPr>
        <w:t xml:space="preserve"> enterprises. </w:t>
      </w:r>
    </w:p>
    <w:p w14:paraId="063F2A0A" w14:textId="5F8C1E07" w:rsidR="00361B46" w:rsidRPr="00574C43" w:rsidRDefault="00361B46" w:rsidP="00A734D1">
      <w:pPr>
        <w:spacing w:line="278" w:lineRule="auto"/>
        <w:rPr>
          <w:rFonts w:eastAsia="Calibri" w:cs="Calibri"/>
          <w:noProof/>
          <w:sz w:val="22"/>
          <w:szCs w:val="22"/>
        </w:rPr>
      </w:pPr>
      <w:r w:rsidRPr="00417E18">
        <w:rPr>
          <w:noProof/>
          <w:sz w:val="22"/>
          <w:szCs w:val="22"/>
        </w:rPr>
        <w:t>The percentage of SMEs with at least a basic level of digital intensity, according to version III of the Digital Intensity Index, rose by 13.5 percentage points in two years, from 57.90% in 2023 to 71.38% in 2025. This reflects a year-on-year increase of 11.0%. </w:t>
      </w:r>
    </w:p>
    <w:p w14:paraId="403C6B85" w14:textId="6E9CDBB4" w:rsidR="00361B46" w:rsidRPr="00417E18" w:rsidRDefault="00361B46" w:rsidP="00A734D1">
      <w:pPr>
        <w:spacing w:line="278" w:lineRule="auto"/>
        <w:rPr>
          <w:noProof/>
          <w:sz w:val="22"/>
          <w:szCs w:val="22"/>
        </w:rPr>
      </w:pPr>
      <w:r w:rsidRPr="00417E18">
        <w:rPr>
          <w:noProof/>
          <w:sz w:val="22"/>
          <w:szCs w:val="22"/>
        </w:rPr>
        <w:t>According to the forecast along the baseline trajectory, the target is expected to be achieved and surpassed by 2030, with an estimated 92.08% of SMEs having at least a basic value of the digital intensity index by then (</w:t>
      </w:r>
      <w:r w:rsidR="007871B3" w:rsidRPr="00D50573">
        <w:rPr>
          <w:noProof/>
          <w:sz w:val="22"/>
          <w:szCs w:val="22"/>
        </w:rPr>
        <w:fldChar w:fldCharType="begin"/>
      </w:r>
      <w:r w:rsidR="007871B3" w:rsidRPr="00D50573">
        <w:rPr>
          <w:noProof/>
          <w:sz w:val="22"/>
          <w:szCs w:val="22"/>
        </w:rPr>
        <w:instrText xml:space="preserve"> REF _Ref229039313 \h </w:instrText>
      </w:r>
      <w:r w:rsidR="00D50573">
        <w:rPr>
          <w:noProof/>
          <w:sz w:val="22"/>
          <w:szCs w:val="22"/>
        </w:rPr>
        <w:instrText xml:space="preserve"> \* MERGEFORMAT </w:instrText>
      </w:r>
      <w:r w:rsidR="007871B3" w:rsidRPr="00D50573">
        <w:rPr>
          <w:noProof/>
          <w:sz w:val="22"/>
          <w:szCs w:val="22"/>
        </w:rPr>
      </w:r>
      <w:r w:rsidR="007871B3" w:rsidRPr="00D50573">
        <w:rPr>
          <w:noProof/>
          <w:sz w:val="22"/>
          <w:szCs w:val="22"/>
        </w:rPr>
        <w:fldChar w:fldCharType="separate"/>
      </w:r>
      <w:r w:rsidR="007871B3" w:rsidRPr="00D50573">
        <w:rPr>
          <w:noProof/>
          <w:sz w:val="22"/>
          <w:szCs w:val="22"/>
          <w:u w:val="single"/>
        </w:rPr>
        <w:t>Figure 5</w:t>
      </w:r>
      <w:r w:rsidR="007871B3" w:rsidRPr="00D50573">
        <w:rPr>
          <w:noProof/>
          <w:sz w:val="22"/>
          <w:szCs w:val="22"/>
        </w:rPr>
        <w:fldChar w:fldCharType="end"/>
      </w:r>
      <w:r w:rsidRPr="00417E18">
        <w:rPr>
          <w:noProof/>
          <w:sz w:val="22"/>
          <w:szCs w:val="22"/>
        </w:rPr>
        <w:t>). The revised baseline trajectory is fully in line with the ideal trajectory. In 2025, the observed and ideal values overlap almost perfectly. </w:t>
      </w:r>
    </w:p>
    <w:p w14:paraId="1FA25974" w14:textId="76F38A3B" w:rsidR="00E40200" w:rsidRPr="00417E18" w:rsidRDefault="51E0FD56" w:rsidP="00A734D1">
      <w:pPr>
        <w:spacing w:line="278" w:lineRule="auto"/>
        <w:rPr>
          <w:noProof/>
          <w:sz w:val="22"/>
          <w:szCs w:val="22"/>
        </w:rPr>
      </w:pPr>
      <w:r w:rsidRPr="00417E18">
        <w:rPr>
          <w:noProof/>
          <w:sz w:val="22"/>
          <w:szCs w:val="22"/>
        </w:rPr>
        <w:t xml:space="preserve">In their National Roadmaps, </w:t>
      </w:r>
      <w:r w:rsidRPr="00417E18">
        <w:rPr>
          <w:b/>
          <w:bCs/>
          <w:noProof/>
          <w:sz w:val="22"/>
          <w:szCs w:val="22"/>
        </w:rPr>
        <w:t>16</w:t>
      </w:r>
      <w:r w:rsidR="7C1522BA" w:rsidRPr="00417E18">
        <w:rPr>
          <w:b/>
          <w:bCs/>
          <w:noProof/>
          <w:sz w:val="22"/>
          <w:szCs w:val="22"/>
        </w:rPr>
        <w:t>5</w:t>
      </w:r>
      <w:r w:rsidRPr="00417E18">
        <w:rPr>
          <w:b/>
          <w:bCs/>
          <w:noProof/>
          <w:sz w:val="22"/>
          <w:szCs w:val="22"/>
        </w:rPr>
        <w:t xml:space="preserve"> measures corresponding to a total of EUR 48.</w:t>
      </w:r>
      <w:r w:rsidR="20F96E76" w:rsidRPr="00417E18">
        <w:rPr>
          <w:b/>
          <w:bCs/>
          <w:noProof/>
          <w:sz w:val="22"/>
          <w:szCs w:val="22"/>
        </w:rPr>
        <w:t>4</w:t>
      </w:r>
      <w:r w:rsidRPr="00417E18">
        <w:rPr>
          <w:b/>
          <w:bCs/>
          <w:noProof/>
          <w:sz w:val="22"/>
          <w:szCs w:val="22"/>
        </w:rPr>
        <w:t xml:space="preserve"> billion were reported as supporting the digitalisation of SMEs</w:t>
      </w:r>
      <w:r w:rsidRPr="00417E18">
        <w:rPr>
          <w:noProof/>
          <w:sz w:val="22"/>
          <w:szCs w:val="22"/>
        </w:rPr>
        <w:t>. The measures primarily focus on facilitating the uptake and deployment of digital technologies, as well as strengthening the broader ecosystem through activities such as information sharing, knowledge exchange and collaboration on digital technologies.</w:t>
      </w:r>
    </w:p>
    <w:p w14:paraId="680F726D" w14:textId="77777777" w:rsidR="004B66EB" w:rsidRDefault="00361B46" w:rsidP="004B66EB">
      <w:pPr>
        <w:keepNext/>
        <w:rPr>
          <w:noProof/>
        </w:rPr>
      </w:pPr>
      <w:r w:rsidRPr="00417E18">
        <w:rPr>
          <w:noProof/>
          <w:lang w:eastAsia="en-GB"/>
        </w:rPr>
        <w:drawing>
          <wp:inline distT="0" distB="0" distL="0" distR="0" wp14:anchorId="02C54B32" wp14:editId="05E2FDE8">
            <wp:extent cx="5923104" cy="2049517"/>
            <wp:effectExtent l="0" t="0" r="1905" b="8255"/>
            <wp:docPr id="1980528895" name="Picture 13"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 graph with a lin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0463" cy="2052063"/>
                    </a:xfrm>
                    <a:prstGeom prst="rect">
                      <a:avLst/>
                    </a:prstGeom>
                    <a:noFill/>
                    <a:ln>
                      <a:noFill/>
                    </a:ln>
                  </pic:spPr>
                </pic:pic>
              </a:graphicData>
            </a:graphic>
          </wp:inline>
        </w:drawing>
      </w:r>
    </w:p>
    <w:p w14:paraId="68F59565" w14:textId="7F836A59" w:rsidR="00361B46" w:rsidRPr="00417E18" w:rsidRDefault="004B66EB" w:rsidP="004B66EB">
      <w:pPr>
        <w:pStyle w:val="Caption"/>
        <w:rPr>
          <w:noProof/>
        </w:rPr>
      </w:pPr>
      <w:bookmarkStart w:id="56" w:name="_Ref229039313"/>
      <w:r w:rsidRPr="004B66EB">
        <w:rPr>
          <w:noProof/>
          <w:u w:val="single"/>
        </w:rPr>
        <w:t xml:space="preserve">Figure </w:t>
      </w:r>
      <w:r w:rsidRPr="004B66EB">
        <w:rPr>
          <w:noProof/>
          <w:u w:val="single"/>
        </w:rPr>
        <w:fldChar w:fldCharType="begin"/>
      </w:r>
      <w:r w:rsidRPr="004B66EB">
        <w:rPr>
          <w:noProof/>
          <w:u w:val="single"/>
        </w:rPr>
        <w:instrText xml:space="preserve"> SEQ Figure \* ARABIC </w:instrText>
      </w:r>
      <w:r w:rsidRPr="004B66EB">
        <w:rPr>
          <w:noProof/>
          <w:u w:val="single"/>
        </w:rPr>
        <w:fldChar w:fldCharType="separate"/>
      </w:r>
      <w:r w:rsidRPr="004B66EB">
        <w:rPr>
          <w:noProof/>
          <w:u w:val="single"/>
        </w:rPr>
        <w:t>5</w:t>
      </w:r>
      <w:r w:rsidRPr="004B66EB">
        <w:rPr>
          <w:noProof/>
          <w:u w:val="single"/>
        </w:rPr>
        <w:fldChar w:fldCharType="end"/>
      </w:r>
      <w:bookmarkEnd w:id="56"/>
      <w:r w:rsidR="00D50573" w:rsidRPr="007B6296">
        <w:rPr>
          <w:noProof/>
        </w:rPr>
        <w:t>:</w:t>
      </w:r>
      <w:r>
        <w:rPr>
          <w:noProof/>
        </w:rPr>
        <w:t xml:space="preserve"> </w:t>
      </w:r>
      <w:r w:rsidRPr="00BF07BA">
        <w:rPr>
          <w:noProof/>
        </w:rPr>
        <w:t>Digital Intensity Index ver. III. Digital Decade (DD) trajectory and revised baseline trajectory towards 2030</w:t>
      </w:r>
      <w:r w:rsidR="005B1E39">
        <w:rPr>
          <w:noProof/>
        </w:rPr>
        <w:t>.</w:t>
      </w:r>
    </w:p>
    <w:p w14:paraId="39C49842" w14:textId="5723B2F9" w:rsidR="00D81EDC" w:rsidRPr="00417E18" w:rsidRDefault="00D81EDC" w:rsidP="00D81EDC">
      <w:pPr>
        <w:rPr>
          <w:noProof/>
          <w:sz w:val="22"/>
          <w:szCs w:val="22"/>
        </w:rPr>
      </w:pPr>
      <w:r w:rsidRPr="00417E18">
        <w:rPr>
          <w:b/>
          <w:noProof/>
          <w:sz w:val="22"/>
          <w:szCs w:val="22"/>
        </w:rPr>
        <w:t>The percentage of enterprises using at least one of the three technologies (Cloud, Data Analytics or AI)</w:t>
      </w:r>
      <w:r w:rsidR="003725C5">
        <w:rPr>
          <w:b/>
          <w:noProof/>
          <w:sz w:val="22"/>
          <w:szCs w:val="22"/>
        </w:rPr>
        <w:t xml:space="preserve"> </w:t>
      </w:r>
      <w:r w:rsidRPr="00417E18">
        <w:rPr>
          <w:b/>
          <w:noProof/>
          <w:sz w:val="22"/>
          <w:szCs w:val="22"/>
        </w:rPr>
        <w:t>rose by</w:t>
      </w:r>
      <w:r w:rsidR="003725C5">
        <w:rPr>
          <w:b/>
          <w:noProof/>
          <w:sz w:val="22"/>
          <w:szCs w:val="22"/>
        </w:rPr>
        <w:t xml:space="preserve"> </w:t>
      </w:r>
      <w:r w:rsidRPr="00417E18">
        <w:rPr>
          <w:b/>
          <w:noProof/>
          <w:sz w:val="22"/>
          <w:szCs w:val="22"/>
        </w:rPr>
        <w:t>8.5 percentage points,</w:t>
      </w:r>
      <w:r w:rsidRPr="00417E18">
        <w:rPr>
          <w:noProof/>
          <w:sz w:val="22"/>
          <w:szCs w:val="22"/>
        </w:rPr>
        <w:t> from 54.7% in 2023 to 63.20% in 2025. This represents a substantial year-on-year increase of 7.5%. </w:t>
      </w:r>
    </w:p>
    <w:p w14:paraId="4611E22F" w14:textId="1E4BBF4B" w:rsidR="00D81EDC" w:rsidRPr="00417E18" w:rsidRDefault="00D81EDC" w:rsidP="00D81EDC">
      <w:pPr>
        <w:rPr>
          <w:noProof/>
          <w:sz w:val="22"/>
          <w:szCs w:val="22"/>
        </w:rPr>
      </w:pPr>
      <w:r w:rsidRPr="00417E18">
        <w:rPr>
          <w:noProof/>
          <w:sz w:val="22"/>
          <w:szCs w:val="22"/>
        </w:rPr>
        <w:t>According to the forecast along the revised baseline trajectory, 95% of the target is expected to be achieved by 2030, with 71.5% of enterprises expected to use at least one of the three technologies by then (</w:t>
      </w:r>
      <w:r w:rsidR="00D50573" w:rsidRPr="00D50573">
        <w:rPr>
          <w:noProof/>
          <w:sz w:val="22"/>
          <w:szCs w:val="22"/>
        </w:rPr>
        <w:fldChar w:fldCharType="begin"/>
      </w:r>
      <w:r w:rsidR="00D50573" w:rsidRPr="00D50573">
        <w:rPr>
          <w:noProof/>
          <w:sz w:val="22"/>
          <w:szCs w:val="22"/>
        </w:rPr>
        <w:instrText xml:space="preserve"> REF _Ref229039354 \h  \* MERGEFORMAT </w:instrText>
      </w:r>
      <w:r w:rsidR="00D50573" w:rsidRPr="00D50573">
        <w:rPr>
          <w:noProof/>
          <w:sz w:val="22"/>
          <w:szCs w:val="22"/>
        </w:rPr>
      </w:r>
      <w:r w:rsidR="00D50573" w:rsidRPr="00D50573">
        <w:rPr>
          <w:noProof/>
          <w:sz w:val="22"/>
          <w:szCs w:val="22"/>
        </w:rPr>
        <w:fldChar w:fldCharType="separate"/>
      </w:r>
      <w:r w:rsidR="00D50573" w:rsidRPr="00D50573">
        <w:rPr>
          <w:noProof/>
          <w:sz w:val="22"/>
          <w:szCs w:val="22"/>
          <w:u w:val="single"/>
        </w:rPr>
        <w:t>Figure 6</w:t>
      </w:r>
      <w:r w:rsidR="00D50573" w:rsidRPr="00D50573">
        <w:rPr>
          <w:noProof/>
          <w:sz w:val="22"/>
          <w:szCs w:val="22"/>
        </w:rPr>
        <w:fldChar w:fldCharType="end"/>
      </w:r>
      <w:r w:rsidRPr="00D50573">
        <w:rPr>
          <w:noProof/>
          <w:sz w:val="22"/>
          <w:szCs w:val="22"/>
        </w:rPr>
        <w:t>).</w:t>
      </w:r>
      <w:r w:rsidRPr="00417E18">
        <w:rPr>
          <w:noProof/>
          <w:sz w:val="22"/>
          <w:szCs w:val="22"/>
        </w:rPr>
        <w:t> In 2025, the value of this KPI aligns perfectly with the ideal trajectory, reaching a value of 63.2%. The target of 75% of enterprises using at least one of the three technologies is expected to be reached in 2033 if no further actions are taken.</w:t>
      </w:r>
      <w:r w:rsidR="00035E03">
        <w:rPr>
          <w:noProof/>
          <w:sz w:val="22"/>
          <w:szCs w:val="22"/>
        </w:rPr>
        <w:t xml:space="preserve"> </w:t>
      </w:r>
    </w:p>
    <w:p w14:paraId="1F9564F6" w14:textId="77777777" w:rsidR="00D50573" w:rsidRDefault="00D81EDC" w:rsidP="00D50573">
      <w:pPr>
        <w:keepNext/>
        <w:rPr>
          <w:noProof/>
        </w:rPr>
      </w:pPr>
      <w:r>
        <w:rPr>
          <w:noProof/>
          <w:lang w:eastAsia="en-GB"/>
        </w:rPr>
        <w:drawing>
          <wp:inline distT="0" distB="0" distL="0" distR="0" wp14:anchorId="43BB3B8F" wp14:editId="01F9D15E">
            <wp:extent cx="5936912" cy="2033752"/>
            <wp:effectExtent l="0" t="0" r="6985" b="5080"/>
            <wp:docPr id="1582631419" name="Picture 8" descr="A graph with a line and a r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graph with a line and a red 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7882" cy="2037510"/>
                    </a:xfrm>
                    <a:prstGeom prst="rect">
                      <a:avLst/>
                    </a:prstGeom>
                    <a:noFill/>
                    <a:ln>
                      <a:noFill/>
                    </a:ln>
                  </pic:spPr>
                </pic:pic>
              </a:graphicData>
            </a:graphic>
          </wp:inline>
        </w:drawing>
      </w:r>
    </w:p>
    <w:p w14:paraId="371F067B" w14:textId="6F93E352" w:rsidR="00D81EDC" w:rsidRPr="00417E18" w:rsidRDefault="00D50573" w:rsidP="00D50573">
      <w:pPr>
        <w:pStyle w:val="Caption"/>
        <w:rPr>
          <w:noProof/>
          <w:sz w:val="22"/>
          <w:szCs w:val="22"/>
        </w:rPr>
      </w:pPr>
      <w:bookmarkStart w:id="57" w:name="_Ref229039354"/>
      <w:r w:rsidRPr="00D50573">
        <w:rPr>
          <w:noProof/>
          <w:u w:val="single"/>
        </w:rPr>
        <w:t xml:space="preserve">Figure </w:t>
      </w:r>
      <w:r w:rsidRPr="00D50573">
        <w:rPr>
          <w:noProof/>
          <w:u w:val="single"/>
        </w:rPr>
        <w:fldChar w:fldCharType="begin"/>
      </w:r>
      <w:r w:rsidRPr="00D50573">
        <w:rPr>
          <w:noProof/>
          <w:u w:val="single"/>
        </w:rPr>
        <w:instrText xml:space="preserve"> SEQ Figure \* ARABIC </w:instrText>
      </w:r>
      <w:r w:rsidRPr="00D50573">
        <w:rPr>
          <w:noProof/>
          <w:u w:val="single"/>
        </w:rPr>
        <w:fldChar w:fldCharType="separate"/>
      </w:r>
      <w:r>
        <w:rPr>
          <w:noProof/>
          <w:u w:val="single"/>
        </w:rPr>
        <w:t>6</w:t>
      </w:r>
      <w:r w:rsidRPr="00D50573">
        <w:rPr>
          <w:noProof/>
          <w:u w:val="single"/>
        </w:rPr>
        <w:fldChar w:fldCharType="end"/>
      </w:r>
      <w:bookmarkEnd w:id="57"/>
      <w:r w:rsidRPr="00061BD9">
        <w:rPr>
          <w:noProof/>
        </w:rPr>
        <w:t>:</w:t>
      </w:r>
      <w:r w:rsidRPr="00D50573">
        <w:rPr>
          <w:noProof/>
        </w:rPr>
        <w:t xml:space="preserve"> </w:t>
      </w:r>
      <w:r w:rsidRPr="005B577B">
        <w:rPr>
          <w:noProof/>
        </w:rPr>
        <w:t>Percentage of enterprises using AI or cloud computing or data analytics in the EU. Historical data, Digital Decade (DD) trajectory and baseline trajectory towards 2030 (same speed of diffusion parameter as in cloud baseline trajectory)</w:t>
      </w:r>
      <w:r w:rsidR="005B1E39">
        <w:rPr>
          <w:noProof/>
        </w:rPr>
        <w:t>.</w:t>
      </w:r>
    </w:p>
    <w:p w14:paraId="5D6FA0FA" w14:textId="77777777" w:rsidR="00684C9C" w:rsidRPr="0099744F" w:rsidRDefault="00684C9C" w:rsidP="00640DF4">
      <w:pPr>
        <w:pStyle w:val="Heading4"/>
        <w:rPr>
          <w:noProof/>
          <w:lang w:eastAsia="en-US"/>
        </w:rPr>
      </w:pPr>
      <w:r w:rsidRPr="0099744F">
        <w:rPr>
          <w:noProof/>
          <w:lang w:eastAsia="en-US"/>
        </w:rPr>
        <w:t>Artificial Intelligence </w:t>
      </w:r>
    </w:p>
    <w:p w14:paraId="175D4433" w14:textId="6506F897" w:rsidR="00684C9C" w:rsidRPr="00417E18" w:rsidRDefault="00684C9C" w:rsidP="00684C9C">
      <w:pPr>
        <w:rPr>
          <w:rFonts w:cs="Calibri"/>
          <w:noProof/>
          <w:sz w:val="22"/>
          <w:szCs w:val="22"/>
        </w:rPr>
      </w:pPr>
      <w:r w:rsidRPr="00417E18">
        <w:rPr>
          <w:rFonts w:cs="Calibri"/>
          <w:b/>
          <w:bCs/>
          <w:noProof/>
          <w:sz w:val="22"/>
          <w:szCs w:val="22"/>
        </w:rPr>
        <w:t xml:space="preserve">According to </w:t>
      </w:r>
      <w:r w:rsidR="00D44DD9">
        <w:rPr>
          <w:rFonts w:cs="Calibri"/>
          <w:b/>
          <w:bCs/>
          <w:noProof/>
          <w:sz w:val="22"/>
          <w:szCs w:val="22"/>
        </w:rPr>
        <w:t>Eurostat</w:t>
      </w:r>
      <w:r w:rsidRPr="00417E18">
        <w:rPr>
          <w:rFonts w:cs="Calibri"/>
          <w:b/>
          <w:bCs/>
          <w:noProof/>
          <w:sz w:val="22"/>
          <w:szCs w:val="22"/>
        </w:rPr>
        <w:t xml:space="preserve"> data, the percentage of enterprises using AI technologies rose by 6.5 percentage points in one year,</w:t>
      </w:r>
      <w:r w:rsidRPr="00417E18">
        <w:rPr>
          <w:rFonts w:cs="Calibri"/>
          <w:noProof/>
          <w:sz w:val="22"/>
          <w:szCs w:val="22"/>
        </w:rPr>
        <w:t> from 13.5% in 2024 to almost 20.0% in 2025. This represents a substantial year-on-year increase of 48%, however lower than the 67% year-on-year increase of 2024.</w:t>
      </w:r>
    </w:p>
    <w:p w14:paraId="700E18F7" w14:textId="3BE778FA" w:rsidR="00684C9C" w:rsidRPr="00417E18" w:rsidRDefault="00684C9C" w:rsidP="00684C9C">
      <w:pPr>
        <w:rPr>
          <w:rFonts w:cs="Calibri"/>
          <w:noProof/>
          <w:sz w:val="22"/>
          <w:szCs w:val="22"/>
        </w:rPr>
      </w:pPr>
      <w:r w:rsidRPr="00417E18">
        <w:rPr>
          <w:rFonts w:eastAsia="Aptos" w:cs="Calibri"/>
          <w:noProof/>
          <w:sz w:val="22"/>
          <w:szCs w:val="22"/>
        </w:rPr>
        <w:t xml:space="preserve">In EU companies, the most widely used AI technologies are those for analysing written language (11.8%), which also saw the strongest increase since 2024. They are followed by AI for generating images, videos or audio (9.5%), producing written or spoken language (8.8%), and converting speech into machine-readable format (7.2%). </w:t>
      </w:r>
      <w:r w:rsidRPr="00417E18">
        <w:rPr>
          <w:rFonts w:cs="Calibri"/>
          <w:noProof/>
          <w:sz w:val="22"/>
          <w:szCs w:val="22"/>
        </w:rPr>
        <w:t>According to the forecast along the baseline trajectory, 72% of the target is expected to be achieved by 2030, with 54.28% of enterprises expected to adopt AI by then (</w:t>
      </w:r>
      <w:r w:rsidR="009836AD" w:rsidRPr="009836AD">
        <w:rPr>
          <w:rFonts w:cs="Calibri"/>
          <w:noProof/>
          <w:sz w:val="22"/>
          <w:szCs w:val="22"/>
        </w:rPr>
        <w:fldChar w:fldCharType="begin"/>
      </w:r>
      <w:r w:rsidR="009836AD" w:rsidRPr="009836AD">
        <w:rPr>
          <w:rFonts w:cs="Calibri"/>
          <w:noProof/>
          <w:sz w:val="22"/>
          <w:szCs w:val="22"/>
        </w:rPr>
        <w:instrText xml:space="preserve"> REF _Ref229039985 \h </w:instrText>
      </w:r>
      <w:r w:rsidR="009836AD">
        <w:rPr>
          <w:rFonts w:cs="Calibri"/>
          <w:noProof/>
          <w:sz w:val="22"/>
          <w:szCs w:val="22"/>
        </w:rPr>
        <w:instrText xml:space="preserve"> \* MERGEFORMAT </w:instrText>
      </w:r>
      <w:r w:rsidR="009836AD" w:rsidRPr="009836AD">
        <w:rPr>
          <w:rFonts w:cs="Calibri"/>
          <w:noProof/>
          <w:sz w:val="22"/>
          <w:szCs w:val="22"/>
        </w:rPr>
      </w:r>
      <w:r w:rsidR="009836AD" w:rsidRPr="009836AD">
        <w:rPr>
          <w:rFonts w:cs="Calibri"/>
          <w:noProof/>
          <w:sz w:val="22"/>
          <w:szCs w:val="22"/>
        </w:rPr>
        <w:fldChar w:fldCharType="separate"/>
      </w:r>
      <w:r w:rsidR="009836AD" w:rsidRPr="009836AD">
        <w:rPr>
          <w:noProof/>
          <w:sz w:val="22"/>
          <w:szCs w:val="22"/>
          <w:u w:val="single"/>
        </w:rPr>
        <w:t>Figure 7</w:t>
      </w:r>
      <w:r w:rsidR="009836AD" w:rsidRPr="009836AD">
        <w:rPr>
          <w:rFonts w:cs="Calibri"/>
          <w:noProof/>
          <w:sz w:val="22"/>
          <w:szCs w:val="22"/>
        </w:rPr>
        <w:fldChar w:fldCharType="end"/>
      </w:r>
      <w:r w:rsidRPr="00417E18">
        <w:rPr>
          <w:rFonts w:cs="Calibri"/>
          <w:noProof/>
          <w:sz w:val="22"/>
          <w:szCs w:val="22"/>
        </w:rPr>
        <w:t>).</w:t>
      </w:r>
      <w:r w:rsidR="00035E03">
        <w:rPr>
          <w:rFonts w:cs="Calibri"/>
          <w:noProof/>
          <w:sz w:val="22"/>
          <w:szCs w:val="22"/>
        </w:rPr>
        <w:t xml:space="preserve"> </w:t>
      </w:r>
      <w:r w:rsidRPr="00417E18">
        <w:rPr>
          <w:rFonts w:cs="Calibri"/>
          <w:noProof/>
          <w:sz w:val="22"/>
          <w:szCs w:val="22"/>
        </w:rPr>
        <w:t>In 2025, this KPI reached a level slightly above half of the ideal value defined by the ideal trajectory (</w:t>
      </w:r>
      <w:r w:rsidR="00E33075" w:rsidRPr="0C856F1D">
        <w:rPr>
          <w:rFonts w:cs="Calibri"/>
          <w:noProof/>
          <w:sz w:val="22"/>
          <w:szCs w:val="22"/>
        </w:rPr>
        <w:t xml:space="preserve">at </w:t>
      </w:r>
      <w:r w:rsidRPr="00417E18">
        <w:rPr>
          <w:rFonts w:cs="Calibri"/>
          <w:noProof/>
          <w:sz w:val="22"/>
          <w:szCs w:val="22"/>
        </w:rPr>
        <w:t>almost 20.0% instead of 39.1%). The target of 75% of enterprises using AI is expected to be reached not earlier than 2035 if no further actions are taken.</w:t>
      </w:r>
      <w:r w:rsidR="00035E03">
        <w:rPr>
          <w:rFonts w:cs="Calibri"/>
          <w:noProof/>
          <w:sz w:val="22"/>
          <w:szCs w:val="22"/>
        </w:rPr>
        <w:t xml:space="preserve"> </w:t>
      </w:r>
    </w:p>
    <w:p w14:paraId="67E09DA9" w14:textId="4352CD68" w:rsidR="00684C9C" w:rsidRPr="00417E18" w:rsidRDefault="00684C9C" w:rsidP="00684C9C">
      <w:pPr>
        <w:rPr>
          <w:rFonts w:cs="Calibri"/>
          <w:noProof/>
          <w:sz w:val="22"/>
          <w:szCs w:val="22"/>
        </w:rPr>
      </w:pPr>
      <w:r w:rsidRPr="00417E18">
        <w:rPr>
          <w:rFonts w:cs="Calibri"/>
          <w:noProof/>
          <w:sz w:val="22"/>
          <w:szCs w:val="22"/>
        </w:rPr>
        <w:t xml:space="preserve">In their National Roadmaps, Member States reported investments of EUR 10.9 billion to support the uptake of AI, cloud or data analytics </w:t>
      </w:r>
      <w:r w:rsidR="00944EB1">
        <w:rPr>
          <w:rFonts w:cs="Calibri"/>
          <w:noProof/>
          <w:sz w:val="22"/>
          <w:szCs w:val="22"/>
        </w:rPr>
        <w:t>-</w:t>
      </w:r>
      <w:r w:rsidRPr="00417E18">
        <w:rPr>
          <w:rFonts w:cs="Calibri"/>
          <w:noProof/>
          <w:sz w:val="22"/>
          <w:szCs w:val="22"/>
        </w:rPr>
        <w:t xml:space="preserve"> representing approximately </w:t>
      </w:r>
      <w:r w:rsidR="793F3AB2" w:rsidRPr="00417E18">
        <w:rPr>
          <w:rFonts w:cs="Calibri"/>
          <w:noProof/>
          <w:sz w:val="22"/>
          <w:szCs w:val="22"/>
        </w:rPr>
        <w:t>3.</w:t>
      </w:r>
      <w:r w:rsidR="002A6DC6">
        <w:rPr>
          <w:rFonts w:cs="Calibri"/>
          <w:noProof/>
          <w:sz w:val="22"/>
          <w:szCs w:val="22"/>
        </w:rPr>
        <w:t>8</w:t>
      </w:r>
      <w:r w:rsidRPr="00417E18">
        <w:rPr>
          <w:rFonts w:cs="Calibri"/>
          <w:noProof/>
          <w:sz w:val="22"/>
          <w:szCs w:val="22"/>
        </w:rPr>
        <w:t>% of the total budget across roadmaps and covering 19</w:t>
      </w:r>
      <w:r w:rsidR="57B91882" w:rsidRPr="00417E18">
        <w:rPr>
          <w:rFonts w:cs="Calibri"/>
          <w:noProof/>
          <w:sz w:val="22"/>
          <w:szCs w:val="22"/>
        </w:rPr>
        <w:t>9</w:t>
      </w:r>
      <w:r w:rsidRPr="00417E18">
        <w:rPr>
          <w:rFonts w:cs="Calibri"/>
          <w:noProof/>
          <w:sz w:val="22"/>
          <w:szCs w:val="22"/>
        </w:rPr>
        <w:t xml:space="preserve"> measures in total. Among these, roughly 34 measures specifically target AI, accounting for EUR 1.</w:t>
      </w:r>
      <w:r w:rsidR="214D51CF" w:rsidRPr="00417E18">
        <w:rPr>
          <w:rFonts w:cs="Calibri"/>
          <w:noProof/>
          <w:sz w:val="22"/>
          <w:szCs w:val="22"/>
        </w:rPr>
        <w:t>4</w:t>
      </w:r>
      <w:r w:rsidRPr="00417E18">
        <w:rPr>
          <w:rFonts w:cs="Calibri"/>
          <w:noProof/>
          <w:sz w:val="22"/>
          <w:szCs w:val="22"/>
        </w:rPr>
        <w:t xml:space="preserve"> billion. </w:t>
      </w:r>
      <w:r w:rsidR="00E33075" w:rsidRPr="07868930">
        <w:rPr>
          <w:rFonts w:cs="Calibri"/>
          <w:noProof/>
          <w:sz w:val="22"/>
          <w:szCs w:val="22"/>
        </w:rPr>
        <w:t>M</w:t>
      </w:r>
      <w:r w:rsidRPr="07868930">
        <w:rPr>
          <w:rFonts w:cs="Calibri"/>
          <w:noProof/>
          <w:sz w:val="22"/>
          <w:szCs w:val="22"/>
        </w:rPr>
        <w:t>easures</w:t>
      </w:r>
      <w:r w:rsidRPr="00417E18">
        <w:rPr>
          <w:rFonts w:cs="Calibri"/>
          <w:noProof/>
          <w:sz w:val="22"/>
          <w:szCs w:val="22"/>
        </w:rPr>
        <w:t xml:space="preserve"> supporting the uptake of AI, cloud and data analytics are evenly distributed across measures to enhance the ecosystems and knowledge exchange, establish enabling framework conditions and develop capabilities across these technologies. However, AI-specific measures place a stronger emphasis on building AI capabilities. This focus is also reflected in Member States’ roadmap adjustments.</w:t>
      </w:r>
    </w:p>
    <w:p w14:paraId="2D13FF9B" w14:textId="77777777" w:rsidR="00D50573" w:rsidRDefault="00684C9C" w:rsidP="00D50573">
      <w:pPr>
        <w:keepNext/>
        <w:rPr>
          <w:noProof/>
        </w:rPr>
      </w:pPr>
      <w:r w:rsidRPr="00417E18">
        <w:rPr>
          <w:noProof/>
          <w:lang w:eastAsia="en-GB"/>
        </w:rPr>
        <w:drawing>
          <wp:inline distT="0" distB="0" distL="0" distR="0" wp14:anchorId="375A99FE" wp14:editId="29D27D64">
            <wp:extent cx="5948218" cy="2035194"/>
            <wp:effectExtent l="0" t="0" r="0" b="3175"/>
            <wp:docPr id="700533714" name="Picture 9" descr="A graph with a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graph with a 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6216" cy="2044774"/>
                    </a:xfrm>
                    <a:prstGeom prst="rect">
                      <a:avLst/>
                    </a:prstGeom>
                    <a:noFill/>
                    <a:ln>
                      <a:noFill/>
                    </a:ln>
                  </pic:spPr>
                </pic:pic>
              </a:graphicData>
            </a:graphic>
          </wp:inline>
        </w:drawing>
      </w:r>
    </w:p>
    <w:p w14:paraId="2F0D45D2" w14:textId="1784BEE5" w:rsidR="00684C9C" w:rsidRPr="00417E18" w:rsidRDefault="00D50573" w:rsidP="00D50573">
      <w:pPr>
        <w:pStyle w:val="Caption"/>
        <w:rPr>
          <w:noProof/>
        </w:rPr>
      </w:pPr>
      <w:bookmarkStart w:id="58" w:name="_Ref229039985"/>
      <w:r w:rsidRPr="00D50573">
        <w:rPr>
          <w:noProof/>
          <w:u w:val="single"/>
        </w:rPr>
        <w:t xml:space="preserve">Figure </w:t>
      </w:r>
      <w:r w:rsidRPr="00D50573">
        <w:rPr>
          <w:noProof/>
          <w:u w:val="single"/>
        </w:rPr>
        <w:fldChar w:fldCharType="begin"/>
      </w:r>
      <w:r w:rsidRPr="00D50573">
        <w:rPr>
          <w:noProof/>
          <w:u w:val="single"/>
        </w:rPr>
        <w:instrText xml:space="preserve"> SEQ Figure \* ARABIC </w:instrText>
      </w:r>
      <w:r w:rsidRPr="00D50573">
        <w:rPr>
          <w:noProof/>
          <w:u w:val="single"/>
        </w:rPr>
        <w:fldChar w:fldCharType="separate"/>
      </w:r>
      <w:r w:rsidRPr="00D50573">
        <w:rPr>
          <w:noProof/>
          <w:u w:val="single"/>
        </w:rPr>
        <w:t>7</w:t>
      </w:r>
      <w:r w:rsidRPr="00D50573">
        <w:rPr>
          <w:noProof/>
          <w:u w:val="single"/>
        </w:rPr>
        <w:fldChar w:fldCharType="end"/>
      </w:r>
      <w:bookmarkEnd w:id="58"/>
      <w:r w:rsidRPr="00D50573">
        <w:rPr>
          <w:noProof/>
        </w:rPr>
        <w:t>:</w:t>
      </w:r>
      <w:r>
        <w:rPr>
          <w:noProof/>
        </w:rPr>
        <w:t xml:space="preserve"> </w:t>
      </w:r>
      <w:r w:rsidRPr="00ED20AC">
        <w:rPr>
          <w:noProof/>
        </w:rPr>
        <w:t>Percentage of enterprises using AI in the EU. Historical data, Digital Decade (DD) trajectory and revised baseline trajectory towards 2030</w:t>
      </w:r>
      <w:r w:rsidR="005B1E39">
        <w:rPr>
          <w:noProof/>
        </w:rPr>
        <w:t>.</w:t>
      </w:r>
    </w:p>
    <w:p w14:paraId="4438773E" w14:textId="74F5C095" w:rsidR="00684C9C" w:rsidRPr="00417E18" w:rsidRDefault="00684C9C" w:rsidP="00684C9C">
      <w:pPr>
        <w:rPr>
          <w:rFonts w:eastAsia="Calibri" w:cs="Calibri"/>
          <w:noProof/>
          <w:sz w:val="22"/>
          <w:szCs w:val="22"/>
        </w:rPr>
      </w:pPr>
      <w:r w:rsidRPr="0C856F1D">
        <w:rPr>
          <w:noProof/>
          <w:sz w:val="22"/>
          <w:szCs w:val="22"/>
        </w:rPr>
        <w:t>The</w:t>
      </w:r>
      <w:r w:rsidR="005D3CA9" w:rsidRPr="0C856F1D">
        <w:rPr>
          <w:noProof/>
          <w:sz w:val="22"/>
          <w:szCs w:val="22"/>
        </w:rPr>
        <w:t>se</w:t>
      </w:r>
      <w:r w:rsidRPr="00417E18">
        <w:rPr>
          <w:noProof/>
          <w:sz w:val="22"/>
          <w:szCs w:val="22"/>
        </w:rPr>
        <w:t xml:space="preserve"> figures indicate that, </w:t>
      </w:r>
      <w:r w:rsidRPr="00417E18">
        <w:rPr>
          <w:rFonts w:eastAsia="Calibri" w:cs="Calibri"/>
          <w:noProof/>
          <w:sz w:val="22"/>
          <w:szCs w:val="22"/>
        </w:rPr>
        <w:t>despite strong recent progress, including on policy making at EU and national level, the EU remains below the Digital Decade target</w:t>
      </w:r>
      <w:r w:rsidR="005D3CA9" w:rsidRPr="07868930">
        <w:rPr>
          <w:rFonts w:eastAsia="Calibri" w:cs="Calibri"/>
          <w:noProof/>
          <w:sz w:val="22"/>
          <w:szCs w:val="22"/>
        </w:rPr>
        <w:t>.</w:t>
      </w:r>
      <w:r w:rsidRPr="07868930">
        <w:rPr>
          <w:rFonts w:eastAsia="Calibri" w:cs="Calibri"/>
          <w:noProof/>
          <w:sz w:val="22"/>
          <w:szCs w:val="22"/>
        </w:rPr>
        <w:t xml:space="preserve"> </w:t>
      </w:r>
      <w:r w:rsidR="005D3CA9" w:rsidRPr="07868930">
        <w:rPr>
          <w:rFonts w:eastAsia="Calibri" w:cs="Calibri"/>
          <w:noProof/>
          <w:sz w:val="22"/>
          <w:szCs w:val="22"/>
        </w:rPr>
        <w:t>R</w:t>
      </w:r>
      <w:r w:rsidRPr="07868930">
        <w:rPr>
          <w:rFonts w:eastAsia="Calibri" w:cs="Calibri"/>
          <w:noProof/>
          <w:sz w:val="22"/>
          <w:szCs w:val="22"/>
        </w:rPr>
        <w:t>eaching</w:t>
      </w:r>
      <w:r w:rsidRPr="00417E18">
        <w:rPr>
          <w:rFonts w:eastAsia="Calibri" w:cs="Calibri"/>
          <w:noProof/>
          <w:sz w:val="22"/>
          <w:szCs w:val="22"/>
        </w:rPr>
        <w:t xml:space="preserve"> 75% of enterprises by 2030 will require targeted support, especially for SMEs and for sectors and regions that lag behind. </w:t>
      </w:r>
      <w:r w:rsidR="004E43F1" w:rsidRPr="0C856F1D">
        <w:rPr>
          <w:rFonts w:eastAsia="Calibri" w:cs="Calibri"/>
          <w:noProof/>
          <w:sz w:val="22"/>
          <w:szCs w:val="22"/>
        </w:rPr>
        <w:t>They</w:t>
      </w:r>
      <w:r w:rsidRPr="00417E18">
        <w:rPr>
          <w:rFonts w:eastAsia="Calibri" w:cs="Calibri"/>
          <w:noProof/>
          <w:sz w:val="22"/>
          <w:szCs w:val="22"/>
        </w:rPr>
        <w:t xml:space="preserve"> also </w:t>
      </w:r>
      <w:r w:rsidR="004E43F1" w:rsidRPr="0C856F1D">
        <w:rPr>
          <w:rFonts w:eastAsia="Calibri" w:cs="Calibri"/>
          <w:noProof/>
          <w:sz w:val="22"/>
          <w:szCs w:val="22"/>
        </w:rPr>
        <w:t>show</w:t>
      </w:r>
      <w:r w:rsidRPr="00417E18">
        <w:rPr>
          <w:rFonts w:eastAsia="Calibri" w:cs="Calibri"/>
          <w:noProof/>
          <w:sz w:val="22"/>
          <w:szCs w:val="22"/>
        </w:rPr>
        <w:t xml:space="preserve"> that large firms still adopt AI much faster than SMEs, even if smaller firms are accelerating.</w:t>
      </w:r>
    </w:p>
    <w:p w14:paraId="454354F3" w14:textId="7DA789B9" w:rsidR="00684C9C" w:rsidRPr="00417E18" w:rsidRDefault="00684C9C" w:rsidP="00684C9C">
      <w:pPr>
        <w:rPr>
          <w:rFonts w:eastAsia="Calibri" w:cs="Calibri"/>
          <w:noProof/>
          <w:sz w:val="22"/>
          <w:szCs w:val="22"/>
        </w:rPr>
      </w:pPr>
      <w:r w:rsidRPr="00417E18">
        <w:rPr>
          <w:rFonts w:eastAsia="Calibri" w:cs="Calibri"/>
          <w:b/>
          <w:bCs/>
          <w:noProof/>
          <w:sz w:val="22"/>
          <w:szCs w:val="22"/>
        </w:rPr>
        <w:t>For European SMEs</w:t>
      </w:r>
      <w:r w:rsidRPr="00417E18">
        <w:rPr>
          <w:rFonts w:eastAsia="Calibri" w:cs="Calibri"/>
          <w:noProof/>
          <w:sz w:val="22"/>
          <w:szCs w:val="22"/>
        </w:rPr>
        <w:t xml:space="preserve">, the evidence suggests that the main obstacle is no longer basic awareness of AI but the difficulty of turning interest and pilots into broad business deployment. Eurostat’s latest statistics support this analysis. Among EU enterprises that had considered using AI but did not adopt it, the main reasons </w:t>
      </w:r>
      <w:r w:rsidR="00B219A1" w:rsidRPr="0C856F1D">
        <w:rPr>
          <w:rFonts w:eastAsia="Calibri" w:cs="Calibri"/>
          <w:noProof/>
          <w:sz w:val="22"/>
          <w:szCs w:val="22"/>
        </w:rPr>
        <w:t>reported</w:t>
      </w:r>
      <w:r w:rsidRPr="0C856F1D">
        <w:rPr>
          <w:rFonts w:eastAsia="Calibri" w:cs="Calibri"/>
          <w:noProof/>
          <w:sz w:val="22"/>
          <w:szCs w:val="22"/>
        </w:rPr>
        <w:t xml:space="preserve"> </w:t>
      </w:r>
      <w:r w:rsidRPr="00417E18">
        <w:rPr>
          <w:rFonts w:eastAsia="Calibri" w:cs="Calibri"/>
          <w:noProof/>
          <w:sz w:val="22"/>
          <w:szCs w:val="22"/>
        </w:rPr>
        <w:t>were lack of relevant expertise (70,89%), lack of clarity about legal consequences (52,52%) and concerns</w:t>
      </w:r>
      <w:r w:rsidRPr="00417E18">
        <w:rPr>
          <w:noProof/>
          <w:sz w:val="22"/>
          <w:szCs w:val="22"/>
        </w:rPr>
        <w:t xml:space="preserve"> regarding violation of data protection and privacy (48</w:t>
      </w:r>
      <w:r w:rsidR="004003FA">
        <w:rPr>
          <w:noProof/>
          <w:sz w:val="22"/>
          <w:szCs w:val="22"/>
        </w:rPr>
        <w:t>,</w:t>
      </w:r>
      <w:r w:rsidRPr="00417E18">
        <w:rPr>
          <w:noProof/>
          <w:sz w:val="22"/>
          <w:szCs w:val="22"/>
        </w:rPr>
        <w:t xml:space="preserve">83%). </w:t>
      </w:r>
      <w:r w:rsidR="00B23014">
        <w:rPr>
          <w:rFonts w:eastAsia="Calibri" w:cs="Calibri"/>
          <w:noProof/>
          <w:sz w:val="22"/>
          <w:szCs w:val="22"/>
        </w:rPr>
        <w:t>F</w:t>
      </w:r>
      <w:r w:rsidRPr="00417E18">
        <w:rPr>
          <w:rFonts w:eastAsia="Calibri" w:cs="Calibri"/>
          <w:noProof/>
          <w:sz w:val="22"/>
          <w:szCs w:val="22"/>
        </w:rPr>
        <w:t xml:space="preserve">or many firms the issue is no longer whether AI matters, but whether they can implement it safely, lawfully and effectively. </w:t>
      </w:r>
    </w:p>
    <w:p w14:paraId="431EB66F" w14:textId="0D086649" w:rsidR="00684C9C" w:rsidRPr="00417E18" w:rsidRDefault="00684C9C" w:rsidP="00684C9C">
      <w:pPr>
        <w:rPr>
          <w:rFonts w:eastAsia="Calibri" w:cs="Calibri"/>
          <w:noProof/>
          <w:sz w:val="22"/>
          <w:szCs w:val="22"/>
        </w:rPr>
      </w:pPr>
      <w:r w:rsidRPr="00417E18">
        <w:rPr>
          <w:rFonts w:eastAsia="Calibri" w:cs="Calibri"/>
          <w:noProof/>
          <w:sz w:val="22"/>
          <w:szCs w:val="22"/>
        </w:rPr>
        <w:t>Concretely, for SMEs, the most recurrent bottlenecks are fragmented and poor-quality data, weak interoperability systems, lack of in-house skills, uncertain returns on investments and difficulties in integrating AI in core business processes. These barriers are compounded by organisational and compliance difficulties, with many SMEs not having the internal capacity to identify viable use cases, adapt workflows, assess risks, or manage legal uncertainty around data use and AI deployment.</w:t>
      </w:r>
    </w:p>
    <w:p w14:paraId="0C499718" w14:textId="23AB75A5" w:rsidR="00684C9C" w:rsidRPr="00417E18" w:rsidRDefault="00684C9C" w:rsidP="00684C9C">
      <w:pPr>
        <w:rPr>
          <w:rFonts w:eastAsia="Calibri" w:cs="Calibri"/>
          <w:b/>
          <w:noProof/>
          <w:color w:val="101D40"/>
          <w:sz w:val="22"/>
          <w:szCs w:val="22"/>
        </w:rPr>
      </w:pPr>
      <w:r w:rsidRPr="00417E18">
        <w:rPr>
          <w:rFonts w:eastAsia="Calibri" w:cs="Calibri"/>
          <w:noProof/>
          <w:sz w:val="22"/>
          <w:szCs w:val="22"/>
        </w:rPr>
        <w:t xml:space="preserve">The main challenge is therefore one of scale and broad-based diffusion across industrial sectors with particular focus on the </w:t>
      </w:r>
      <w:r w:rsidR="000E2E36" w:rsidRPr="0C856F1D">
        <w:rPr>
          <w:rFonts w:eastAsia="Calibri" w:cs="Calibri"/>
          <w:noProof/>
          <w:sz w:val="22"/>
          <w:szCs w:val="22"/>
        </w:rPr>
        <w:t>strategical</w:t>
      </w:r>
      <w:r w:rsidR="006F0981">
        <w:rPr>
          <w:rFonts w:eastAsia="Calibri" w:cs="Calibri"/>
          <w:noProof/>
          <w:sz w:val="22"/>
          <w:szCs w:val="22"/>
        </w:rPr>
        <w:t>ly</w:t>
      </w:r>
      <w:r w:rsidR="000E2E36" w:rsidRPr="0C856F1D">
        <w:rPr>
          <w:rFonts w:eastAsia="Calibri" w:cs="Calibri"/>
          <w:noProof/>
          <w:sz w:val="22"/>
          <w:szCs w:val="22"/>
        </w:rPr>
        <w:t xml:space="preserve"> important</w:t>
      </w:r>
      <w:r w:rsidRPr="00417E18">
        <w:rPr>
          <w:rFonts w:eastAsia="Calibri" w:cs="Calibri"/>
          <w:noProof/>
          <w:sz w:val="22"/>
          <w:szCs w:val="22"/>
        </w:rPr>
        <w:t xml:space="preserve"> ones. </w:t>
      </w:r>
    </w:p>
    <w:p w14:paraId="7E36343B" w14:textId="1F5FD5A4" w:rsidR="00684C9C" w:rsidRPr="00417E18" w:rsidRDefault="00684C9C" w:rsidP="00684C9C">
      <w:pPr>
        <w:rPr>
          <w:rFonts w:eastAsia="Calibri" w:cs="Calibri"/>
          <w:noProof/>
          <w:color w:val="101D40"/>
          <w:sz w:val="22"/>
          <w:szCs w:val="22"/>
        </w:rPr>
      </w:pPr>
      <w:r w:rsidRPr="00417E18">
        <w:rPr>
          <w:rFonts w:eastAsia="Calibri" w:cs="Calibri"/>
          <w:noProof/>
          <w:sz w:val="22"/>
          <w:szCs w:val="22"/>
        </w:rPr>
        <w:t>For instance, the OECD Study</w:t>
      </w:r>
      <w:r w:rsidR="002F5D85">
        <w:rPr>
          <w:rStyle w:val="FootnoteReference"/>
          <w:rFonts w:eastAsia="Calibri" w:cs="Calibri"/>
          <w:noProof/>
          <w:sz w:val="22"/>
          <w:szCs w:val="22"/>
        </w:rPr>
        <w:footnoteReference w:id="63"/>
      </w:r>
      <w:r w:rsidRPr="00417E18">
        <w:rPr>
          <w:rFonts w:eastAsia="Calibri" w:cs="Calibri"/>
          <w:noProof/>
          <w:color w:val="101D40"/>
          <w:sz w:val="22"/>
          <w:szCs w:val="22"/>
        </w:rPr>
        <w:t xml:space="preserve"> </w:t>
      </w:r>
      <w:r w:rsidR="00944EB1">
        <w:rPr>
          <w:rFonts w:eastAsia="Calibri" w:cs="Calibri"/>
          <w:noProof/>
          <w:color w:val="101D40"/>
          <w:sz w:val="22"/>
          <w:szCs w:val="22"/>
        </w:rPr>
        <w:t>-</w:t>
      </w:r>
      <w:r w:rsidRPr="00417E18">
        <w:rPr>
          <w:rFonts w:eastAsia="Calibri" w:cs="Calibri"/>
          <w:noProof/>
          <w:color w:val="101D40"/>
          <w:sz w:val="22"/>
          <w:szCs w:val="22"/>
        </w:rPr>
        <w:t xml:space="preserve"> indicates that in manufacturing, AI uptake is still “</w:t>
      </w:r>
      <w:r w:rsidRPr="00417E18">
        <w:rPr>
          <w:rFonts w:eastAsia="Calibri" w:cs="Calibri"/>
          <w:i/>
          <w:iCs/>
          <w:noProof/>
          <w:color w:val="101D40"/>
          <w:sz w:val="22"/>
          <w:szCs w:val="22"/>
        </w:rPr>
        <w:t>modest and highly fragmented</w:t>
      </w:r>
      <w:r w:rsidRPr="00417E18">
        <w:rPr>
          <w:rFonts w:eastAsia="Calibri" w:cs="Calibri"/>
          <w:noProof/>
          <w:color w:val="101D40"/>
          <w:sz w:val="22"/>
          <w:szCs w:val="22"/>
        </w:rPr>
        <w:t xml:space="preserve">”: the share of manufacturing enterprises using at least one AI technology rose from 7% in 2021 to 11% in 2024, but the technology is still not well integrated into core production processes. </w:t>
      </w:r>
      <w:r w:rsidRPr="00417E18">
        <w:rPr>
          <w:rFonts w:eastAsia="Calibri" w:cs="Calibri"/>
          <w:noProof/>
          <w:sz w:val="22"/>
          <w:szCs w:val="22"/>
        </w:rPr>
        <w:t>The most common uses are still language-based and administrative tasks, while uptake remains lower for functions more directly tied to production, such as image recognition, robotic process automation and machine-learning-based optimisation.</w:t>
      </w:r>
    </w:p>
    <w:p w14:paraId="007EA456" w14:textId="379480DA" w:rsidR="00684C9C" w:rsidRPr="00417E18" w:rsidRDefault="00684C9C" w:rsidP="00684C9C">
      <w:pPr>
        <w:rPr>
          <w:rFonts w:eastAsia="Calibri" w:cs="Calibri"/>
          <w:noProof/>
          <w:sz w:val="22"/>
          <w:szCs w:val="22"/>
        </w:rPr>
      </w:pPr>
      <w:r w:rsidRPr="00417E18">
        <w:rPr>
          <w:rFonts w:eastAsia="Calibri" w:cs="Calibri"/>
          <w:noProof/>
          <w:sz w:val="22"/>
          <w:szCs w:val="22"/>
        </w:rPr>
        <w:t xml:space="preserve">In public transport and logistics, the report finds that many deployments remain at pilot or early implementation stage and that SMEs often struggle to keep pace because of </w:t>
      </w:r>
      <w:r w:rsidR="00A706C4" w:rsidRPr="0C856F1D">
        <w:rPr>
          <w:rFonts w:eastAsia="Calibri" w:cs="Calibri"/>
          <w:noProof/>
          <w:sz w:val="22"/>
          <w:szCs w:val="22"/>
        </w:rPr>
        <w:t>limited</w:t>
      </w:r>
      <w:r w:rsidRPr="00417E18">
        <w:rPr>
          <w:rFonts w:eastAsia="Calibri" w:cs="Calibri"/>
          <w:noProof/>
          <w:sz w:val="22"/>
          <w:szCs w:val="22"/>
        </w:rPr>
        <w:t xml:space="preserve"> access to expertise, infrastructure and funding.</w:t>
      </w:r>
    </w:p>
    <w:p w14:paraId="1573361C" w14:textId="341795D9" w:rsidR="00684C9C" w:rsidRPr="00417E18" w:rsidRDefault="00684C9C" w:rsidP="00684C9C">
      <w:pPr>
        <w:rPr>
          <w:rFonts w:eastAsia="Calibri" w:cs="Calibri"/>
          <w:noProof/>
          <w:sz w:val="22"/>
          <w:szCs w:val="22"/>
        </w:rPr>
      </w:pPr>
      <w:r w:rsidRPr="00417E18">
        <w:rPr>
          <w:rFonts w:eastAsia="Calibri" w:cs="Calibri"/>
          <w:noProof/>
          <w:sz w:val="22"/>
          <w:szCs w:val="22"/>
        </w:rPr>
        <w:t>Across sectors, the OECD repeatedly identifies fragmented datasets, poor interoperability, integration into legacy systems, compliance complexity and weak internal skills as persistent constraints on scaling.</w:t>
      </w:r>
    </w:p>
    <w:p w14:paraId="7FEF92DB" w14:textId="36125E7A" w:rsidR="00684C9C" w:rsidRPr="00417E18" w:rsidRDefault="00684C9C" w:rsidP="00684C9C">
      <w:pPr>
        <w:rPr>
          <w:rFonts w:eastAsia="Calibri" w:cs="Calibri"/>
          <w:noProof/>
          <w:sz w:val="22"/>
          <w:szCs w:val="22"/>
        </w:rPr>
      </w:pPr>
      <w:r w:rsidRPr="00417E18">
        <w:rPr>
          <w:rFonts w:eastAsia="Calibri" w:cs="Calibri"/>
          <w:noProof/>
          <w:sz w:val="22"/>
          <w:szCs w:val="22"/>
        </w:rPr>
        <w:t xml:space="preserve">For SMEs, </w:t>
      </w:r>
      <w:r w:rsidRPr="00417E18">
        <w:rPr>
          <w:rFonts w:eastAsia="Calibri" w:cs="Calibri"/>
          <w:b/>
          <w:bCs/>
          <w:noProof/>
          <w:sz w:val="22"/>
          <w:szCs w:val="22"/>
        </w:rPr>
        <w:t>de-risking adoption</w:t>
      </w:r>
      <w:r w:rsidRPr="00417E18">
        <w:rPr>
          <w:rFonts w:eastAsia="Calibri" w:cs="Calibri"/>
          <w:noProof/>
          <w:sz w:val="22"/>
          <w:szCs w:val="22"/>
        </w:rPr>
        <w:t xml:space="preserve"> has become essential: they need trusted intermediaries, simpler access to expertise, and support that combines technology, compliance and business transformation rather than addressing these issues separately. This is consistent with the direction already taken by the </w:t>
      </w:r>
      <w:r w:rsidRPr="00417E18">
        <w:rPr>
          <w:rFonts w:eastAsia="Calibri" w:cs="Calibri"/>
          <w:b/>
          <w:bCs/>
          <w:noProof/>
          <w:sz w:val="22"/>
          <w:szCs w:val="22"/>
        </w:rPr>
        <w:t>Apply AI Strategy</w:t>
      </w:r>
      <w:r w:rsidRPr="00417E18">
        <w:rPr>
          <w:rFonts w:eastAsia="Calibri" w:cs="Calibri"/>
          <w:noProof/>
          <w:sz w:val="22"/>
          <w:szCs w:val="22"/>
        </w:rPr>
        <w:t xml:space="preserve">, which includes the role of the </w:t>
      </w:r>
      <w:r w:rsidRPr="00417E18">
        <w:rPr>
          <w:rFonts w:eastAsia="Calibri" w:cs="Calibri"/>
          <w:b/>
          <w:bCs/>
          <w:noProof/>
          <w:sz w:val="22"/>
          <w:szCs w:val="22"/>
        </w:rPr>
        <w:t>European Digital Innovation Hubs (EDIHs)</w:t>
      </w:r>
      <w:r w:rsidRPr="00417E18">
        <w:rPr>
          <w:rFonts w:eastAsia="Calibri" w:cs="Calibri"/>
          <w:noProof/>
          <w:sz w:val="22"/>
          <w:szCs w:val="22"/>
        </w:rPr>
        <w:t xml:space="preserve"> as </w:t>
      </w:r>
      <w:r w:rsidRPr="00417E18">
        <w:rPr>
          <w:rFonts w:eastAsia="Calibri" w:cs="Calibri"/>
          <w:b/>
          <w:bCs/>
          <w:noProof/>
          <w:sz w:val="22"/>
          <w:szCs w:val="22"/>
        </w:rPr>
        <w:t>Experience Centres for AI</w:t>
      </w:r>
      <w:r w:rsidRPr="00417E18">
        <w:rPr>
          <w:rFonts w:eastAsia="Calibri" w:cs="Calibri"/>
          <w:noProof/>
          <w:sz w:val="22"/>
          <w:szCs w:val="22"/>
        </w:rPr>
        <w:t xml:space="preserve"> and </w:t>
      </w:r>
      <w:r w:rsidR="00EC5175" w:rsidRPr="0C856F1D">
        <w:rPr>
          <w:rFonts w:eastAsia="Calibri" w:cs="Calibri"/>
          <w:noProof/>
          <w:sz w:val="22"/>
          <w:szCs w:val="22"/>
        </w:rPr>
        <w:t xml:space="preserve">as </w:t>
      </w:r>
      <w:r w:rsidRPr="00417E18">
        <w:rPr>
          <w:rFonts w:eastAsia="Calibri" w:cs="Calibri"/>
          <w:noProof/>
          <w:sz w:val="22"/>
          <w:szCs w:val="22"/>
        </w:rPr>
        <w:t>key partners helping SMEs to “</w:t>
      </w:r>
      <w:r w:rsidRPr="00417E18">
        <w:rPr>
          <w:rFonts w:eastAsia="Calibri" w:cs="Calibri"/>
          <w:i/>
          <w:iCs/>
          <w:noProof/>
          <w:sz w:val="22"/>
          <w:szCs w:val="22"/>
        </w:rPr>
        <w:t>test before invest</w:t>
      </w:r>
      <w:r w:rsidRPr="00417E18">
        <w:rPr>
          <w:rFonts w:eastAsia="Calibri" w:cs="Calibri"/>
          <w:noProof/>
          <w:sz w:val="22"/>
          <w:szCs w:val="22"/>
        </w:rPr>
        <w:t>”, identify funding for their AI projects or network within the AI ecosystem of AI factories, Testing and Experimentation Facilities (TEFs) and future national sandboxes.</w:t>
      </w:r>
    </w:p>
    <w:p w14:paraId="24E1DA3A" w14:textId="4E666308" w:rsidR="00684C9C" w:rsidRPr="00417E18" w:rsidRDefault="00684C9C" w:rsidP="00684C9C">
      <w:pPr>
        <w:rPr>
          <w:rFonts w:eastAsia="Calibri" w:cs="Calibri"/>
          <w:noProof/>
          <w:sz w:val="22"/>
          <w:szCs w:val="22"/>
        </w:rPr>
      </w:pPr>
      <w:r w:rsidRPr="00417E18">
        <w:rPr>
          <w:rFonts w:eastAsia="Calibri" w:cs="Calibri"/>
          <w:b/>
          <w:bCs/>
          <w:noProof/>
          <w:sz w:val="22"/>
          <w:szCs w:val="22"/>
        </w:rPr>
        <w:t>At the national level</w:t>
      </w:r>
      <w:r w:rsidRPr="00417E18">
        <w:rPr>
          <w:rFonts w:eastAsia="Calibri" w:cs="Calibri"/>
          <w:noProof/>
          <w:sz w:val="22"/>
          <w:szCs w:val="22"/>
        </w:rPr>
        <w:t>, by the turn of 2026, the vast majority of Member States ha</w:t>
      </w:r>
      <w:r w:rsidR="00B23014">
        <w:rPr>
          <w:rFonts w:eastAsia="Calibri" w:cs="Calibri"/>
          <w:noProof/>
          <w:sz w:val="22"/>
          <w:szCs w:val="22"/>
        </w:rPr>
        <w:t>ve</w:t>
      </w:r>
      <w:r w:rsidRPr="00417E18">
        <w:rPr>
          <w:rFonts w:eastAsia="Calibri" w:cs="Calibri"/>
          <w:noProof/>
          <w:sz w:val="22"/>
          <w:szCs w:val="22"/>
        </w:rPr>
        <w:t xml:space="preserve"> already adopted and/or revised their own national AI </w:t>
      </w:r>
      <w:r w:rsidRPr="07868930">
        <w:rPr>
          <w:rFonts w:eastAsia="Calibri" w:cs="Calibri"/>
          <w:noProof/>
          <w:sz w:val="22"/>
          <w:szCs w:val="22"/>
        </w:rPr>
        <w:t>strateg</w:t>
      </w:r>
      <w:r w:rsidR="005E0D8D" w:rsidRPr="07868930">
        <w:rPr>
          <w:rFonts w:eastAsia="Calibri" w:cs="Calibri"/>
          <w:noProof/>
          <w:sz w:val="22"/>
          <w:szCs w:val="22"/>
        </w:rPr>
        <w:t>ies</w:t>
      </w:r>
      <w:r w:rsidRPr="07868930">
        <w:rPr>
          <w:rFonts w:eastAsia="Calibri" w:cs="Calibri"/>
          <w:noProof/>
          <w:sz w:val="22"/>
          <w:szCs w:val="22"/>
        </w:rPr>
        <w:t>.</w:t>
      </w:r>
      <w:r w:rsidRPr="00417E18">
        <w:rPr>
          <w:rFonts w:eastAsia="Calibri" w:cs="Calibri"/>
          <w:noProof/>
          <w:sz w:val="22"/>
          <w:szCs w:val="22"/>
        </w:rPr>
        <w:t xml:space="preserve"> However, the national implementation remains uneven in terms of dedicated budget allocated, measurable KPIs or regular evaluation.</w:t>
      </w:r>
    </w:p>
    <w:p w14:paraId="077DAC47" w14:textId="56336A7D" w:rsidR="00684C9C" w:rsidRPr="00417E18" w:rsidRDefault="00684C9C" w:rsidP="00684C9C">
      <w:pPr>
        <w:rPr>
          <w:rFonts w:eastAsia="Calibri" w:cs="Calibri"/>
          <w:noProof/>
          <w:sz w:val="22"/>
          <w:szCs w:val="22"/>
        </w:rPr>
      </w:pPr>
      <w:r w:rsidRPr="00417E18">
        <w:rPr>
          <w:rFonts w:eastAsia="Calibri" w:cs="Calibri"/>
          <w:noProof/>
          <w:sz w:val="22"/>
          <w:szCs w:val="22"/>
        </w:rPr>
        <w:t>For instance, funding AI at national level is highly uneven and often difficult to isolate because many AI measures are combined with wider digitalisation plans. This creates a divide between countries with operational governance, measurable follow-up and financing mechanisms for AI and those where AI remains embedded in broader agendas without a strong delivery architecture. Moreover, some member states do not use well-defined KPIs for AI strategies, using instead broad digital transformation frameworks.</w:t>
      </w:r>
    </w:p>
    <w:p w14:paraId="7B46E506" w14:textId="471571E4" w:rsidR="00684C9C" w:rsidRPr="00417E18" w:rsidRDefault="00684C9C" w:rsidP="00684C9C">
      <w:pPr>
        <w:rPr>
          <w:rFonts w:eastAsia="Calibri" w:cs="Calibri"/>
          <w:noProof/>
          <w:sz w:val="22"/>
          <w:szCs w:val="22"/>
        </w:rPr>
      </w:pPr>
      <w:r w:rsidRPr="00417E18">
        <w:rPr>
          <w:rFonts w:eastAsia="Calibri" w:cs="Calibri"/>
          <w:b/>
          <w:bCs/>
          <w:noProof/>
          <w:sz w:val="22"/>
          <w:szCs w:val="22"/>
        </w:rPr>
        <w:t>At European level</w:t>
      </w:r>
      <w:r w:rsidRPr="00417E18">
        <w:rPr>
          <w:rFonts w:eastAsia="Calibri" w:cs="Calibri"/>
          <w:noProof/>
          <w:sz w:val="22"/>
          <w:szCs w:val="22"/>
        </w:rPr>
        <w:t xml:space="preserve">, stronger coordination is needed to connect strategy, infrastructure and deployment. The </w:t>
      </w:r>
      <w:r w:rsidRPr="00417E18">
        <w:rPr>
          <w:rFonts w:eastAsia="Calibri" w:cs="Calibri"/>
          <w:b/>
          <w:bCs/>
          <w:noProof/>
          <w:sz w:val="22"/>
          <w:szCs w:val="22"/>
        </w:rPr>
        <w:t>AI Continent Action Plan</w:t>
      </w:r>
      <w:r w:rsidRPr="00417E18">
        <w:rPr>
          <w:rFonts w:eastAsia="Calibri" w:cs="Calibri"/>
          <w:noProof/>
          <w:sz w:val="22"/>
          <w:szCs w:val="22"/>
        </w:rPr>
        <w:t xml:space="preserve"> provides the upper-level framework for the infrastructure and enabling layer, notably through AI factories, high-quality data access and compute capacity. The </w:t>
      </w:r>
      <w:r w:rsidRPr="00417E18">
        <w:rPr>
          <w:rFonts w:eastAsia="Calibri" w:cs="Calibri"/>
          <w:b/>
          <w:bCs/>
          <w:noProof/>
          <w:sz w:val="22"/>
          <w:szCs w:val="22"/>
        </w:rPr>
        <w:t>Apply AI Strategy</w:t>
      </w:r>
      <w:r w:rsidRPr="00417E18">
        <w:rPr>
          <w:rFonts w:eastAsia="Calibri" w:cs="Calibri"/>
          <w:noProof/>
          <w:sz w:val="22"/>
          <w:szCs w:val="22"/>
        </w:rPr>
        <w:t xml:space="preserve"> is particularly important for the uptake objective, </w:t>
      </w:r>
      <w:r w:rsidR="006F63E9" w:rsidRPr="0C856F1D">
        <w:rPr>
          <w:rFonts w:eastAsia="Calibri" w:cs="Calibri"/>
          <w:noProof/>
          <w:sz w:val="22"/>
          <w:szCs w:val="22"/>
        </w:rPr>
        <w:t>as</w:t>
      </w:r>
      <w:r w:rsidRPr="00417E18">
        <w:rPr>
          <w:rFonts w:eastAsia="Calibri" w:cs="Calibri"/>
          <w:noProof/>
          <w:sz w:val="22"/>
          <w:szCs w:val="22"/>
        </w:rPr>
        <w:t xml:space="preserve"> it is explicitly the EU’s overarching sectoral AI strategy and is designed to boost adoption and innovation across Europe, especially among SMEs. In this architecture,</w:t>
      </w:r>
      <w:r w:rsidRPr="00417E18">
        <w:rPr>
          <w:rFonts w:eastAsia="Calibri" w:cs="Calibri"/>
          <w:b/>
          <w:bCs/>
          <w:noProof/>
          <w:sz w:val="22"/>
          <w:szCs w:val="22"/>
        </w:rPr>
        <w:t xml:space="preserve"> EDIHs </w:t>
      </w:r>
      <w:r w:rsidRPr="00417E18">
        <w:rPr>
          <w:rFonts w:eastAsia="Calibri" w:cs="Calibri"/>
          <w:noProof/>
          <w:sz w:val="22"/>
          <w:szCs w:val="22"/>
        </w:rPr>
        <w:t xml:space="preserve">are meant to function increasingly as </w:t>
      </w:r>
      <w:r w:rsidRPr="00417E18">
        <w:rPr>
          <w:rFonts w:eastAsia="Calibri" w:cs="Calibri"/>
          <w:b/>
          <w:bCs/>
          <w:noProof/>
          <w:sz w:val="22"/>
          <w:szCs w:val="22"/>
        </w:rPr>
        <w:t>AI Experience Centres</w:t>
      </w:r>
      <w:r w:rsidRPr="00417E18">
        <w:rPr>
          <w:rFonts w:eastAsia="Calibri" w:cs="Calibri"/>
          <w:noProof/>
          <w:sz w:val="22"/>
          <w:szCs w:val="22"/>
        </w:rPr>
        <w:t xml:space="preserve"> linked to AI Factories, Testing and Experimentation Facilities (TEFs) and regulatory sandboxes, while the </w:t>
      </w:r>
      <w:r w:rsidRPr="00417E18">
        <w:rPr>
          <w:rFonts w:eastAsia="Calibri" w:cs="Calibri"/>
          <w:b/>
          <w:bCs/>
          <w:noProof/>
          <w:sz w:val="22"/>
          <w:szCs w:val="22"/>
        </w:rPr>
        <w:t>AI Skills Academy</w:t>
      </w:r>
      <w:r w:rsidRPr="00417E18">
        <w:rPr>
          <w:rFonts w:eastAsia="Calibri" w:cs="Calibri"/>
          <w:noProof/>
          <w:sz w:val="22"/>
          <w:szCs w:val="22"/>
        </w:rPr>
        <w:t xml:space="preserve"> supports the workforce dimension.</w:t>
      </w:r>
    </w:p>
    <w:p w14:paraId="75DA53FF" w14:textId="6F1274A4" w:rsidR="006E5045" w:rsidRPr="006E5045" w:rsidRDefault="500C5469" w:rsidP="006E5045">
      <w:pPr>
        <w:spacing w:before="0" w:after="0"/>
        <w:rPr>
          <w:rFonts w:eastAsia="Calibri" w:cs="Calibri"/>
          <w:noProof/>
          <w:sz w:val="22"/>
          <w:szCs w:val="22"/>
        </w:rPr>
      </w:pPr>
      <w:r w:rsidRPr="6CD7B308">
        <w:rPr>
          <w:rFonts w:eastAsia="Calibri" w:cs="Calibri"/>
          <w:noProof/>
          <w:sz w:val="22"/>
          <w:szCs w:val="22"/>
        </w:rPr>
        <w:t>For AI uptake in EU companies, this EU-level coordination is critical: Member States on their own cannot efficiently provide the full combination of compute, high-quality data, regulatory support, testing infrastructure, skills and cross-border market scale needed for rapid AI uptake.</w:t>
      </w:r>
      <w:r w:rsidR="0158B0CF" w:rsidRPr="6CD7B308">
        <w:rPr>
          <w:rFonts w:eastAsia="Calibri" w:cs="Calibri"/>
          <w:noProof/>
          <w:sz w:val="22"/>
          <w:szCs w:val="22"/>
        </w:rPr>
        <w:t xml:space="preserve"> Related to the regulatory framework, </w:t>
      </w:r>
      <w:r w:rsidR="64FD4E6E">
        <w:rPr>
          <w:rFonts w:eastAsia="Calibri" w:cs="Calibri"/>
          <w:noProof/>
          <w:sz w:val="22"/>
          <w:szCs w:val="22"/>
          <w:lang w:val="en-US"/>
        </w:rPr>
        <w:t>n</w:t>
      </w:r>
      <w:r w:rsidR="64FD4E6E" w:rsidRPr="6CD7B308">
        <w:rPr>
          <w:rFonts w:eastAsia="Calibri" w:cs="Calibri"/>
          <w:noProof/>
          <w:sz w:val="22"/>
          <w:szCs w:val="22"/>
          <w:lang w:val="en-US"/>
        </w:rPr>
        <w:t>ational market surveillance authorities, which each Member State is required to designate under the AI Act, are responsible for enforcing compliance with the rules applicable to AI systems, including by</w:t>
      </w:r>
      <w:r w:rsidR="15CE91FC" w:rsidRPr="6CD7B308">
        <w:rPr>
          <w:rFonts w:eastAsia="Calibri" w:cs="Calibri"/>
          <w:noProof/>
          <w:sz w:val="22"/>
          <w:szCs w:val="22"/>
          <w:lang w:val="en-US"/>
        </w:rPr>
        <w:t xml:space="preserve"> proposing joint </w:t>
      </w:r>
      <w:r w:rsidR="71316B18" w:rsidRPr="6CD7B308">
        <w:rPr>
          <w:rFonts w:eastAsia="Calibri" w:cs="Calibri"/>
          <w:noProof/>
          <w:sz w:val="22"/>
          <w:szCs w:val="22"/>
          <w:lang w:val="en-US"/>
        </w:rPr>
        <w:t xml:space="preserve">investigations </w:t>
      </w:r>
      <w:r w:rsidR="6FD34B1A" w:rsidRPr="6CD7B308">
        <w:rPr>
          <w:rFonts w:eastAsia="Calibri" w:cs="Calibri"/>
          <w:noProof/>
          <w:sz w:val="22"/>
          <w:szCs w:val="22"/>
          <w:lang w:val="en-US"/>
        </w:rPr>
        <w:t>with the European Commission</w:t>
      </w:r>
      <w:r w:rsidR="64FD4E6E" w:rsidRPr="6CD7B308">
        <w:rPr>
          <w:rFonts w:eastAsia="Calibri" w:cs="Calibri"/>
          <w:noProof/>
          <w:sz w:val="22"/>
          <w:szCs w:val="22"/>
          <w:lang w:val="en-US"/>
        </w:rPr>
        <w:t xml:space="preserve">. </w:t>
      </w:r>
      <w:r w:rsidR="00762488">
        <w:rPr>
          <w:rFonts w:eastAsia="Calibri" w:cs="Calibri"/>
          <w:noProof/>
          <w:sz w:val="22"/>
          <w:szCs w:val="22"/>
          <w:lang w:val="en-US"/>
        </w:rPr>
        <w:t>To</w:t>
      </w:r>
      <w:r w:rsidR="00AE23BA">
        <w:rPr>
          <w:rFonts w:eastAsia="Calibri" w:cs="Calibri"/>
          <w:noProof/>
          <w:sz w:val="22"/>
          <w:szCs w:val="22"/>
          <w:lang w:val="en-US"/>
        </w:rPr>
        <w:t xml:space="preserve"> the best of our knowledge, </w:t>
      </w:r>
      <w:r w:rsidR="64FD4E6E" w:rsidRPr="6CD7B308">
        <w:rPr>
          <w:rFonts w:eastAsia="Calibri" w:cs="Calibri"/>
          <w:noProof/>
          <w:sz w:val="22"/>
          <w:szCs w:val="22"/>
          <w:lang w:val="en-US"/>
        </w:rPr>
        <w:t>10 Member States (Denmark, Finland, Hungary, Ireland, Italy, Latvia, Lithuania, Malta, Slovenia and Slovakia) have designated their national market surveillance authorities</w:t>
      </w:r>
      <w:r w:rsidR="00AE13A3">
        <w:rPr>
          <w:rStyle w:val="FootnoteReference"/>
          <w:rFonts w:eastAsia="Calibri" w:cs="Calibri"/>
          <w:noProof/>
          <w:sz w:val="22"/>
          <w:szCs w:val="22"/>
          <w:lang w:val="en-US"/>
        </w:rPr>
        <w:footnoteReference w:id="64"/>
      </w:r>
      <w:r w:rsidR="64FD4E6E" w:rsidRPr="6CD7B308">
        <w:rPr>
          <w:rFonts w:eastAsia="Calibri" w:cs="Calibri"/>
          <w:noProof/>
          <w:sz w:val="22"/>
          <w:szCs w:val="22"/>
          <w:lang w:val="en-US"/>
        </w:rPr>
        <w:t>.</w:t>
      </w:r>
      <w:r w:rsidR="18569670" w:rsidRPr="6CD7B308">
        <w:rPr>
          <w:rFonts w:eastAsia="Calibri" w:cs="Calibri"/>
          <w:noProof/>
          <w:sz w:val="22"/>
          <w:szCs w:val="22"/>
          <w:lang w:val="en-US"/>
        </w:rPr>
        <w:t xml:space="preserve"> </w:t>
      </w:r>
      <w:r w:rsidR="54FC8CC7" w:rsidRPr="6CD7B308">
        <w:rPr>
          <w:rFonts w:eastAsia="Calibri" w:cs="Calibri"/>
          <w:noProof/>
          <w:sz w:val="22"/>
          <w:szCs w:val="22"/>
        </w:rPr>
        <w:t>The timely establishment of these authorities, together with sufficient technical, financial and human resources, will be critical to ensuring robust oversight and effective enforcement of the AI regulatory framework.</w:t>
      </w:r>
      <w:r w:rsidR="3AA7EBC9" w:rsidRPr="6CD7B308">
        <w:rPr>
          <w:rFonts w:eastAsia="Calibri" w:cs="Calibri"/>
          <w:noProof/>
          <w:sz w:val="22"/>
          <w:szCs w:val="22"/>
          <w:lang w:val="en-US"/>
        </w:rPr>
        <w:t xml:space="preserve"> </w:t>
      </w:r>
    </w:p>
    <w:p w14:paraId="58755985" w14:textId="444EEAB7" w:rsidR="00684C9C" w:rsidRPr="00417E18" w:rsidRDefault="00684C9C" w:rsidP="009B21ED">
      <w:pPr>
        <w:rPr>
          <w:rFonts w:eastAsia="Calibri" w:cs="Calibri"/>
          <w:noProof/>
          <w:sz w:val="22"/>
          <w:szCs w:val="22"/>
        </w:rPr>
      </w:pPr>
      <w:r w:rsidRPr="00417E18">
        <w:rPr>
          <w:rFonts w:eastAsia="Calibri" w:cs="Calibri"/>
          <w:noProof/>
          <w:sz w:val="22"/>
          <w:szCs w:val="22"/>
        </w:rPr>
        <w:t>The urgency is clear when current performance is compared with EU ambitions.</w:t>
      </w:r>
      <w:r w:rsidR="00384E58">
        <w:rPr>
          <w:rFonts w:eastAsia="Calibri" w:cs="Calibri"/>
          <w:noProof/>
          <w:sz w:val="22"/>
          <w:szCs w:val="22"/>
        </w:rPr>
        <w:t xml:space="preserve"> </w:t>
      </w:r>
      <w:r w:rsidRPr="00417E18">
        <w:rPr>
          <w:rFonts w:eastAsia="Calibri" w:cs="Calibri"/>
          <w:noProof/>
          <w:sz w:val="22"/>
          <w:szCs w:val="22"/>
        </w:rPr>
        <w:t xml:space="preserve">Reaching the AI targets will depend on aligning reforms and investments across all levels of responsibility (European, national, </w:t>
      </w:r>
      <w:r w:rsidR="009B21ED">
        <w:rPr>
          <w:rFonts w:eastAsia="Calibri" w:cs="Calibri"/>
          <w:noProof/>
          <w:sz w:val="22"/>
          <w:szCs w:val="22"/>
        </w:rPr>
        <w:t xml:space="preserve">regional and </w:t>
      </w:r>
      <w:r w:rsidRPr="00417E18">
        <w:rPr>
          <w:rFonts w:eastAsia="Calibri" w:cs="Calibri"/>
          <w:noProof/>
          <w:sz w:val="22"/>
          <w:szCs w:val="22"/>
        </w:rPr>
        <w:t xml:space="preserve">local) around a key objective: </w:t>
      </w:r>
      <w:r w:rsidRPr="00417E18">
        <w:rPr>
          <w:rFonts w:eastAsia="Calibri" w:cs="Calibri"/>
          <w:b/>
          <w:bCs/>
          <w:noProof/>
          <w:sz w:val="22"/>
          <w:szCs w:val="22"/>
        </w:rPr>
        <w:t xml:space="preserve">making AI adoption easier, safer and </w:t>
      </w:r>
      <w:r w:rsidR="00017F6D" w:rsidRPr="0C856F1D">
        <w:rPr>
          <w:rFonts w:eastAsia="Calibri" w:cs="Calibri"/>
          <w:b/>
          <w:bCs/>
          <w:noProof/>
          <w:sz w:val="22"/>
          <w:szCs w:val="22"/>
        </w:rPr>
        <w:t>more affordable</w:t>
      </w:r>
      <w:r w:rsidRPr="00417E18">
        <w:rPr>
          <w:rFonts w:eastAsia="Calibri" w:cs="Calibri"/>
          <w:b/>
          <w:bCs/>
          <w:noProof/>
          <w:sz w:val="22"/>
          <w:szCs w:val="22"/>
        </w:rPr>
        <w:t xml:space="preserve"> for EU companies, especially SMEs</w:t>
      </w:r>
      <w:r w:rsidRPr="00417E18">
        <w:rPr>
          <w:rFonts w:eastAsia="Calibri" w:cs="Calibri"/>
          <w:noProof/>
          <w:sz w:val="22"/>
          <w:szCs w:val="22"/>
        </w:rPr>
        <w:t>.</w:t>
      </w:r>
    </w:p>
    <w:tbl>
      <w:tblPr>
        <w:tblStyle w:val="TableGrid"/>
        <w:tblW w:w="0" w:type="auto"/>
        <w:tblLook w:val="06A0" w:firstRow="1" w:lastRow="0" w:firstColumn="1" w:lastColumn="0" w:noHBand="1" w:noVBand="1"/>
      </w:tblPr>
      <w:tblGrid>
        <w:gridCol w:w="9350"/>
      </w:tblGrid>
      <w:tr w:rsidR="00684C9C" w:rsidRPr="00417E18" w14:paraId="0CA8809C" w14:textId="77777777" w:rsidTr="468C9DB1">
        <w:trPr>
          <w:trHeight w:val="300"/>
        </w:trPr>
        <w:tc>
          <w:tcPr>
            <w:tcW w:w="9360" w:type="dxa"/>
            <w:shd w:val="clear" w:color="auto" w:fill="D4F1EE"/>
          </w:tcPr>
          <w:p w14:paraId="485BB1D5" w14:textId="596D88BC" w:rsidR="00684C9C" w:rsidRPr="00417E18" w:rsidRDefault="00684C9C" w:rsidP="087112F8">
            <w:pPr>
              <w:rPr>
                <w:rFonts w:eastAsia="Calibri" w:cs="Calibri"/>
                <w:b/>
                <w:bCs/>
                <w:noProof/>
              </w:rPr>
            </w:pPr>
            <w:r w:rsidRPr="468C9DB1">
              <w:rPr>
                <w:rFonts w:eastAsia="Calibri" w:cs="Calibri"/>
                <w:b/>
                <w:bCs/>
                <w:noProof/>
              </w:rPr>
              <w:t xml:space="preserve">Recommendation: </w:t>
            </w:r>
          </w:p>
          <w:p w14:paraId="758FADF8" w14:textId="5E7E2B42" w:rsidR="00684C9C" w:rsidRPr="008145AB" w:rsidRDefault="402DB73D" w:rsidP="087112F8">
            <w:pPr>
              <w:spacing w:line="278" w:lineRule="auto"/>
              <w:rPr>
                <w:rFonts w:eastAsia="Calibri" w:cs="Calibri"/>
                <w:noProof/>
              </w:rPr>
            </w:pPr>
            <w:r w:rsidRPr="008145AB">
              <w:rPr>
                <w:rFonts w:eastAsia="Calibri" w:cs="Calibri"/>
                <w:noProof/>
              </w:rPr>
              <w:t>Member States should support the development, deployment and wide uptake of AI through a coordinated industrial, public-sector and governance strategy. In particular, they should:</w:t>
            </w:r>
          </w:p>
          <w:p w14:paraId="14D4AA85" w14:textId="656A94D1"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adopt and implement national AI strategies grounded in the “AI-first principle”, where appropriate, as proposed in the Apply AI strategy, with clear priorities for industrial competitiveness, public-service transformation and innovation diffusion;</w:t>
            </w:r>
          </w:p>
          <w:p w14:paraId="1CC24DA5" w14:textId="089C91D8"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strengthen investment in the development and deployment of AI models, systems and infrastructure relevant to strategic sectors such as automotive, manufacturing, healthcare, mobility and energy, while also addressing physical AI systems that integrate perception, reasoning and action in real-world environments, including robotics;</w:t>
            </w:r>
          </w:p>
          <w:p w14:paraId="4516E9DA" w14:textId="4D9D3B18"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support the real-life deployment of connected and autonomous vehicles, unmanned aerial systems, drones and cooperative drone swarms, in collaboration with regional and local authorities, and prioritise European technologies, while promoting EU initiatives such as Autonomous Drive Ambition Cities and the Drones Action Plan</w:t>
            </w:r>
          </w:p>
          <w:p w14:paraId="27AFC95B" w14:textId="165C3A35"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 xml:space="preserve">support European participation in and access to frontier AI development </w:t>
            </w:r>
            <w:r w:rsidR="009B66E7">
              <w:rPr>
                <w:rFonts w:eastAsia="Calibri" w:cs="Calibri"/>
                <w:noProof/>
              </w:rPr>
              <w:t xml:space="preserve"> -</w:t>
            </w:r>
            <w:r w:rsidRPr="008145AB">
              <w:rPr>
                <w:rFonts w:eastAsia="Calibri" w:cs="Calibri"/>
                <w:noProof/>
              </w:rPr>
              <w:t xml:space="preserve"> including large-scale advanced models and next-generation multimodal systems </w:t>
            </w:r>
            <w:r w:rsidR="009B66E7">
              <w:rPr>
                <w:rFonts w:eastAsia="Calibri" w:cs="Calibri"/>
                <w:noProof/>
              </w:rPr>
              <w:t xml:space="preserve"> -</w:t>
            </w:r>
            <w:r w:rsidRPr="008145AB">
              <w:rPr>
                <w:rFonts w:eastAsia="Calibri" w:cs="Calibri"/>
                <w:noProof/>
              </w:rPr>
              <w:t xml:space="preserve"> by investing in computing infrastructure, and fostering public-private partnerships with AI developers, with national contributions feeding into a coordinated EU-level effort;</w:t>
            </w:r>
          </w:p>
          <w:p w14:paraId="04B8FDFF" w14:textId="6A51A198"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identify, pilot and scale high-impact AI use cases across the public sector, including open</w:t>
            </w:r>
            <w:r w:rsidR="00E93584" w:rsidRPr="008145AB">
              <w:rPr>
                <w:rFonts w:eastAsia="Calibri" w:cs="Calibri"/>
                <w:noProof/>
              </w:rPr>
              <w:t>-</w:t>
            </w:r>
            <w:r w:rsidRPr="008145AB">
              <w:rPr>
                <w:rFonts w:eastAsia="Calibri" w:cs="Calibri"/>
                <w:noProof/>
              </w:rPr>
              <w:t>source applications made in Europe;</w:t>
            </w:r>
          </w:p>
          <w:p w14:paraId="3DB997AD" w14:textId="20E7556F"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continue supporting the network of European Digital Innovation Hubs (“Experience Centres for AI”), which play a key role in accelerating the uptake of AI and other digital technologies, particularly among SMEs and public administrations;</w:t>
            </w:r>
          </w:p>
          <w:p w14:paraId="499C794F" w14:textId="705551E9"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 xml:space="preserve"> ensure that national and regional AI initiatives are integrated into the broader EU AI ecosystem </w:t>
            </w:r>
            <w:r w:rsidR="009B66E7">
              <w:rPr>
                <w:rFonts w:eastAsia="Calibri" w:cs="Calibri"/>
                <w:noProof/>
              </w:rPr>
              <w:t xml:space="preserve"> -</w:t>
            </w:r>
            <w:r w:rsidRPr="008145AB">
              <w:rPr>
                <w:rFonts w:eastAsia="Calibri" w:cs="Calibri"/>
                <w:noProof/>
              </w:rPr>
              <w:t xml:space="preserve"> including Experience Centres for AI, AI factories, regulatory sandboxes, Testing and Experimentation Facilities (TEFs), and EU Digital Skills Academies </w:t>
            </w:r>
            <w:r w:rsidR="009B66E7">
              <w:rPr>
                <w:rFonts w:eastAsia="Calibri" w:cs="Calibri"/>
                <w:noProof/>
              </w:rPr>
              <w:t xml:space="preserve"> -</w:t>
            </w:r>
            <w:r w:rsidRPr="008145AB">
              <w:rPr>
                <w:rFonts w:eastAsia="Calibri" w:cs="Calibri"/>
                <w:noProof/>
              </w:rPr>
              <w:t xml:space="preserve"> to avoid duplication, pool resources and ensure that European firms can access world-class infrastructure, expertise and compute capacity;</w:t>
            </w:r>
          </w:p>
          <w:p w14:paraId="40AC5474" w14:textId="61A8DCF8" w:rsidR="00684C9C" w:rsidRPr="008145AB" w:rsidRDefault="402DB73D" w:rsidP="087112F8">
            <w:pPr>
              <w:pStyle w:val="ListParagraph"/>
              <w:numPr>
                <w:ilvl w:val="0"/>
                <w:numId w:val="1"/>
              </w:numPr>
              <w:spacing w:line="278" w:lineRule="auto"/>
              <w:contextualSpacing w:val="0"/>
              <w:rPr>
                <w:rFonts w:eastAsia="Calibri" w:cs="Calibri"/>
                <w:noProof/>
              </w:rPr>
            </w:pPr>
            <w:r w:rsidRPr="008145AB">
              <w:rPr>
                <w:rFonts w:eastAsia="Calibri" w:cs="Calibri"/>
                <w:noProof/>
              </w:rPr>
              <w:t>put in place comprehensive measures to strengthen AI literacy and advanced digital skills across society, including for workers, citizens and public administrations; and</w:t>
            </w:r>
          </w:p>
          <w:p w14:paraId="66D4CC24" w14:textId="33551D09" w:rsidR="00684C9C" w:rsidRPr="00417E18" w:rsidRDefault="60DEA80D" w:rsidP="087112F8">
            <w:pPr>
              <w:pStyle w:val="ListParagraph"/>
              <w:numPr>
                <w:ilvl w:val="0"/>
                <w:numId w:val="1"/>
              </w:numPr>
              <w:spacing w:line="278" w:lineRule="auto"/>
              <w:contextualSpacing w:val="0"/>
              <w:rPr>
                <w:rFonts w:eastAsia="Calibri" w:cs="Calibri"/>
                <w:noProof/>
                <w:sz w:val="24"/>
                <w:szCs w:val="24"/>
              </w:rPr>
            </w:pPr>
            <w:r w:rsidRPr="008145AB">
              <w:rPr>
                <w:rFonts w:eastAsia="Calibri" w:cs="Calibri"/>
                <w:noProof/>
              </w:rPr>
              <w:t xml:space="preserve">operationalise the AI Act by establishing the necessary national governance and support structures </w:t>
            </w:r>
            <w:r w:rsidR="009B66E7">
              <w:rPr>
                <w:rFonts w:eastAsia="Calibri" w:cs="Calibri"/>
                <w:noProof/>
              </w:rPr>
              <w:t xml:space="preserve"> -</w:t>
            </w:r>
            <w:r w:rsidRPr="008145AB">
              <w:rPr>
                <w:rFonts w:eastAsia="Calibri" w:cs="Calibri"/>
                <w:noProof/>
              </w:rPr>
              <w:t xml:space="preserve"> including market surveillance authorities, single points of contact, regulatory sandboxes, and accessible compliance guidance for SMEs </w:t>
            </w:r>
            <w:r w:rsidR="009B66E7">
              <w:rPr>
                <w:rFonts w:eastAsia="Calibri" w:cs="Calibri"/>
                <w:noProof/>
              </w:rPr>
              <w:t xml:space="preserve"> -</w:t>
            </w:r>
            <w:r w:rsidRPr="008145AB">
              <w:rPr>
                <w:rFonts w:eastAsia="Calibri" w:cs="Calibri"/>
                <w:noProof/>
              </w:rPr>
              <w:t xml:space="preserve"> ensuring that conformity assessment, post-market monitoring and incident reporting obligations are matched by adequate national technical capacity.</w:t>
            </w:r>
          </w:p>
        </w:tc>
      </w:tr>
    </w:tbl>
    <w:p w14:paraId="5D89045E" w14:textId="77777777" w:rsidR="00D81EDC" w:rsidRPr="00417E18" w:rsidRDefault="00D81EDC" w:rsidP="001065B4">
      <w:pPr>
        <w:rPr>
          <w:noProof/>
          <w:sz w:val="22"/>
          <w:szCs w:val="22"/>
        </w:rPr>
      </w:pPr>
    </w:p>
    <w:p w14:paraId="7A1AAE1A" w14:textId="7FEF3720" w:rsidR="003A53C2" w:rsidRPr="0099744F" w:rsidRDefault="003A53C2" w:rsidP="00B75864">
      <w:pPr>
        <w:pStyle w:val="Heading4"/>
        <w:rPr>
          <w:noProof/>
          <w:lang w:eastAsia="en-US"/>
        </w:rPr>
      </w:pPr>
      <w:r w:rsidRPr="0099744F">
        <w:rPr>
          <w:noProof/>
          <w:lang w:eastAsia="en-US"/>
        </w:rPr>
        <w:t>Cloud computing services</w:t>
      </w:r>
    </w:p>
    <w:p w14:paraId="5B4D7538" w14:textId="3A18DE05" w:rsidR="006825B7" w:rsidRPr="00417E18" w:rsidRDefault="003A53C2" w:rsidP="003A53C2">
      <w:pPr>
        <w:rPr>
          <w:noProof/>
          <w:sz w:val="22"/>
          <w:szCs w:val="22"/>
        </w:rPr>
      </w:pPr>
      <w:r w:rsidRPr="00417E18">
        <w:rPr>
          <w:b/>
          <w:bCs/>
          <w:noProof/>
          <w:sz w:val="22"/>
          <w:szCs w:val="22"/>
        </w:rPr>
        <w:t>The percentage of enterprises using sophisticated or intermediate cloud computing services rose by 7.7 percentage points,</w:t>
      </w:r>
      <w:r w:rsidRPr="00417E18">
        <w:rPr>
          <w:noProof/>
          <w:sz w:val="22"/>
          <w:szCs w:val="22"/>
        </w:rPr>
        <w:t> from 38.97% in 2023</w:t>
      </w:r>
      <w:r w:rsidR="00CB5A38">
        <w:rPr>
          <w:noProof/>
          <w:sz w:val="22"/>
          <w:szCs w:val="22"/>
        </w:rPr>
        <w:t xml:space="preserve"> </w:t>
      </w:r>
      <w:r w:rsidRPr="00417E18">
        <w:rPr>
          <w:noProof/>
          <w:sz w:val="22"/>
          <w:szCs w:val="22"/>
        </w:rPr>
        <w:t>to 46.69% in 2025. This represents a </w:t>
      </w:r>
      <w:r w:rsidRPr="00417E18">
        <w:rPr>
          <w:b/>
          <w:bCs/>
          <w:noProof/>
          <w:sz w:val="22"/>
          <w:szCs w:val="22"/>
        </w:rPr>
        <w:t>year-on-year increase rate of 9.5%</w:t>
      </w:r>
      <w:r w:rsidRPr="00417E18">
        <w:rPr>
          <w:noProof/>
          <w:sz w:val="22"/>
          <w:szCs w:val="22"/>
        </w:rPr>
        <w:t>. According to the forecast along the updated baseline trajectory, </w:t>
      </w:r>
      <w:r w:rsidRPr="00417E18">
        <w:rPr>
          <w:b/>
          <w:bCs/>
          <w:noProof/>
          <w:sz w:val="22"/>
          <w:szCs w:val="22"/>
        </w:rPr>
        <w:t>approximately 81% of the target is expected to be achieved by 2030, </w:t>
      </w:r>
      <w:r w:rsidRPr="00417E18">
        <w:rPr>
          <w:noProof/>
          <w:sz w:val="22"/>
          <w:szCs w:val="22"/>
        </w:rPr>
        <w:t>with 60.6% of enterprises estimated to adopt sophisticated or intermediate cloud services by then (</w:t>
      </w:r>
      <w:r w:rsidR="009836AD" w:rsidRPr="009836AD">
        <w:rPr>
          <w:noProof/>
          <w:sz w:val="22"/>
          <w:szCs w:val="22"/>
        </w:rPr>
        <w:fldChar w:fldCharType="begin"/>
      </w:r>
      <w:r w:rsidR="009836AD" w:rsidRPr="009836AD">
        <w:rPr>
          <w:noProof/>
          <w:sz w:val="22"/>
          <w:szCs w:val="22"/>
        </w:rPr>
        <w:instrText xml:space="preserve"> REF _Ref229040008 \h </w:instrText>
      </w:r>
      <w:r w:rsidR="009836AD">
        <w:rPr>
          <w:noProof/>
          <w:sz w:val="22"/>
          <w:szCs w:val="22"/>
        </w:rPr>
        <w:instrText xml:space="preserve"> \* MERGEFORMAT </w:instrText>
      </w:r>
      <w:r w:rsidR="009836AD" w:rsidRPr="009836AD">
        <w:rPr>
          <w:noProof/>
          <w:sz w:val="22"/>
          <w:szCs w:val="22"/>
        </w:rPr>
      </w:r>
      <w:r w:rsidR="009836AD" w:rsidRPr="009836AD">
        <w:rPr>
          <w:noProof/>
          <w:sz w:val="22"/>
          <w:szCs w:val="22"/>
        </w:rPr>
        <w:fldChar w:fldCharType="separate"/>
      </w:r>
      <w:r w:rsidR="009836AD" w:rsidRPr="009836AD">
        <w:rPr>
          <w:noProof/>
          <w:sz w:val="22"/>
          <w:szCs w:val="22"/>
          <w:u w:val="single"/>
        </w:rPr>
        <w:t>Figure 8</w:t>
      </w:r>
      <w:r w:rsidR="009836AD" w:rsidRPr="009836AD">
        <w:rPr>
          <w:noProof/>
          <w:sz w:val="22"/>
          <w:szCs w:val="22"/>
        </w:rPr>
        <w:fldChar w:fldCharType="end"/>
      </w:r>
      <w:r w:rsidRPr="00417E18">
        <w:rPr>
          <w:noProof/>
          <w:sz w:val="22"/>
          <w:szCs w:val="22"/>
        </w:rPr>
        <w:t>). The target is expected to be reached not earlier than </w:t>
      </w:r>
      <w:r w:rsidRPr="00417E18">
        <w:rPr>
          <w:b/>
          <w:bCs/>
          <w:noProof/>
          <w:sz w:val="22"/>
          <w:szCs w:val="22"/>
        </w:rPr>
        <w:t>2040</w:t>
      </w:r>
      <w:r w:rsidR="006825B7" w:rsidRPr="00417E18">
        <w:rPr>
          <w:b/>
          <w:bCs/>
          <w:noProof/>
          <w:sz w:val="22"/>
          <w:szCs w:val="22"/>
        </w:rPr>
        <w:t>,</w:t>
      </w:r>
      <w:r w:rsidRPr="00417E18">
        <w:rPr>
          <w:noProof/>
          <w:sz w:val="22"/>
          <w:szCs w:val="22"/>
        </w:rPr>
        <w:t> if no further actions are taken. </w:t>
      </w:r>
    </w:p>
    <w:p w14:paraId="46FB0AF2" w14:textId="77777777" w:rsidR="00C03894" w:rsidRDefault="003A53C2" w:rsidP="00C03894">
      <w:pPr>
        <w:keepNext/>
        <w:rPr>
          <w:noProof/>
        </w:rPr>
      </w:pPr>
      <w:r>
        <w:rPr>
          <w:noProof/>
          <w:lang w:eastAsia="en-GB"/>
        </w:rPr>
        <w:drawing>
          <wp:inline distT="0" distB="0" distL="0" distR="0" wp14:anchorId="5C010B4A" wp14:editId="698266F3">
            <wp:extent cx="5922772" cy="2008414"/>
            <wp:effectExtent l="0" t="0" r="1905" b="0"/>
            <wp:docPr id="1264060780" name="Picture 11" descr="A graph with lin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graph with lines and text&#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57948" cy="2020342"/>
                    </a:xfrm>
                    <a:prstGeom prst="rect">
                      <a:avLst/>
                    </a:prstGeom>
                    <a:noFill/>
                    <a:ln>
                      <a:noFill/>
                    </a:ln>
                  </pic:spPr>
                </pic:pic>
              </a:graphicData>
            </a:graphic>
          </wp:inline>
        </w:drawing>
      </w:r>
    </w:p>
    <w:p w14:paraId="3305BB82" w14:textId="5A9C25A4" w:rsidR="00AF1219" w:rsidRPr="00417E18" w:rsidRDefault="00C03894" w:rsidP="00C03894">
      <w:pPr>
        <w:pStyle w:val="Caption"/>
        <w:rPr>
          <w:noProof/>
          <w:sz w:val="22"/>
          <w:szCs w:val="22"/>
        </w:rPr>
      </w:pPr>
      <w:bookmarkStart w:id="59" w:name="_Ref229040008"/>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8</w:t>
      </w:r>
      <w:r w:rsidRPr="00C03894">
        <w:rPr>
          <w:noProof/>
          <w:u w:val="single"/>
        </w:rPr>
        <w:fldChar w:fldCharType="end"/>
      </w:r>
      <w:bookmarkEnd w:id="59"/>
      <w:r>
        <w:rPr>
          <w:noProof/>
        </w:rPr>
        <w:t xml:space="preserve">: </w:t>
      </w:r>
      <w:r w:rsidRPr="005C7B91">
        <w:rPr>
          <w:noProof/>
        </w:rPr>
        <w:t>Percentage of enterprises using intermediate and sophisticated cloud computing services in the EU. Historical data, Digital Decade (DD) trajectory and revised baseline trajectory towards 2030</w:t>
      </w:r>
      <w:r w:rsidR="005B1E39">
        <w:rPr>
          <w:noProof/>
        </w:rPr>
        <w:t>.</w:t>
      </w:r>
    </w:p>
    <w:p w14:paraId="037BC62D" w14:textId="5F8FD0D0" w:rsidR="003A53C2" w:rsidRPr="00417E18" w:rsidRDefault="0B0F0D62" w:rsidP="003A53C2">
      <w:pPr>
        <w:rPr>
          <w:noProof/>
          <w:sz w:val="22"/>
          <w:szCs w:val="22"/>
        </w:rPr>
      </w:pPr>
      <w:r w:rsidRPr="00417E18">
        <w:rPr>
          <w:noProof/>
          <w:sz w:val="22"/>
          <w:szCs w:val="22"/>
        </w:rPr>
        <w:t xml:space="preserve">Cloud computing remains critical for </w:t>
      </w:r>
      <w:r w:rsidR="140FCC25" w:rsidRPr="00417E18">
        <w:rPr>
          <w:noProof/>
          <w:sz w:val="22"/>
          <w:szCs w:val="22"/>
        </w:rPr>
        <w:t>business</w:t>
      </w:r>
      <w:r w:rsidRPr="00417E18">
        <w:rPr>
          <w:noProof/>
          <w:sz w:val="22"/>
          <w:szCs w:val="22"/>
        </w:rPr>
        <w:t xml:space="preserve"> digitalisation and </w:t>
      </w:r>
      <w:r w:rsidR="177750EF" w:rsidRPr="0C856F1D">
        <w:rPr>
          <w:noProof/>
          <w:sz w:val="22"/>
          <w:szCs w:val="22"/>
        </w:rPr>
        <w:t xml:space="preserve">is becoming </w:t>
      </w:r>
      <w:r w:rsidRPr="00417E18">
        <w:rPr>
          <w:noProof/>
          <w:sz w:val="22"/>
          <w:szCs w:val="22"/>
        </w:rPr>
        <w:t xml:space="preserve">an increasingly relevant enabler for AI deployment and uptake. </w:t>
      </w:r>
      <w:r w:rsidR="00984199" w:rsidRPr="00417E18">
        <w:rPr>
          <w:noProof/>
          <w:sz w:val="22"/>
          <w:szCs w:val="22"/>
        </w:rPr>
        <w:t>A</w:t>
      </w:r>
      <w:r w:rsidR="4B2FE8DA" w:rsidRPr="00417E18">
        <w:rPr>
          <w:noProof/>
          <w:sz w:val="22"/>
          <w:szCs w:val="22"/>
        </w:rPr>
        <w:t xml:space="preserve">round 53% of enterprises used paid cloud computing services in 2025, an increase of around 8 </w:t>
      </w:r>
      <w:r w:rsidR="5D9D3AC4" w:rsidRPr="00417E18">
        <w:rPr>
          <w:noProof/>
          <w:sz w:val="22"/>
          <w:szCs w:val="22"/>
        </w:rPr>
        <w:t>percentage points</w:t>
      </w:r>
      <w:r w:rsidR="4B2FE8DA" w:rsidRPr="00417E18">
        <w:rPr>
          <w:noProof/>
          <w:sz w:val="22"/>
          <w:szCs w:val="22"/>
        </w:rPr>
        <w:t xml:space="preserve"> with respect to 2023</w:t>
      </w:r>
      <w:r w:rsidR="00984199" w:rsidRPr="00417E18">
        <w:rPr>
          <w:rStyle w:val="FootnoteReference"/>
          <w:noProof/>
          <w:sz w:val="22"/>
          <w:szCs w:val="22"/>
        </w:rPr>
        <w:footnoteReference w:id="65"/>
      </w:r>
      <w:r w:rsidR="4B2FE8DA" w:rsidRPr="00417E18">
        <w:rPr>
          <w:noProof/>
          <w:sz w:val="22"/>
          <w:szCs w:val="22"/>
        </w:rPr>
        <w:t>. However, the most advan</w:t>
      </w:r>
      <w:r w:rsidR="0EB0A5A6" w:rsidRPr="00417E18">
        <w:rPr>
          <w:noProof/>
          <w:sz w:val="22"/>
          <w:szCs w:val="22"/>
        </w:rPr>
        <w:t xml:space="preserve">ced end of this adoption is less widespread, with approximately 41% of </w:t>
      </w:r>
      <w:r w:rsidR="3112AF0A" w:rsidRPr="00417E18">
        <w:rPr>
          <w:noProof/>
          <w:sz w:val="22"/>
          <w:szCs w:val="22"/>
        </w:rPr>
        <w:t>enterprises</w:t>
      </w:r>
      <w:r w:rsidR="0EB0A5A6" w:rsidRPr="00417E18">
        <w:rPr>
          <w:noProof/>
          <w:sz w:val="22"/>
          <w:szCs w:val="22"/>
        </w:rPr>
        <w:t xml:space="preserve"> buying at least one sophisticated cloud service. This </w:t>
      </w:r>
      <w:r w:rsidR="7F89F8E5" w:rsidRPr="00417E18">
        <w:rPr>
          <w:noProof/>
          <w:sz w:val="22"/>
          <w:szCs w:val="22"/>
        </w:rPr>
        <w:t>demonstrates</w:t>
      </w:r>
      <w:r w:rsidR="0EB0A5A6" w:rsidRPr="00417E18">
        <w:rPr>
          <w:noProof/>
          <w:sz w:val="22"/>
          <w:szCs w:val="22"/>
        </w:rPr>
        <w:t xml:space="preserve"> that adoption is growing </w:t>
      </w:r>
      <w:r w:rsidR="0B058A0D" w:rsidRPr="00417E18">
        <w:rPr>
          <w:noProof/>
          <w:sz w:val="22"/>
          <w:szCs w:val="22"/>
        </w:rPr>
        <w:t>but</w:t>
      </w:r>
      <w:r w:rsidR="0EB0A5A6" w:rsidRPr="00417E18">
        <w:rPr>
          <w:noProof/>
          <w:sz w:val="22"/>
          <w:szCs w:val="22"/>
        </w:rPr>
        <w:t xml:space="preserve"> </w:t>
      </w:r>
      <w:r w:rsidR="1DEB6ABB" w:rsidRPr="00417E18">
        <w:rPr>
          <w:noProof/>
          <w:sz w:val="22"/>
          <w:szCs w:val="22"/>
        </w:rPr>
        <w:t>most</w:t>
      </w:r>
      <w:r w:rsidR="0EB0A5A6" w:rsidRPr="00417E18">
        <w:rPr>
          <w:noProof/>
          <w:sz w:val="22"/>
          <w:szCs w:val="22"/>
        </w:rPr>
        <w:t xml:space="preserve"> firms are still </w:t>
      </w:r>
      <w:r w:rsidR="7EC79C2C" w:rsidRPr="00417E18">
        <w:rPr>
          <w:noProof/>
          <w:sz w:val="22"/>
          <w:szCs w:val="22"/>
        </w:rPr>
        <w:t>using basic s</w:t>
      </w:r>
      <w:r w:rsidR="4B24C8C5" w:rsidRPr="00417E18">
        <w:rPr>
          <w:noProof/>
          <w:sz w:val="22"/>
          <w:szCs w:val="22"/>
        </w:rPr>
        <w:t>ervices.</w:t>
      </w:r>
      <w:r w:rsidR="12D32CD1" w:rsidRPr="00417E18">
        <w:rPr>
          <w:noProof/>
          <w:sz w:val="22"/>
          <w:szCs w:val="22"/>
        </w:rPr>
        <w:t xml:space="preserve"> Cloud uptake is advancing but too slowly relative to the ambition of the 2030 target, which makes this recent acceleration not sufficient on its own. </w:t>
      </w:r>
    </w:p>
    <w:p w14:paraId="3F32D146" w14:textId="65F86461" w:rsidR="5F5324C7" w:rsidRPr="00417E18" w:rsidRDefault="5DCA5B6C" w:rsidP="3AB92408">
      <w:pPr>
        <w:rPr>
          <w:noProof/>
          <w:sz w:val="22"/>
          <w:szCs w:val="22"/>
        </w:rPr>
      </w:pPr>
      <w:r w:rsidRPr="00417E18">
        <w:rPr>
          <w:noProof/>
          <w:sz w:val="22"/>
          <w:szCs w:val="22"/>
        </w:rPr>
        <w:t xml:space="preserve">One of the factors </w:t>
      </w:r>
      <w:r w:rsidR="005D3E6A" w:rsidRPr="0C856F1D">
        <w:rPr>
          <w:noProof/>
          <w:sz w:val="22"/>
          <w:szCs w:val="22"/>
        </w:rPr>
        <w:t>holding back progress</w:t>
      </w:r>
      <w:r w:rsidRPr="00417E18">
        <w:rPr>
          <w:noProof/>
          <w:sz w:val="22"/>
          <w:szCs w:val="22"/>
        </w:rPr>
        <w:t xml:space="preserve"> is the </w:t>
      </w:r>
      <w:r w:rsidR="00246BB8" w:rsidRPr="0C856F1D">
        <w:rPr>
          <w:noProof/>
          <w:sz w:val="22"/>
          <w:szCs w:val="22"/>
        </w:rPr>
        <w:t>persistent</w:t>
      </w:r>
      <w:r w:rsidRPr="00417E18">
        <w:rPr>
          <w:noProof/>
          <w:sz w:val="22"/>
          <w:szCs w:val="22"/>
        </w:rPr>
        <w:t xml:space="preserve"> SME gap. In 2025, 4</w:t>
      </w:r>
      <w:r w:rsidR="00F34C05">
        <w:rPr>
          <w:noProof/>
          <w:sz w:val="22"/>
          <w:szCs w:val="22"/>
        </w:rPr>
        <w:t>6</w:t>
      </w:r>
      <w:r w:rsidRPr="00417E18">
        <w:rPr>
          <w:noProof/>
          <w:sz w:val="22"/>
          <w:szCs w:val="22"/>
        </w:rPr>
        <w:t>% of SMEs used cloud services, compared with 6</w:t>
      </w:r>
      <w:r w:rsidR="00D51017">
        <w:rPr>
          <w:noProof/>
          <w:sz w:val="22"/>
          <w:szCs w:val="22"/>
        </w:rPr>
        <w:t>0</w:t>
      </w:r>
      <w:r w:rsidRPr="00417E18">
        <w:rPr>
          <w:noProof/>
          <w:sz w:val="22"/>
          <w:szCs w:val="22"/>
        </w:rPr>
        <w:t xml:space="preserve">% </w:t>
      </w:r>
      <w:r w:rsidR="00D51017">
        <w:rPr>
          <w:noProof/>
          <w:sz w:val="22"/>
          <w:szCs w:val="22"/>
        </w:rPr>
        <w:t>for</w:t>
      </w:r>
      <w:r w:rsidRPr="00417E18">
        <w:rPr>
          <w:noProof/>
          <w:sz w:val="22"/>
          <w:szCs w:val="22"/>
        </w:rPr>
        <w:t xml:space="preserve"> enterp</w:t>
      </w:r>
      <w:r w:rsidR="3CDB7B46" w:rsidRPr="00417E18">
        <w:rPr>
          <w:noProof/>
          <w:sz w:val="22"/>
          <w:szCs w:val="22"/>
        </w:rPr>
        <w:t>rise</w:t>
      </w:r>
      <w:r w:rsidR="00D51017">
        <w:rPr>
          <w:noProof/>
          <w:sz w:val="22"/>
          <w:szCs w:val="22"/>
        </w:rPr>
        <w:t xml:space="preserve"> 50-249 </w:t>
      </w:r>
      <w:r w:rsidR="000C490D">
        <w:rPr>
          <w:noProof/>
          <w:sz w:val="22"/>
          <w:szCs w:val="22"/>
        </w:rPr>
        <w:t>employees</w:t>
      </w:r>
      <w:r w:rsidRPr="00417E18">
        <w:rPr>
          <w:noProof/>
          <w:sz w:val="22"/>
          <w:szCs w:val="22"/>
        </w:rPr>
        <w:t xml:space="preserve"> and </w:t>
      </w:r>
      <w:r w:rsidR="000C490D">
        <w:rPr>
          <w:noProof/>
          <w:sz w:val="22"/>
          <w:szCs w:val="22"/>
        </w:rPr>
        <w:t>78</w:t>
      </w:r>
      <w:r w:rsidRPr="00417E18">
        <w:rPr>
          <w:noProof/>
          <w:sz w:val="22"/>
          <w:szCs w:val="22"/>
        </w:rPr>
        <w:t>% of large enterprises. The comparison across c</w:t>
      </w:r>
      <w:r w:rsidR="25D481E4" w:rsidRPr="00417E18">
        <w:rPr>
          <w:noProof/>
          <w:sz w:val="22"/>
          <w:szCs w:val="22"/>
        </w:rPr>
        <w:t>ountries is equally significant, with Finland</w:t>
      </w:r>
      <w:r w:rsidR="008F709E">
        <w:rPr>
          <w:noProof/>
          <w:sz w:val="22"/>
          <w:szCs w:val="22"/>
        </w:rPr>
        <w:t>’s SMEs</w:t>
      </w:r>
      <w:r w:rsidR="25D481E4" w:rsidRPr="00417E18">
        <w:rPr>
          <w:noProof/>
          <w:sz w:val="22"/>
          <w:szCs w:val="22"/>
        </w:rPr>
        <w:t xml:space="preserve"> reaching 7</w:t>
      </w:r>
      <w:r w:rsidR="00D05EC0">
        <w:rPr>
          <w:noProof/>
          <w:sz w:val="22"/>
          <w:szCs w:val="22"/>
        </w:rPr>
        <w:t>2</w:t>
      </w:r>
      <w:r w:rsidR="25D481E4" w:rsidRPr="00417E18">
        <w:rPr>
          <w:noProof/>
          <w:sz w:val="22"/>
          <w:szCs w:val="22"/>
        </w:rPr>
        <w:t xml:space="preserve">% of average cloud uptake while Romania, Greece and Bulgaria remaining below 25%. </w:t>
      </w:r>
    </w:p>
    <w:p w14:paraId="119CEC24" w14:textId="3722221F" w:rsidR="54158D37" w:rsidRPr="00417E18" w:rsidRDefault="1ACD56FA" w:rsidP="1DE48985">
      <w:pPr>
        <w:rPr>
          <w:noProof/>
          <w:sz w:val="22"/>
          <w:szCs w:val="22"/>
        </w:rPr>
      </w:pPr>
      <w:r w:rsidRPr="00417E18">
        <w:rPr>
          <w:noProof/>
          <w:sz w:val="22"/>
          <w:szCs w:val="22"/>
        </w:rPr>
        <w:t xml:space="preserve">To close this gap, policy support </w:t>
      </w:r>
      <w:r w:rsidR="00D771ED" w:rsidRPr="07868930">
        <w:rPr>
          <w:noProof/>
          <w:sz w:val="22"/>
          <w:szCs w:val="22"/>
        </w:rPr>
        <w:t>needs</w:t>
      </w:r>
      <w:r w:rsidR="00D771ED" w:rsidRPr="0C856F1D">
        <w:rPr>
          <w:noProof/>
          <w:sz w:val="22"/>
          <w:szCs w:val="22"/>
        </w:rPr>
        <w:t xml:space="preserve"> to target</w:t>
      </w:r>
      <w:r w:rsidRPr="0C856F1D">
        <w:rPr>
          <w:noProof/>
          <w:sz w:val="22"/>
          <w:szCs w:val="22"/>
        </w:rPr>
        <w:t xml:space="preserve"> </w:t>
      </w:r>
      <w:r w:rsidRPr="00417E18">
        <w:rPr>
          <w:noProof/>
          <w:sz w:val="22"/>
          <w:szCs w:val="22"/>
        </w:rPr>
        <w:t xml:space="preserve">late adopters, especially SMEs, </w:t>
      </w:r>
      <w:r w:rsidR="007B7BBE" w:rsidRPr="0C856F1D">
        <w:rPr>
          <w:noProof/>
          <w:sz w:val="22"/>
          <w:szCs w:val="22"/>
        </w:rPr>
        <w:t>through</w:t>
      </w:r>
      <w:r w:rsidRPr="00417E18">
        <w:rPr>
          <w:noProof/>
          <w:sz w:val="22"/>
          <w:szCs w:val="22"/>
        </w:rPr>
        <w:t xml:space="preserve"> practical support</w:t>
      </w:r>
      <w:r w:rsidR="0F6F38E9" w:rsidRPr="00417E18">
        <w:rPr>
          <w:noProof/>
          <w:sz w:val="22"/>
          <w:szCs w:val="22"/>
        </w:rPr>
        <w:t xml:space="preserve"> and advisory services. </w:t>
      </w:r>
      <w:r w:rsidR="54A66BEA" w:rsidRPr="00417E18">
        <w:rPr>
          <w:noProof/>
          <w:sz w:val="22"/>
          <w:szCs w:val="22"/>
        </w:rPr>
        <w:t xml:space="preserve">Stronger </w:t>
      </w:r>
      <w:r w:rsidR="67A495FF" w:rsidRPr="00417E18">
        <w:rPr>
          <w:noProof/>
          <w:sz w:val="22"/>
          <w:szCs w:val="22"/>
        </w:rPr>
        <w:t>enforcement</w:t>
      </w:r>
      <w:r w:rsidR="54A66BEA" w:rsidRPr="00417E18">
        <w:rPr>
          <w:noProof/>
          <w:sz w:val="22"/>
          <w:szCs w:val="22"/>
        </w:rPr>
        <w:t xml:space="preserve"> and </w:t>
      </w:r>
      <w:r w:rsidR="7EC80F56" w:rsidRPr="00417E18">
        <w:rPr>
          <w:noProof/>
          <w:sz w:val="22"/>
          <w:szCs w:val="22"/>
        </w:rPr>
        <w:t>implementation</w:t>
      </w:r>
      <w:r w:rsidR="54A66BEA" w:rsidRPr="00417E18">
        <w:rPr>
          <w:noProof/>
          <w:sz w:val="22"/>
          <w:szCs w:val="22"/>
        </w:rPr>
        <w:t xml:space="preserve"> of the switching rules under the Data Act, entered into force in September 2025, could also help firms switch providers more easily and adopt cloud with lower lock-in risks. </w:t>
      </w:r>
      <w:r w:rsidR="5CEBB778" w:rsidRPr="00417E18">
        <w:rPr>
          <w:noProof/>
          <w:sz w:val="22"/>
          <w:szCs w:val="22"/>
        </w:rPr>
        <w:t xml:space="preserve">Progress </w:t>
      </w:r>
      <w:r w:rsidR="007B7BBE" w:rsidRPr="0C856F1D">
        <w:rPr>
          <w:noProof/>
          <w:sz w:val="22"/>
          <w:szCs w:val="22"/>
        </w:rPr>
        <w:t>towards the</w:t>
      </w:r>
      <w:r w:rsidR="5CEBB778" w:rsidRPr="00417E18">
        <w:rPr>
          <w:noProof/>
          <w:sz w:val="22"/>
          <w:szCs w:val="22"/>
        </w:rPr>
        <w:t xml:space="preserve"> target will depend both on demand-side incentives, especially for these lagging </w:t>
      </w:r>
      <w:r w:rsidR="00CF294C" w:rsidRPr="07868930">
        <w:rPr>
          <w:noProof/>
          <w:sz w:val="22"/>
          <w:szCs w:val="22"/>
        </w:rPr>
        <w:t>groups</w:t>
      </w:r>
      <w:r w:rsidR="00CF294C" w:rsidRPr="0C856F1D">
        <w:rPr>
          <w:noProof/>
          <w:sz w:val="22"/>
          <w:szCs w:val="22"/>
        </w:rPr>
        <w:t xml:space="preserve"> and</w:t>
      </w:r>
      <w:r w:rsidR="5CEBB778" w:rsidRPr="0C856F1D">
        <w:rPr>
          <w:noProof/>
          <w:sz w:val="22"/>
          <w:szCs w:val="22"/>
        </w:rPr>
        <w:t xml:space="preserve"> </w:t>
      </w:r>
      <w:r w:rsidR="5CEBB778" w:rsidRPr="00417E18">
        <w:rPr>
          <w:noProof/>
          <w:sz w:val="22"/>
          <w:szCs w:val="22"/>
        </w:rPr>
        <w:t>on whether the EU can build a sufficient</w:t>
      </w:r>
      <w:r w:rsidR="00CF294C" w:rsidRPr="0C856F1D">
        <w:rPr>
          <w:noProof/>
          <w:sz w:val="22"/>
          <w:szCs w:val="22"/>
        </w:rPr>
        <w:t>,</w:t>
      </w:r>
      <w:r w:rsidR="5CEBB778" w:rsidRPr="00417E18">
        <w:rPr>
          <w:noProof/>
          <w:sz w:val="22"/>
          <w:szCs w:val="22"/>
        </w:rPr>
        <w:t xml:space="preserve"> </w:t>
      </w:r>
      <w:r w:rsidR="0DC3D938" w:rsidRPr="00417E18">
        <w:rPr>
          <w:noProof/>
          <w:sz w:val="22"/>
          <w:szCs w:val="22"/>
        </w:rPr>
        <w:t>secure</w:t>
      </w:r>
      <w:r w:rsidR="5CEBB778" w:rsidRPr="00417E18">
        <w:rPr>
          <w:noProof/>
          <w:sz w:val="22"/>
          <w:szCs w:val="22"/>
        </w:rPr>
        <w:t xml:space="preserve"> and sustainable computing infrastructure to accompa</w:t>
      </w:r>
      <w:r w:rsidR="7B3BA4D5" w:rsidRPr="00417E18">
        <w:rPr>
          <w:noProof/>
          <w:sz w:val="22"/>
          <w:szCs w:val="22"/>
        </w:rPr>
        <w:t xml:space="preserve">ny this transition. </w:t>
      </w:r>
      <w:r w:rsidR="41172FC4" w:rsidRPr="00417E18">
        <w:rPr>
          <w:noProof/>
          <w:sz w:val="22"/>
          <w:szCs w:val="22"/>
        </w:rPr>
        <w:t xml:space="preserve">Without this </w:t>
      </w:r>
      <w:r w:rsidR="67C7F1E3" w:rsidRPr="00417E18">
        <w:rPr>
          <w:noProof/>
          <w:sz w:val="22"/>
          <w:szCs w:val="22"/>
        </w:rPr>
        <w:t>combination</w:t>
      </w:r>
      <w:r w:rsidR="41172FC4" w:rsidRPr="00417E18">
        <w:rPr>
          <w:noProof/>
          <w:sz w:val="22"/>
          <w:szCs w:val="22"/>
        </w:rPr>
        <w:t>, cloud uptake may continue to rise, but as shown above</w:t>
      </w:r>
      <w:r w:rsidR="67F6C602" w:rsidRPr="00417E18">
        <w:rPr>
          <w:noProof/>
          <w:sz w:val="22"/>
          <w:szCs w:val="22"/>
        </w:rPr>
        <w:t>,</w:t>
      </w:r>
      <w:r w:rsidR="41172FC4" w:rsidRPr="00417E18">
        <w:rPr>
          <w:noProof/>
          <w:sz w:val="22"/>
          <w:szCs w:val="22"/>
        </w:rPr>
        <w:t xml:space="preserve"> too slowly to achieve the 75% target by 2030. </w:t>
      </w:r>
    </w:p>
    <w:p w14:paraId="6F3661C3" w14:textId="62005571" w:rsidR="24DD7A24" w:rsidRPr="00417E18" w:rsidRDefault="26503D2F" w:rsidP="24DD7A24">
      <w:pPr>
        <w:rPr>
          <w:noProof/>
          <w:sz w:val="22"/>
          <w:szCs w:val="22"/>
        </w:rPr>
      </w:pPr>
      <w:r w:rsidRPr="00417E18">
        <w:rPr>
          <w:noProof/>
          <w:sz w:val="22"/>
          <w:szCs w:val="22"/>
        </w:rPr>
        <w:t>Finally, cloud can be considered an essential enabler for the uptake of data analytics and AI services</w:t>
      </w:r>
      <w:r w:rsidR="5FA98665" w:rsidRPr="00417E18">
        <w:rPr>
          <w:noProof/>
          <w:sz w:val="22"/>
          <w:szCs w:val="22"/>
        </w:rPr>
        <w:t>, detailed below</w:t>
      </w:r>
      <w:r w:rsidRPr="00417E18">
        <w:rPr>
          <w:noProof/>
          <w:sz w:val="22"/>
          <w:szCs w:val="22"/>
        </w:rPr>
        <w:t>. For this</w:t>
      </w:r>
      <w:r w:rsidRPr="07868930">
        <w:rPr>
          <w:noProof/>
          <w:sz w:val="22"/>
          <w:szCs w:val="22"/>
        </w:rPr>
        <w:t xml:space="preserve"> </w:t>
      </w:r>
      <w:r w:rsidR="0003250C" w:rsidRPr="07868930">
        <w:rPr>
          <w:noProof/>
          <w:sz w:val="22"/>
          <w:szCs w:val="22"/>
        </w:rPr>
        <w:t>potential</w:t>
      </w:r>
      <w:r w:rsidRPr="00417E18">
        <w:rPr>
          <w:noProof/>
          <w:sz w:val="22"/>
          <w:szCs w:val="22"/>
        </w:rPr>
        <w:t xml:space="preserve"> to </w:t>
      </w:r>
      <w:r w:rsidR="0003250C" w:rsidRPr="0C856F1D">
        <w:rPr>
          <w:noProof/>
          <w:sz w:val="22"/>
          <w:szCs w:val="22"/>
        </w:rPr>
        <w:t>materialise</w:t>
      </w:r>
      <w:r w:rsidRPr="00417E18">
        <w:rPr>
          <w:noProof/>
          <w:sz w:val="22"/>
          <w:szCs w:val="22"/>
        </w:rPr>
        <w:t>, more firms will have to move from</w:t>
      </w:r>
      <w:r w:rsidR="2303CF64" w:rsidRPr="00417E18">
        <w:rPr>
          <w:noProof/>
          <w:sz w:val="22"/>
          <w:szCs w:val="22"/>
        </w:rPr>
        <w:t xml:space="preserve"> basic cloud consumption to more advanced data and AI-related uses. </w:t>
      </w:r>
    </w:p>
    <w:p w14:paraId="43168CDB" w14:textId="1722B140" w:rsidR="00D81EDC" w:rsidRPr="0099744F" w:rsidRDefault="00D81EDC" w:rsidP="00B75864">
      <w:pPr>
        <w:pStyle w:val="Heading4"/>
        <w:rPr>
          <w:noProof/>
          <w:lang w:eastAsia="en-US"/>
        </w:rPr>
      </w:pPr>
      <w:r w:rsidRPr="0099744F">
        <w:rPr>
          <w:noProof/>
          <w:lang w:eastAsia="en-US"/>
        </w:rPr>
        <w:t>Data Analytics</w:t>
      </w:r>
    </w:p>
    <w:p w14:paraId="62833AFE" w14:textId="3A94F24A" w:rsidR="003A53C2" w:rsidRPr="00417E18" w:rsidRDefault="4DB62358" w:rsidP="30F26871">
      <w:pPr>
        <w:rPr>
          <w:noProof/>
          <w:sz w:val="22"/>
          <w:szCs w:val="22"/>
        </w:rPr>
      </w:pPr>
      <w:r w:rsidRPr="00417E18">
        <w:rPr>
          <w:b/>
          <w:noProof/>
          <w:sz w:val="22"/>
          <w:szCs w:val="22"/>
        </w:rPr>
        <w:t xml:space="preserve">The </w:t>
      </w:r>
      <w:r w:rsidR="650E6317" w:rsidRPr="00417E18">
        <w:rPr>
          <w:b/>
          <w:noProof/>
          <w:sz w:val="22"/>
          <w:szCs w:val="22"/>
        </w:rPr>
        <w:t>share</w:t>
      </w:r>
      <w:r w:rsidRPr="00417E18">
        <w:rPr>
          <w:b/>
          <w:noProof/>
          <w:sz w:val="22"/>
          <w:szCs w:val="22"/>
        </w:rPr>
        <w:t xml:space="preserve"> of enterprises using analytics rose </w:t>
      </w:r>
      <w:r w:rsidR="1099AC9F" w:rsidRPr="00417E18">
        <w:rPr>
          <w:b/>
          <w:noProof/>
          <w:sz w:val="22"/>
          <w:szCs w:val="22"/>
        </w:rPr>
        <w:t>from 33.25% in 2023 to 39.85% in 2025, an increase of</w:t>
      </w:r>
      <w:r w:rsidRPr="00417E18">
        <w:rPr>
          <w:b/>
          <w:noProof/>
          <w:sz w:val="22"/>
          <w:szCs w:val="22"/>
        </w:rPr>
        <w:t> 6.6 percentage points</w:t>
      </w:r>
      <w:r w:rsidRPr="00417E18">
        <w:rPr>
          <w:noProof/>
          <w:sz w:val="22"/>
          <w:szCs w:val="22"/>
        </w:rPr>
        <w:t>. </w:t>
      </w:r>
      <w:r w:rsidR="3D559E68" w:rsidRPr="00417E18">
        <w:rPr>
          <w:noProof/>
          <w:sz w:val="22"/>
          <w:szCs w:val="22"/>
        </w:rPr>
        <w:t xml:space="preserve">Despite this progress, the EU remains off track to meet the Digital Decade target by 2030: </w:t>
      </w:r>
      <w:r w:rsidR="4EBACDCA" w:rsidRPr="00417E18">
        <w:rPr>
          <w:noProof/>
          <w:sz w:val="22"/>
          <w:szCs w:val="22"/>
        </w:rPr>
        <w:t>under</w:t>
      </w:r>
      <w:r w:rsidRPr="00417E18">
        <w:rPr>
          <w:noProof/>
          <w:sz w:val="22"/>
          <w:szCs w:val="22"/>
        </w:rPr>
        <w:t> the revised baseline trajectory, </w:t>
      </w:r>
      <w:r w:rsidR="4EBAD197" w:rsidRPr="00417E18">
        <w:rPr>
          <w:noProof/>
          <w:sz w:val="22"/>
          <w:szCs w:val="22"/>
        </w:rPr>
        <w:t xml:space="preserve">only 51.9% of enterprises </w:t>
      </w:r>
      <w:r w:rsidR="0043693B">
        <w:rPr>
          <w:noProof/>
          <w:sz w:val="22"/>
          <w:szCs w:val="22"/>
        </w:rPr>
        <w:t xml:space="preserve">are </w:t>
      </w:r>
      <w:r w:rsidR="4EBAD197" w:rsidRPr="00417E18">
        <w:rPr>
          <w:noProof/>
          <w:sz w:val="22"/>
          <w:szCs w:val="22"/>
        </w:rPr>
        <w:t>expected to use data analytics by 2030, corresponding to around</w:t>
      </w:r>
      <w:r w:rsidRPr="00417E18">
        <w:rPr>
          <w:b/>
          <w:noProof/>
          <w:sz w:val="22"/>
          <w:szCs w:val="22"/>
        </w:rPr>
        <w:t> 69% of the target</w:t>
      </w:r>
      <w:r w:rsidR="01EFF280" w:rsidRPr="00417E18">
        <w:rPr>
          <w:b/>
          <w:noProof/>
          <w:sz w:val="22"/>
          <w:szCs w:val="22"/>
        </w:rPr>
        <w:t>, and the</w:t>
      </w:r>
      <w:r w:rsidRPr="00417E18">
        <w:rPr>
          <w:noProof/>
          <w:sz w:val="22"/>
          <w:szCs w:val="22"/>
        </w:rPr>
        <w:t xml:space="preserve"> target </w:t>
      </w:r>
      <w:r w:rsidR="00F35F63" w:rsidRPr="00417E18">
        <w:rPr>
          <w:noProof/>
          <w:sz w:val="22"/>
          <w:szCs w:val="22"/>
        </w:rPr>
        <w:t>would</w:t>
      </w:r>
      <w:r w:rsidRPr="00417E18">
        <w:rPr>
          <w:noProof/>
          <w:sz w:val="22"/>
          <w:szCs w:val="22"/>
        </w:rPr>
        <w:t xml:space="preserve"> be reached </w:t>
      </w:r>
      <w:r w:rsidR="12029287" w:rsidRPr="00417E18">
        <w:rPr>
          <w:noProof/>
          <w:sz w:val="22"/>
          <w:szCs w:val="22"/>
        </w:rPr>
        <w:t>only by</w:t>
      </w:r>
      <w:r w:rsidRPr="00417E18">
        <w:rPr>
          <w:noProof/>
          <w:sz w:val="22"/>
          <w:szCs w:val="22"/>
        </w:rPr>
        <w:t> </w:t>
      </w:r>
      <w:r w:rsidRPr="00417E18">
        <w:rPr>
          <w:b/>
          <w:noProof/>
          <w:sz w:val="22"/>
          <w:szCs w:val="22"/>
        </w:rPr>
        <w:t>2047</w:t>
      </w:r>
      <w:r w:rsidRPr="00417E18">
        <w:rPr>
          <w:noProof/>
          <w:sz w:val="22"/>
          <w:szCs w:val="22"/>
        </w:rPr>
        <w:t> i</w:t>
      </w:r>
      <w:r w:rsidR="016C3573" w:rsidRPr="00417E18">
        <w:rPr>
          <w:noProof/>
          <w:sz w:val="22"/>
          <w:szCs w:val="22"/>
        </w:rPr>
        <w:t>n the absence of additional action</w:t>
      </w:r>
      <w:r w:rsidRPr="00417E18">
        <w:rPr>
          <w:noProof/>
          <w:sz w:val="22"/>
          <w:szCs w:val="22"/>
        </w:rPr>
        <w:t>. </w:t>
      </w:r>
    </w:p>
    <w:p w14:paraId="259A8F16" w14:textId="77777777" w:rsidR="00C03894" w:rsidRDefault="003A53C2" w:rsidP="00C03894">
      <w:pPr>
        <w:keepNext/>
        <w:rPr>
          <w:noProof/>
        </w:rPr>
      </w:pPr>
      <w:r w:rsidRPr="00417E18">
        <w:rPr>
          <w:noProof/>
          <w:lang w:eastAsia="en-GB"/>
        </w:rPr>
        <w:drawing>
          <wp:inline distT="0" distB="0" distL="0" distR="0" wp14:anchorId="3A50FC83" wp14:editId="15C2E6BC">
            <wp:extent cx="5933900" cy="2024743"/>
            <wp:effectExtent l="0" t="0" r="0" b="0"/>
            <wp:docPr id="1947532774" name="Picture 10" descr="A graph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graph on a white backgroun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9543" cy="2026668"/>
                    </a:xfrm>
                    <a:prstGeom prst="rect">
                      <a:avLst/>
                    </a:prstGeom>
                    <a:noFill/>
                    <a:ln>
                      <a:noFill/>
                    </a:ln>
                  </pic:spPr>
                </pic:pic>
              </a:graphicData>
            </a:graphic>
          </wp:inline>
        </w:drawing>
      </w:r>
    </w:p>
    <w:p w14:paraId="111AD4CF" w14:textId="335CE53D" w:rsidR="000D47F1" w:rsidRPr="00417E18" w:rsidRDefault="00C03894" w:rsidP="00C03894">
      <w:pPr>
        <w:pStyle w:val="Caption"/>
        <w:rPr>
          <w:noProof/>
        </w:rPr>
      </w:pPr>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9</w:t>
      </w:r>
      <w:r w:rsidRPr="00C03894">
        <w:rPr>
          <w:noProof/>
          <w:u w:val="single"/>
        </w:rPr>
        <w:fldChar w:fldCharType="end"/>
      </w:r>
      <w:r>
        <w:rPr>
          <w:noProof/>
        </w:rPr>
        <w:t xml:space="preserve">: </w:t>
      </w:r>
      <w:r w:rsidRPr="00882372">
        <w:rPr>
          <w:noProof/>
        </w:rPr>
        <w:t>Share of enterprises using Data Analytics in the EU. Historical data, Digital Decade (DD) trajectory and baseline trajectory towards 2030</w:t>
      </w:r>
      <w:r w:rsidR="005B1E39">
        <w:rPr>
          <w:noProof/>
        </w:rPr>
        <w:t>.</w:t>
      </w:r>
    </w:p>
    <w:p w14:paraId="0DDDB1E2" w14:textId="6017D100" w:rsidR="00901FCA" w:rsidRPr="00417E18" w:rsidRDefault="025106C1" w:rsidP="3AE6DD09">
      <w:pPr>
        <w:rPr>
          <w:noProof/>
          <w:sz w:val="22"/>
          <w:szCs w:val="22"/>
        </w:rPr>
      </w:pPr>
      <w:r w:rsidRPr="00417E18">
        <w:rPr>
          <w:noProof/>
          <w:sz w:val="22"/>
          <w:szCs w:val="22"/>
        </w:rPr>
        <w:t>T</w:t>
      </w:r>
      <w:r w:rsidR="106A6FA5" w:rsidRPr="00417E18">
        <w:rPr>
          <w:noProof/>
          <w:sz w:val="22"/>
          <w:szCs w:val="22"/>
        </w:rPr>
        <w:t xml:space="preserve">he EU has </w:t>
      </w:r>
      <w:r w:rsidR="049C3123" w:rsidRPr="00417E18">
        <w:rPr>
          <w:noProof/>
          <w:sz w:val="22"/>
          <w:szCs w:val="22"/>
        </w:rPr>
        <w:t>laid important</w:t>
      </w:r>
      <w:r w:rsidR="106A6FA5" w:rsidRPr="00417E18">
        <w:rPr>
          <w:noProof/>
          <w:sz w:val="22"/>
          <w:szCs w:val="22"/>
        </w:rPr>
        <w:t xml:space="preserve"> foundations for</w:t>
      </w:r>
      <w:r w:rsidR="1B87466E" w:rsidRPr="00417E18">
        <w:rPr>
          <w:noProof/>
          <w:sz w:val="22"/>
          <w:szCs w:val="22"/>
        </w:rPr>
        <w:t xml:space="preserve"> </w:t>
      </w:r>
      <w:r w:rsidR="7F4C603B" w:rsidRPr="00417E18">
        <w:rPr>
          <w:noProof/>
          <w:sz w:val="22"/>
          <w:szCs w:val="22"/>
        </w:rPr>
        <w:t>the data economy</w:t>
      </w:r>
      <w:r w:rsidR="106A6FA5" w:rsidRPr="00417E18">
        <w:rPr>
          <w:noProof/>
          <w:sz w:val="22"/>
          <w:szCs w:val="22"/>
        </w:rPr>
        <w:t xml:space="preserve"> through the European Strategy for Data </w:t>
      </w:r>
      <w:r w:rsidR="4016BC86" w:rsidRPr="00417E18">
        <w:rPr>
          <w:noProof/>
          <w:sz w:val="22"/>
          <w:szCs w:val="22"/>
        </w:rPr>
        <w:t xml:space="preserve">and </w:t>
      </w:r>
      <w:r w:rsidR="724492B4" w:rsidRPr="00417E18">
        <w:rPr>
          <w:noProof/>
          <w:sz w:val="22"/>
          <w:szCs w:val="22"/>
        </w:rPr>
        <w:t>related</w:t>
      </w:r>
      <w:r w:rsidR="106A6FA5" w:rsidRPr="00417E18">
        <w:rPr>
          <w:noProof/>
          <w:sz w:val="22"/>
          <w:szCs w:val="22"/>
        </w:rPr>
        <w:t xml:space="preserve"> key legislative instruments such as the Data Governance Act, the Data Act, and the Open Data Directive</w:t>
      </w:r>
      <w:r w:rsidR="719B1D72" w:rsidRPr="00417E18">
        <w:rPr>
          <w:noProof/>
          <w:sz w:val="22"/>
          <w:szCs w:val="22"/>
        </w:rPr>
        <w:t>. However</w:t>
      </w:r>
      <w:r w:rsidR="106A6FA5" w:rsidRPr="00417E18">
        <w:rPr>
          <w:noProof/>
          <w:sz w:val="22"/>
          <w:szCs w:val="22"/>
        </w:rPr>
        <w:t xml:space="preserve">, </w:t>
      </w:r>
      <w:r w:rsidR="724492B4" w:rsidRPr="00417E18">
        <w:rPr>
          <w:noProof/>
          <w:sz w:val="22"/>
          <w:szCs w:val="22"/>
        </w:rPr>
        <w:t>s</w:t>
      </w:r>
      <w:r w:rsidR="21682E3C" w:rsidRPr="00417E18">
        <w:rPr>
          <w:noProof/>
          <w:sz w:val="22"/>
          <w:szCs w:val="22"/>
        </w:rPr>
        <w:t>ignificant</w:t>
      </w:r>
      <w:r w:rsidR="106A6FA5" w:rsidRPr="00417E18">
        <w:rPr>
          <w:noProof/>
          <w:sz w:val="22"/>
          <w:szCs w:val="22"/>
        </w:rPr>
        <w:t xml:space="preserve"> barriers </w:t>
      </w:r>
      <w:r w:rsidR="56731351" w:rsidRPr="00417E18">
        <w:rPr>
          <w:noProof/>
          <w:sz w:val="22"/>
          <w:szCs w:val="22"/>
        </w:rPr>
        <w:t>continue to</w:t>
      </w:r>
      <w:r w:rsidR="1E2C7600" w:rsidRPr="00417E18">
        <w:rPr>
          <w:noProof/>
          <w:sz w:val="22"/>
          <w:szCs w:val="22"/>
        </w:rPr>
        <w:t xml:space="preserve"> </w:t>
      </w:r>
      <w:r w:rsidR="106A6FA5" w:rsidRPr="00417E18">
        <w:rPr>
          <w:noProof/>
          <w:sz w:val="22"/>
          <w:szCs w:val="22"/>
        </w:rPr>
        <w:t>limit the</w:t>
      </w:r>
      <w:r w:rsidR="0CDDAF86" w:rsidRPr="00417E18">
        <w:rPr>
          <w:noProof/>
          <w:sz w:val="22"/>
          <w:szCs w:val="22"/>
        </w:rPr>
        <w:t xml:space="preserve"> wider uptake of data analytics by enterprises, especially SMEs</w:t>
      </w:r>
      <w:r w:rsidR="106A6FA5" w:rsidRPr="00417E18">
        <w:rPr>
          <w:noProof/>
          <w:sz w:val="22"/>
          <w:szCs w:val="22"/>
        </w:rPr>
        <w:t xml:space="preserve">. </w:t>
      </w:r>
    </w:p>
    <w:p w14:paraId="2FA3BB89" w14:textId="58126B6D" w:rsidR="008B50FC" w:rsidRPr="00417E18" w:rsidRDefault="106A6FA5" w:rsidP="00901FCA">
      <w:pPr>
        <w:rPr>
          <w:noProof/>
          <w:sz w:val="22"/>
          <w:szCs w:val="22"/>
        </w:rPr>
      </w:pPr>
      <w:r w:rsidRPr="00417E18">
        <w:rPr>
          <w:noProof/>
          <w:sz w:val="22"/>
          <w:szCs w:val="22"/>
        </w:rPr>
        <w:t>A first major challenge</w:t>
      </w:r>
      <w:r w:rsidR="724492B4" w:rsidRPr="00417E18">
        <w:rPr>
          <w:noProof/>
          <w:sz w:val="22"/>
          <w:szCs w:val="22"/>
        </w:rPr>
        <w:t xml:space="preserve"> </w:t>
      </w:r>
      <w:r w:rsidR="4E1567FD" w:rsidRPr="00417E18">
        <w:rPr>
          <w:noProof/>
          <w:sz w:val="22"/>
          <w:szCs w:val="22"/>
        </w:rPr>
        <w:t xml:space="preserve">is </w:t>
      </w:r>
      <w:r w:rsidRPr="00417E18">
        <w:rPr>
          <w:b/>
          <w:noProof/>
          <w:sz w:val="22"/>
          <w:szCs w:val="22"/>
        </w:rPr>
        <w:t xml:space="preserve">data scarcity and limited access to high-quality datasets </w:t>
      </w:r>
      <w:r w:rsidRPr="00417E18">
        <w:rPr>
          <w:noProof/>
          <w:sz w:val="22"/>
          <w:szCs w:val="22"/>
        </w:rPr>
        <w:t xml:space="preserve">for </w:t>
      </w:r>
      <w:r w:rsidR="01A9F237" w:rsidRPr="00417E18">
        <w:rPr>
          <w:noProof/>
          <w:sz w:val="22"/>
          <w:szCs w:val="22"/>
        </w:rPr>
        <w:t xml:space="preserve">data analytics and </w:t>
      </w:r>
      <w:r w:rsidRPr="00417E18">
        <w:rPr>
          <w:noProof/>
          <w:sz w:val="22"/>
          <w:szCs w:val="22"/>
        </w:rPr>
        <w:t xml:space="preserve">AI development. </w:t>
      </w:r>
      <w:r w:rsidR="41754921" w:rsidRPr="00417E18">
        <w:rPr>
          <w:noProof/>
          <w:sz w:val="22"/>
          <w:szCs w:val="22"/>
        </w:rPr>
        <w:t>Valuable datasets remain</w:t>
      </w:r>
      <w:r w:rsidRPr="00417E18">
        <w:rPr>
          <w:noProof/>
          <w:sz w:val="22"/>
          <w:szCs w:val="22"/>
        </w:rPr>
        <w:t xml:space="preserve"> siloed within organisations</w:t>
      </w:r>
      <w:r w:rsidR="34B2E359" w:rsidRPr="00417E18">
        <w:rPr>
          <w:noProof/>
          <w:sz w:val="22"/>
          <w:szCs w:val="22"/>
        </w:rPr>
        <w:t>,</w:t>
      </w:r>
      <w:r w:rsidRPr="00417E18">
        <w:rPr>
          <w:noProof/>
          <w:sz w:val="22"/>
          <w:szCs w:val="22"/>
        </w:rPr>
        <w:t xml:space="preserve"> fragmented across sectors</w:t>
      </w:r>
      <w:r w:rsidR="6C8214BF" w:rsidRPr="00417E18">
        <w:rPr>
          <w:noProof/>
          <w:sz w:val="22"/>
          <w:szCs w:val="22"/>
        </w:rPr>
        <w:t>, or difficult to access across</w:t>
      </w:r>
      <w:r w:rsidRPr="00417E18">
        <w:rPr>
          <w:noProof/>
          <w:sz w:val="22"/>
          <w:szCs w:val="22"/>
        </w:rPr>
        <w:t xml:space="preserve"> Member States</w:t>
      </w:r>
      <w:r w:rsidR="179853C1" w:rsidRPr="00417E18">
        <w:rPr>
          <w:noProof/>
          <w:sz w:val="22"/>
          <w:szCs w:val="22"/>
        </w:rPr>
        <w:t>’ borders</w:t>
      </w:r>
      <w:r w:rsidRPr="00417E18">
        <w:rPr>
          <w:noProof/>
          <w:sz w:val="22"/>
          <w:szCs w:val="22"/>
        </w:rPr>
        <w:t>. This</w:t>
      </w:r>
      <w:r w:rsidR="7201B73D" w:rsidRPr="00417E18">
        <w:rPr>
          <w:noProof/>
          <w:sz w:val="22"/>
          <w:szCs w:val="22"/>
        </w:rPr>
        <w:t xml:space="preserve"> particularly</w:t>
      </w:r>
      <w:r w:rsidRPr="00417E18">
        <w:rPr>
          <w:noProof/>
          <w:sz w:val="22"/>
          <w:szCs w:val="22"/>
        </w:rPr>
        <w:t xml:space="preserve"> affects start-ups and SMEs, </w:t>
      </w:r>
      <w:r w:rsidR="02D58A38" w:rsidRPr="00417E18">
        <w:rPr>
          <w:noProof/>
          <w:sz w:val="22"/>
          <w:szCs w:val="22"/>
        </w:rPr>
        <w:t xml:space="preserve">which </w:t>
      </w:r>
      <w:r w:rsidRPr="00417E18">
        <w:rPr>
          <w:noProof/>
          <w:sz w:val="22"/>
          <w:szCs w:val="22"/>
        </w:rPr>
        <w:t>often lack access to sufficiently large</w:t>
      </w:r>
      <w:r w:rsidR="78D7403B" w:rsidRPr="00417E18">
        <w:rPr>
          <w:noProof/>
          <w:sz w:val="22"/>
          <w:szCs w:val="22"/>
        </w:rPr>
        <w:t>, high-quality</w:t>
      </w:r>
      <w:r w:rsidRPr="00417E18">
        <w:rPr>
          <w:noProof/>
          <w:sz w:val="22"/>
          <w:szCs w:val="22"/>
        </w:rPr>
        <w:t xml:space="preserve"> datasets and </w:t>
      </w:r>
      <w:r w:rsidR="36C6C72F" w:rsidRPr="00417E18">
        <w:rPr>
          <w:noProof/>
          <w:sz w:val="22"/>
          <w:szCs w:val="22"/>
        </w:rPr>
        <w:t xml:space="preserve">the </w:t>
      </w:r>
      <w:r w:rsidRPr="00417E18">
        <w:rPr>
          <w:noProof/>
          <w:sz w:val="22"/>
          <w:szCs w:val="22"/>
        </w:rPr>
        <w:t xml:space="preserve">computing </w:t>
      </w:r>
      <w:r w:rsidR="7895E285" w:rsidRPr="00417E18">
        <w:rPr>
          <w:noProof/>
          <w:sz w:val="22"/>
          <w:szCs w:val="22"/>
        </w:rPr>
        <w:t xml:space="preserve">resources needed to </w:t>
      </w:r>
      <w:r w:rsidR="0003250C" w:rsidRPr="0C856F1D">
        <w:rPr>
          <w:noProof/>
          <w:sz w:val="22"/>
          <w:szCs w:val="22"/>
        </w:rPr>
        <w:t>use</w:t>
      </w:r>
      <w:r w:rsidR="7895E285" w:rsidRPr="00417E18">
        <w:rPr>
          <w:noProof/>
          <w:sz w:val="22"/>
          <w:szCs w:val="22"/>
        </w:rPr>
        <w:t xml:space="preserve"> them effectively</w:t>
      </w:r>
      <w:r w:rsidRPr="00417E18">
        <w:rPr>
          <w:noProof/>
          <w:sz w:val="22"/>
          <w:szCs w:val="22"/>
        </w:rPr>
        <w:t xml:space="preserve">. </w:t>
      </w:r>
      <w:r w:rsidR="0C5121F3" w:rsidRPr="00417E18">
        <w:rPr>
          <w:noProof/>
          <w:sz w:val="22"/>
          <w:szCs w:val="22"/>
        </w:rPr>
        <w:t>As global competition intensifies, broader and more reliable access to quality data</w:t>
      </w:r>
      <w:r w:rsidR="4703B59F" w:rsidRPr="00417E18">
        <w:rPr>
          <w:noProof/>
          <w:sz w:val="22"/>
          <w:szCs w:val="22"/>
        </w:rPr>
        <w:t xml:space="preserve"> becomes</w:t>
      </w:r>
      <w:r w:rsidR="76B0FF06" w:rsidRPr="00417E18">
        <w:rPr>
          <w:noProof/>
          <w:sz w:val="22"/>
          <w:szCs w:val="22"/>
        </w:rPr>
        <w:t xml:space="preserve"> </w:t>
      </w:r>
      <w:r w:rsidR="3DF24D00" w:rsidRPr="00417E18">
        <w:rPr>
          <w:noProof/>
          <w:sz w:val="22"/>
          <w:szCs w:val="22"/>
        </w:rPr>
        <w:t>increasingly important for innovation and competitiveness</w:t>
      </w:r>
      <w:r w:rsidRPr="00417E18">
        <w:rPr>
          <w:noProof/>
          <w:sz w:val="22"/>
          <w:szCs w:val="22"/>
        </w:rPr>
        <w:t xml:space="preserve">. </w:t>
      </w:r>
    </w:p>
    <w:p w14:paraId="126BF686" w14:textId="3BEE9B2B" w:rsidR="008B50FC" w:rsidRPr="00417E18" w:rsidRDefault="106A6FA5" w:rsidP="00901FCA">
      <w:pPr>
        <w:rPr>
          <w:noProof/>
          <w:sz w:val="22"/>
          <w:szCs w:val="22"/>
        </w:rPr>
      </w:pPr>
      <w:r w:rsidRPr="00417E18">
        <w:rPr>
          <w:noProof/>
          <w:sz w:val="22"/>
          <w:szCs w:val="22"/>
        </w:rPr>
        <w:t xml:space="preserve">A second challenge is </w:t>
      </w:r>
      <w:r w:rsidRPr="00417E18">
        <w:rPr>
          <w:b/>
          <w:noProof/>
          <w:sz w:val="22"/>
          <w:szCs w:val="22"/>
        </w:rPr>
        <w:t>regulatory complexity and fragmentation</w:t>
      </w:r>
      <w:r w:rsidRPr="00417E18">
        <w:rPr>
          <w:noProof/>
          <w:sz w:val="22"/>
          <w:szCs w:val="22"/>
        </w:rPr>
        <w:t xml:space="preserve">. </w:t>
      </w:r>
      <w:r w:rsidR="1C7B975E" w:rsidRPr="00417E18">
        <w:rPr>
          <w:noProof/>
          <w:sz w:val="22"/>
          <w:szCs w:val="22"/>
        </w:rPr>
        <w:t>T</w:t>
      </w:r>
      <w:r w:rsidRPr="00417E18">
        <w:rPr>
          <w:noProof/>
          <w:sz w:val="22"/>
          <w:szCs w:val="22"/>
        </w:rPr>
        <w:t xml:space="preserve">he EU has </w:t>
      </w:r>
      <w:r w:rsidR="540AF5CA" w:rsidRPr="00417E18">
        <w:rPr>
          <w:noProof/>
          <w:sz w:val="22"/>
          <w:szCs w:val="22"/>
        </w:rPr>
        <w:t xml:space="preserve">developed a broad framework </w:t>
      </w:r>
      <w:r w:rsidRPr="00417E18">
        <w:rPr>
          <w:noProof/>
          <w:sz w:val="22"/>
          <w:szCs w:val="22"/>
        </w:rPr>
        <w:t>governing data access, sharing and protection</w:t>
      </w:r>
      <w:r w:rsidR="10E2A57D" w:rsidRPr="00417E18">
        <w:rPr>
          <w:noProof/>
          <w:sz w:val="22"/>
          <w:szCs w:val="22"/>
        </w:rPr>
        <w:t xml:space="preserve">, but </w:t>
      </w:r>
      <w:r w:rsidRPr="00417E18">
        <w:rPr>
          <w:noProof/>
          <w:sz w:val="22"/>
          <w:szCs w:val="22"/>
        </w:rPr>
        <w:t>interaction</w:t>
      </w:r>
      <w:r w:rsidR="0911E4CD" w:rsidRPr="00417E18">
        <w:rPr>
          <w:noProof/>
          <w:sz w:val="22"/>
          <w:szCs w:val="22"/>
        </w:rPr>
        <w:t xml:space="preserve"> between horizontal and sectoral rules, combined with uneven</w:t>
      </w:r>
      <w:r w:rsidR="6AEE0FD2" w:rsidRPr="00417E18">
        <w:rPr>
          <w:noProof/>
          <w:sz w:val="22"/>
          <w:szCs w:val="22"/>
        </w:rPr>
        <w:t xml:space="preserve"> i</w:t>
      </w:r>
      <w:r w:rsidRPr="00417E18">
        <w:rPr>
          <w:noProof/>
          <w:sz w:val="22"/>
          <w:szCs w:val="22"/>
        </w:rPr>
        <w:t xml:space="preserve">mplementation </w:t>
      </w:r>
      <w:r w:rsidR="5CC4746D" w:rsidRPr="00417E18">
        <w:rPr>
          <w:noProof/>
          <w:sz w:val="22"/>
          <w:szCs w:val="22"/>
        </w:rPr>
        <w:t>across</w:t>
      </w:r>
      <w:r w:rsidRPr="00417E18">
        <w:rPr>
          <w:noProof/>
          <w:sz w:val="22"/>
          <w:szCs w:val="22"/>
        </w:rPr>
        <w:t xml:space="preserve"> Member States</w:t>
      </w:r>
      <w:r w:rsidR="6B65E1B8" w:rsidRPr="00417E18">
        <w:rPr>
          <w:noProof/>
          <w:sz w:val="22"/>
          <w:szCs w:val="22"/>
        </w:rPr>
        <w:t xml:space="preserve">, </w:t>
      </w:r>
      <w:r w:rsidRPr="00417E18">
        <w:rPr>
          <w:noProof/>
          <w:sz w:val="22"/>
          <w:szCs w:val="22"/>
        </w:rPr>
        <w:t xml:space="preserve">can </w:t>
      </w:r>
      <w:r w:rsidR="5D7BDD2D" w:rsidRPr="00417E18">
        <w:rPr>
          <w:noProof/>
          <w:sz w:val="22"/>
          <w:szCs w:val="22"/>
        </w:rPr>
        <w:t>generate</w:t>
      </w:r>
      <w:r w:rsidR="6AEE0FD2" w:rsidRPr="00417E18">
        <w:rPr>
          <w:noProof/>
          <w:sz w:val="22"/>
          <w:szCs w:val="22"/>
        </w:rPr>
        <w:t xml:space="preserve"> </w:t>
      </w:r>
      <w:r w:rsidRPr="00417E18">
        <w:rPr>
          <w:noProof/>
          <w:sz w:val="22"/>
          <w:szCs w:val="22"/>
        </w:rPr>
        <w:t xml:space="preserve">legal uncertainty and increase compliance costs. This </w:t>
      </w:r>
      <w:r w:rsidR="38C37434" w:rsidRPr="00417E18">
        <w:rPr>
          <w:noProof/>
          <w:sz w:val="22"/>
          <w:szCs w:val="22"/>
        </w:rPr>
        <w:t>is particularly</w:t>
      </w:r>
      <w:r w:rsidR="2B942AB3" w:rsidRPr="00417E18">
        <w:rPr>
          <w:noProof/>
          <w:sz w:val="22"/>
          <w:szCs w:val="22"/>
        </w:rPr>
        <w:t xml:space="preserve"> </w:t>
      </w:r>
      <w:r w:rsidRPr="00417E18">
        <w:rPr>
          <w:noProof/>
          <w:sz w:val="22"/>
          <w:szCs w:val="22"/>
        </w:rPr>
        <w:t xml:space="preserve">burdensome for SMEs and emerging data intermediaries </w:t>
      </w:r>
      <w:r w:rsidR="2A00C09C" w:rsidRPr="00417E18">
        <w:rPr>
          <w:noProof/>
          <w:sz w:val="22"/>
          <w:szCs w:val="22"/>
        </w:rPr>
        <w:t>and can slow the scaling-up</w:t>
      </w:r>
      <w:r w:rsidRPr="00417E18">
        <w:rPr>
          <w:noProof/>
          <w:sz w:val="22"/>
          <w:szCs w:val="22"/>
        </w:rPr>
        <w:t xml:space="preserve"> of data-</w:t>
      </w:r>
      <w:r w:rsidR="0BFBD785" w:rsidRPr="00417E18">
        <w:rPr>
          <w:noProof/>
          <w:sz w:val="22"/>
          <w:szCs w:val="22"/>
        </w:rPr>
        <w:t>driven</w:t>
      </w:r>
      <w:r w:rsidR="53874B37" w:rsidRPr="00417E18">
        <w:rPr>
          <w:noProof/>
          <w:sz w:val="22"/>
          <w:szCs w:val="22"/>
        </w:rPr>
        <w:t xml:space="preserve"> business</w:t>
      </w:r>
      <w:r w:rsidRPr="00417E18">
        <w:rPr>
          <w:noProof/>
          <w:sz w:val="22"/>
          <w:szCs w:val="22"/>
        </w:rPr>
        <w:t xml:space="preserve"> models and European data ecosystems.</w:t>
      </w:r>
    </w:p>
    <w:p w14:paraId="79453954" w14:textId="228F416E" w:rsidR="00901FCA" w:rsidRPr="00417E18" w:rsidRDefault="6BA47867">
      <w:pPr>
        <w:rPr>
          <w:noProof/>
          <w:sz w:val="22"/>
          <w:szCs w:val="22"/>
        </w:rPr>
      </w:pPr>
      <w:r w:rsidRPr="00417E18">
        <w:rPr>
          <w:noProof/>
          <w:sz w:val="22"/>
          <w:szCs w:val="22"/>
        </w:rPr>
        <w:t>A</w:t>
      </w:r>
      <w:r w:rsidR="56B166BF" w:rsidRPr="00417E18">
        <w:rPr>
          <w:noProof/>
          <w:sz w:val="22"/>
          <w:szCs w:val="22"/>
        </w:rPr>
        <w:t xml:space="preserve"> t</w:t>
      </w:r>
      <w:r w:rsidR="106A6FA5" w:rsidRPr="00417E18">
        <w:rPr>
          <w:noProof/>
          <w:sz w:val="22"/>
          <w:szCs w:val="22"/>
        </w:rPr>
        <w:t>hird</w:t>
      </w:r>
      <w:r w:rsidR="56B166BF" w:rsidRPr="00417E18">
        <w:rPr>
          <w:noProof/>
          <w:sz w:val="22"/>
          <w:szCs w:val="22"/>
        </w:rPr>
        <w:t xml:space="preserve"> key challenge </w:t>
      </w:r>
      <w:r w:rsidR="248BB637" w:rsidRPr="00417E18">
        <w:rPr>
          <w:noProof/>
          <w:sz w:val="22"/>
          <w:szCs w:val="22"/>
        </w:rPr>
        <w:t>is</w:t>
      </w:r>
      <w:r w:rsidR="2B942AB3" w:rsidRPr="00417E18">
        <w:rPr>
          <w:noProof/>
          <w:sz w:val="22"/>
          <w:szCs w:val="22"/>
        </w:rPr>
        <w:t xml:space="preserve"> the</w:t>
      </w:r>
      <w:r w:rsidR="0CCEC47C" w:rsidRPr="00417E18">
        <w:rPr>
          <w:noProof/>
          <w:sz w:val="22"/>
          <w:szCs w:val="22"/>
        </w:rPr>
        <w:t xml:space="preserve"> </w:t>
      </w:r>
      <w:r w:rsidR="4F1EB719" w:rsidRPr="00417E18">
        <w:rPr>
          <w:b/>
          <w:bCs/>
          <w:noProof/>
          <w:sz w:val="22"/>
          <w:szCs w:val="22"/>
        </w:rPr>
        <w:t xml:space="preserve">strategic and geopolitical dimension of </w:t>
      </w:r>
      <w:r w:rsidR="106A6FA5" w:rsidRPr="00417E18">
        <w:rPr>
          <w:b/>
          <w:bCs/>
          <w:noProof/>
          <w:sz w:val="22"/>
          <w:szCs w:val="22"/>
        </w:rPr>
        <w:t>data</w:t>
      </w:r>
      <w:r w:rsidR="106A6FA5" w:rsidRPr="00417E18">
        <w:rPr>
          <w:noProof/>
          <w:sz w:val="22"/>
          <w:szCs w:val="22"/>
        </w:rPr>
        <w:t xml:space="preserve">. </w:t>
      </w:r>
      <w:r w:rsidR="0CCEC47C" w:rsidRPr="00417E18">
        <w:rPr>
          <w:noProof/>
          <w:sz w:val="22"/>
          <w:szCs w:val="22"/>
        </w:rPr>
        <w:t>D</w:t>
      </w:r>
      <w:r w:rsidR="106A6FA5" w:rsidRPr="00417E18">
        <w:rPr>
          <w:noProof/>
          <w:sz w:val="22"/>
          <w:szCs w:val="22"/>
        </w:rPr>
        <w:t xml:space="preserve">ata has become a </w:t>
      </w:r>
      <w:r w:rsidR="361E4704" w:rsidRPr="00417E18">
        <w:rPr>
          <w:noProof/>
          <w:sz w:val="22"/>
          <w:szCs w:val="22"/>
        </w:rPr>
        <w:t>key economic and security</w:t>
      </w:r>
      <w:r w:rsidR="106A6FA5" w:rsidRPr="00417E18">
        <w:rPr>
          <w:noProof/>
          <w:sz w:val="22"/>
          <w:szCs w:val="22"/>
        </w:rPr>
        <w:t xml:space="preserve"> asset</w:t>
      </w:r>
      <w:r w:rsidR="2D7DF790" w:rsidRPr="00417E18">
        <w:rPr>
          <w:noProof/>
          <w:sz w:val="22"/>
          <w:szCs w:val="22"/>
        </w:rPr>
        <w:t>.</w:t>
      </w:r>
      <w:r w:rsidR="7E271579" w:rsidRPr="00417E18">
        <w:rPr>
          <w:noProof/>
          <w:sz w:val="22"/>
          <w:szCs w:val="22"/>
        </w:rPr>
        <w:t xml:space="preserve"> </w:t>
      </w:r>
      <w:r w:rsidR="00F0724C" w:rsidRPr="07868930">
        <w:rPr>
          <w:rFonts w:eastAsia="Calibri" w:cs="Calibri"/>
          <w:noProof/>
          <w:sz w:val="22"/>
          <w:szCs w:val="22"/>
        </w:rPr>
        <w:t>J</w:t>
      </w:r>
      <w:r w:rsidR="1D40BA4D" w:rsidRPr="07868930">
        <w:rPr>
          <w:rFonts w:eastAsia="Calibri" w:cs="Calibri"/>
          <w:noProof/>
          <w:sz w:val="22"/>
          <w:szCs w:val="22"/>
        </w:rPr>
        <w:t>urisdictional</w:t>
      </w:r>
      <w:r w:rsidR="1D40BA4D" w:rsidRPr="00417E18">
        <w:rPr>
          <w:rFonts w:eastAsia="Calibri" w:cs="Calibri"/>
          <w:noProof/>
          <w:sz w:val="22"/>
          <w:szCs w:val="22"/>
        </w:rPr>
        <w:t xml:space="preserve"> issues remain a critical concern. Data held by companies subject to non-EU jurisdictions may be accessed by foreign authorities, including under extraterritorial legal frameworks such as the US Cloud Act. This raises questions about effective control, legal certainty and </w:t>
      </w:r>
      <w:r w:rsidR="00725D43" w:rsidRPr="0C856F1D">
        <w:rPr>
          <w:rFonts w:eastAsia="Calibri" w:cs="Calibri"/>
          <w:noProof/>
          <w:sz w:val="22"/>
          <w:szCs w:val="22"/>
        </w:rPr>
        <w:t xml:space="preserve">the </w:t>
      </w:r>
      <w:r w:rsidR="1D40BA4D" w:rsidRPr="00417E18">
        <w:rPr>
          <w:rFonts w:eastAsia="Calibri" w:cs="Calibri"/>
          <w:noProof/>
          <w:sz w:val="22"/>
          <w:szCs w:val="22"/>
        </w:rPr>
        <w:t xml:space="preserve">enforceability of EU rules, particularly for sensitive or strategic datasets. </w:t>
      </w:r>
      <w:r w:rsidR="106A6FA5" w:rsidRPr="00417E18">
        <w:rPr>
          <w:noProof/>
          <w:sz w:val="22"/>
          <w:szCs w:val="22"/>
        </w:rPr>
        <w:t xml:space="preserve">European </w:t>
      </w:r>
      <w:r w:rsidR="063D489B" w:rsidRPr="00417E18">
        <w:rPr>
          <w:noProof/>
          <w:sz w:val="22"/>
          <w:szCs w:val="22"/>
        </w:rPr>
        <w:t>firms</w:t>
      </w:r>
      <w:r w:rsidR="106A6FA5" w:rsidRPr="00417E18">
        <w:rPr>
          <w:noProof/>
          <w:sz w:val="22"/>
          <w:szCs w:val="22"/>
        </w:rPr>
        <w:t xml:space="preserve"> </w:t>
      </w:r>
      <w:r w:rsidR="2BD02D11" w:rsidRPr="00417E18">
        <w:rPr>
          <w:noProof/>
          <w:sz w:val="22"/>
          <w:szCs w:val="22"/>
        </w:rPr>
        <w:t xml:space="preserve">must be able to benefit </w:t>
      </w:r>
      <w:r w:rsidR="6B961D92" w:rsidRPr="00417E18">
        <w:rPr>
          <w:noProof/>
          <w:sz w:val="22"/>
          <w:szCs w:val="22"/>
        </w:rPr>
        <w:t xml:space="preserve">from secure </w:t>
      </w:r>
      <w:r w:rsidR="106A6FA5" w:rsidRPr="00417E18">
        <w:rPr>
          <w:noProof/>
          <w:sz w:val="22"/>
          <w:szCs w:val="22"/>
        </w:rPr>
        <w:t xml:space="preserve">cross-border data flows </w:t>
      </w:r>
      <w:r w:rsidR="2172A0CC" w:rsidRPr="00417E18">
        <w:rPr>
          <w:noProof/>
          <w:sz w:val="22"/>
          <w:szCs w:val="22"/>
        </w:rPr>
        <w:t>and</w:t>
      </w:r>
      <w:r w:rsidR="106A6FA5" w:rsidRPr="00417E18">
        <w:rPr>
          <w:noProof/>
          <w:sz w:val="22"/>
          <w:szCs w:val="22"/>
        </w:rPr>
        <w:t xml:space="preserve"> </w:t>
      </w:r>
      <w:r w:rsidR="7ACE50BA" w:rsidRPr="00417E18">
        <w:rPr>
          <w:noProof/>
          <w:sz w:val="22"/>
          <w:szCs w:val="22"/>
        </w:rPr>
        <w:t xml:space="preserve">access to global data resources, while the EU must also protect sensitive and strategic datasets and ensure that data governance remains </w:t>
      </w:r>
      <w:r w:rsidR="106A6FA5" w:rsidRPr="00417E18">
        <w:rPr>
          <w:noProof/>
          <w:sz w:val="22"/>
          <w:szCs w:val="22"/>
        </w:rPr>
        <w:t>consistent with European values.</w:t>
      </w:r>
    </w:p>
    <w:p w14:paraId="6E086E18" w14:textId="6FFCC5A1" w:rsidR="00414362" w:rsidRPr="00417E18" w:rsidRDefault="3FB9A411" w:rsidP="30F26871">
      <w:pPr>
        <w:rPr>
          <w:noProof/>
          <w:sz w:val="22"/>
          <w:szCs w:val="22"/>
        </w:rPr>
      </w:pPr>
      <w:r w:rsidRPr="00417E18">
        <w:rPr>
          <w:noProof/>
          <w:sz w:val="22"/>
          <w:szCs w:val="22"/>
        </w:rPr>
        <w:t>A</w:t>
      </w:r>
      <w:r w:rsidR="6ABBC912" w:rsidRPr="00417E18">
        <w:rPr>
          <w:noProof/>
          <w:sz w:val="22"/>
          <w:szCs w:val="22"/>
        </w:rPr>
        <w:t>ddress</w:t>
      </w:r>
      <w:r w:rsidR="6FBDA4E9" w:rsidRPr="00417E18">
        <w:rPr>
          <w:noProof/>
          <w:sz w:val="22"/>
          <w:szCs w:val="22"/>
        </w:rPr>
        <w:t>ing</w:t>
      </w:r>
      <w:r w:rsidR="106A6FA5" w:rsidRPr="00417E18">
        <w:rPr>
          <w:noProof/>
          <w:sz w:val="22"/>
          <w:szCs w:val="22"/>
        </w:rPr>
        <w:t xml:space="preserve"> these </w:t>
      </w:r>
      <w:r w:rsidR="084EC782" w:rsidRPr="00417E18">
        <w:rPr>
          <w:noProof/>
          <w:sz w:val="22"/>
          <w:szCs w:val="22"/>
        </w:rPr>
        <w:t>barriers</w:t>
      </w:r>
      <w:r w:rsidR="3B3ED400" w:rsidRPr="00417E18">
        <w:rPr>
          <w:noProof/>
          <w:sz w:val="22"/>
          <w:szCs w:val="22"/>
        </w:rPr>
        <w:t xml:space="preserve"> will require</w:t>
      </w:r>
      <w:r w:rsidR="6ABBC912" w:rsidRPr="00417E18">
        <w:rPr>
          <w:noProof/>
          <w:sz w:val="22"/>
          <w:szCs w:val="22"/>
        </w:rPr>
        <w:t xml:space="preserve"> </w:t>
      </w:r>
      <w:r w:rsidR="106A6FA5" w:rsidRPr="00417E18">
        <w:rPr>
          <w:noProof/>
          <w:sz w:val="22"/>
          <w:szCs w:val="22"/>
        </w:rPr>
        <w:t xml:space="preserve">coordinated </w:t>
      </w:r>
      <w:r w:rsidR="5D4B9DEA" w:rsidRPr="00417E18">
        <w:rPr>
          <w:noProof/>
          <w:sz w:val="22"/>
          <w:szCs w:val="22"/>
        </w:rPr>
        <w:t>reforms</w:t>
      </w:r>
      <w:r w:rsidR="106A6FA5" w:rsidRPr="00417E18">
        <w:rPr>
          <w:noProof/>
          <w:sz w:val="22"/>
          <w:szCs w:val="22"/>
        </w:rPr>
        <w:t xml:space="preserve"> and </w:t>
      </w:r>
      <w:r w:rsidR="106A6FA5" w:rsidRPr="07868930">
        <w:rPr>
          <w:noProof/>
          <w:sz w:val="22"/>
          <w:szCs w:val="22"/>
        </w:rPr>
        <w:t>investment.</w:t>
      </w:r>
      <w:r w:rsidR="106A6FA5" w:rsidRPr="00417E18">
        <w:rPr>
          <w:noProof/>
          <w:sz w:val="22"/>
          <w:szCs w:val="22"/>
        </w:rPr>
        <w:t xml:space="preserve"> Priority actions include </w:t>
      </w:r>
      <w:r w:rsidR="106A6FA5" w:rsidRPr="00417E18">
        <w:rPr>
          <w:b/>
          <w:bCs/>
          <w:noProof/>
          <w:sz w:val="22"/>
          <w:szCs w:val="22"/>
        </w:rPr>
        <w:t xml:space="preserve">scaling up </w:t>
      </w:r>
      <w:r w:rsidR="232C491D" w:rsidRPr="00417E18">
        <w:rPr>
          <w:b/>
          <w:bCs/>
          <w:noProof/>
          <w:sz w:val="22"/>
          <w:szCs w:val="22"/>
        </w:rPr>
        <w:t xml:space="preserve">access to </w:t>
      </w:r>
      <w:r w:rsidR="4F58447D" w:rsidRPr="00417E18">
        <w:rPr>
          <w:b/>
          <w:bCs/>
          <w:noProof/>
          <w:sz w:val="22"/>
          <w:szCs w:val="22"/>
        </w:rPr>
        <w:t>high-</w:t>
      </w:r>
      <w:r w:rsidR="232C491D" w:rsidRPr="00417E18">
        <w:rPr>
          <w:b/>
          <w:bCs/>
          <w:noProof/>
          <w:sz w:val="22"/>
          <w:szCs w:val="22"/>
        </w:rPr>
        <w:t>quality data for AI and innovation at large</w:t>
      </w:r>
      <w:r w:rsidR="76A977C1" w:rsidRPr="00417E18">
        <w:rPr>
          <w:rFonts w:cs="Calibri"/>
          <w:noProof/>
          <w:sz w:val="22"/>
          <w:szCs w:val="22"/>
        </w:rPr>
        <w:t>, notably through the further deployment of</w:t>
      </w:r>
      <w:r w:rsidR="371C7230" w:rsidRPr="00417E18">
        <w:rPr>
          <w:rFonts w:cs="Calibri"/>
          <w:noProof/>
          <w:sz w:val="22"/>
          <w:szCs w:val="22"/>
        </w:rPr>
        <w:t xml:space="preserve"> </w:t>
      </w:r>
      <w:r w:rsidR="106A6FA5" w:rsidRPr="00417E18">
        <w:rPr>
          <w:b/>
          <w:bCs/>
          <w:noProof/>
          <w:sz w:val="22"/>
          <w:szCs w:val="22"/>
        </w:rPr>
        <w:t>common European data spaces</w:t>
      </w:r>
      <w:r w:rsidR="371C7230" w:rsidRPr="00417E18">
        <w:rPr>
          <w:b/>
          <w:noProof/>
          <w:sz w:val="22"/>
          <w:szCs w:val="22"/>
        </w:rPr>
        <w:t xml:space="preserve"> </w:t>
      </w:r>
      <w:r w:rsidR="525B9199" w:rsidRPr="00417E18">
        <w:rPr>
          <w:b/>
          <w:noProof/>
          <w:sz w:val="22"/>
          <w:szCs w:val="22"/>
        </w:rPr>
        <w:t>and</w:t>
      </w:r>
      <w:r w:rsidR="45D0FE17" w:rsidRPr="00417E18">
        <w:rPr>
          <w:noProof/>
          <w:sz w:val="22"/>
          <w:szCs w:val="22"/>
        </w:rPr>
        <w:t xml:space="preserve"> strengthen</w:t>
      </w:r>
      <w:r w:rsidR="4A69B9BD" w:rsidRPr="00417E18">
        <w:rPr>
          <w:noProof/>
          <w:sz w:val="22"/>
          <w:szCs w:val="22"/>
        </w:rPr>
        <w:t>ing interoperability through open and modular solutions.</w:t>
      </w:r>
      <w:r w:rsidR="69948400" w:rsidRPr="00417E18">
        <w:rPr>
          <w:noProof/>
          <w:sz w:val="22"/>
          <w:szCs w:val="22"/>
        </w:rPr>
        <w:t xml:space="preserve"> </w:t>
      </w:r>
      <w:r w:rsidR="096FDDC9" w:rsidRPr="00417E18">
        <w:rPr>
          <w:noProof/>
          <w:sz w:val="22"/>
          <w:szCs w:val="22"/>
        </w:rPr>
        <w:t>L</w:t>
      </w:r>
      <w:r w:rsidR="45D0FE17" w:rsidRPr="00417E18">
        <w:rPr>
          <w:noProof/>
          <w:sz w:val="22"/>
          <w:szCs w:val="22"/>
        </w:rPr>
        <w:t xml:space="preserve">inking data spaces with </w:t>
      </w:r>
      <w:r w:rsidR="45D0FE17" w:rsidRPr="00417E18">
        <w:rPr>
          <w:b/>
          <w:bCs/>
          <w:noProof/>
          <w:sz w:val="22"/>
          <w:szCs w:val="22"/>
        </w:rPr>
        <w:t>data labs and AI factories</w:t>
      </w:r>
      <w:r w:rsidR="45D0FE17" w:rsidRPr="00417E18">
        <w:rPr>
          <w:noProof/>
          <w:sz w:val="22"/>
          <w:szCs w:val="22"/>
        </w:rPr>
        <w:t xml:space="preserve"> </w:t>
      </w:r>
      <w:r w:rsidR="677AFC87" w:rsidRPr="00417E18">
        <w:rPr>
          <w:noProof/>
          <w:sz w:val="22"/>
          <w:szCs w:val="22"/>
        </w:rPr>
        <w:t>could help</w:t>
      </w:r>
      <w:r w:rsidR="45D0FE17" w:rsidRPr="00417E18">
        <w:rPr>
          <w:noProof/>
          <w:sz w:val="22"/>
          <w:szCs w:val="22"/>
        </w:rPr>
        <w:t xml:space="preserve"> transform Europe’s data assets into resources for trustworthy AI </w:t>
      </w:r>
      <w:r w:rsidR="71D59DE5" w:rsidRPr="00417E18">
        <w:rPr>
          <w:noProof/>
          <w:sz w:val="22"/>
          <w:szCs w:val="22"/>
        </w:rPr>
        <w:t>and advanced analytics.</w:t>
      </w:r>
    </w:p>
    <w:p w14:paraId="28FB94B1" w14:textId="16EF1143" w:rsidR="00414362" w:rsidRPr="00417E18" w:rsidRDefault="00D620A2" w:rsidP="30F26871">
      <w:pPr>
        <w:rPr>
          <w:noProof/>
          <w:sz w:val="22"/>
          <w:szCs w:val="22"/>
        </w:rPr>
      </w:pPr>
      <w:r>
        <w:rPr>
          <w:rFonts w:eastAsia="Calibri" w:cs="Calibri"/>
          <w:noProof/>
          <w:sz w:val="22"/>
          <w:szCs w:val="22"/>
        </w:rPr>
        <w:t>F</w:t>
      </w:r>
      <w:r w:rsidR="08DBA37E" w:rsidRPr="00417E18">
        <w:rPr>
          <w:rFonts w:eastAsia="Calibri" w:cs="Calibri"/>
          <w:noProof/>
          <w:sz w:val="22"/>
          <w:szCs w:val="22"/>
        </w:rPr>
        <w:t xml:space="preserve">urther efforts are needed to </w:t>
      </w:r>
      <w:r w:rsidR="6E9EF333" w:rsidRPr="00417E18">
        <w:rPr>
          <w:b/>
          <w:bCs/>
          <w:noProof/>
          <w:sz w:val="22"/>
          <w:szCs w:val="22"/>
        </w:rPr>
        <w:t xml:space="preserve">simplify and modernise </w:t>
      </w:r>
      <w:r w:rsidR="47D1050C" w:rsidRPr="00417E18">
        <w:rPr>
          <w:b/>
          <w:bCs/>
          <w:noProof/>
          <w:sz w:val="22"/>
          <w:szCs w:val="22"/>
        </w:rPr>
        <w:t>the EU</w:t>
      </w:r>
      <w:r w:rsidR="6E9EF333" w:rsidRPr="00417E18">
        <w:rPr>
          <w:b/>
          <w:bCs/>
          <w:noProof/>
          <w:sz w:val="22"/>
          <w:szCs w:val="22"/>
        </w:rPr>
        <w:t xml:space="preserve"> </w:t>
      </w:r>
      <w:r w:rsidR="564531E2" w:rsidRPr="00417E18">
        <w:rPr>
          <w:b/>
          <w:bCs/>
          <w:noProof/>
          <w:sz w:val="22"/>
          <w:szCs w:val="22"/>
        </w:rPr>
        <w:t xml:space="preserve">data </w:t>
      </w:r>
      <w:r w:rsidR="6E9EF333" w:rsidRPr="00417E18">
        <w:rPr>
          <w:b/>
          <w:bCs/>
          <w:noProof/>
          <w:sz w:val="22"/>
          <w:szCs w:val="22"/>
        </w:rPr>
        <w:t>regulatory framework</w:t>
      </w:r>
      <w:r w:rsidR="3B9FCF20" w:rsidRPr="00417E18">
        <w:rPr>
          <w:noProof/>
          <w:sz w:val="22"/>
          <w:szCs w:val="22"/>
        </w:rPr>
        <w:t>,</w:t>
      </w:r>
      <w:r w:rsidR="62FD6BA4" w:rsidRPr="00417E18">
        <w:rPr>
          <w:noProof/>
          <w:sz w:val="22"/>
          <w:szCs w:val="22"/>
        </w:rPr>
        <w:t xml:space="preserve"> making</w:t>
      </w:r>
      <w:r w:rsidR="6E9EF333" w:rsidRPr="00417E18">
        <w:rPr>
          <w:noProof/>
          <w:sz w:val="22"/>
          <w:szCs w:val="22"/>
        </w:rPr>
        <w:t xml:space="preserve"> it clearer, more innovation-friendly, and less burdensome for businesses</w:t>
      </w:r>
      <w:r w:rsidR="5AD26177" w:rsidRPr="00417E18">
        <w:rPr>
          <w:noProof/>
          <w:sz w:val="22"/>
          <w:szCs w:val="22"/>
        </w:rPr>
        <w:t xml:space="preserve">, </w:t>
      </w:r>
      <w:r w:rsidR="13E5C513" w:rsidRPr="00417E18">
        <w:rPr>
          <w:noProof/>
          <w:sz w:val="22"/>
          <w:szCs w:val="22"/>
        </w:rPr>
        <w:t>especially</w:t>
      </w:r>
      <w:r w:rsidR="62FD6BA4" w:rsidRPr="00417E18">
        <w:rPr>
          <w:noProof/>
          <w:sz w:val="22"/>
          <w:szCs w:val="22"/>
        </w:rPr>
        <w:t xml:space="preserve"> </w:t>
      </w:r>
      <w:r w:rsidR="5AD26177" w:rsidRPr="00417E18">
        <w:rPr>
          <w:noProof/>
          <w:sz w:val="22"/>
          <w:szCs w:val="22"/>
        </w:rPr>
        <w:t>SMEs</w:t>
      </w:r>
      <w:r w:rsidR="6E9EF333" w:rsidRPr="00417E18">
        <w:rPr>
          <w:noProof/>
          <w:sz w:val="22"/>
          <w:szCs w:val="22"/>
        </w:rPr>
        <w:t xml:space="preserve">. </w:t>
      </w:r>
      <w:r w:rsidR="763AF2BA" w:rsidRPr="00417E18">
        <w:rPr>
          <w:noProof/>
          <w:sz w:val="22"/>
          <w:szCs w:val="22"/>
        </w:rPr>
        <w:t>In this context,</w:t>
      </w:r>
      <w:r w:rsidR="6E9EF333" w:rsidRPr="00417E18">
        <w:rPr>
          <w:noProof/>
          <w:sz w:val="22"/>
          <w:szCs w:val="22"/>
        </w:rPr>
        <w:t xml:space="preserve"> the proposed </w:t>
      </w:r>
      <w:r w:rsidR="6E9EF333" w:rsidRPr="00417E18">
        <w:rPr>
          <w:b/>
          <w:bCs/>
          <w:noProof/>
          <w:sz w:val="22"/>
          <w:szCs w:val="22"/>
        </w:rPr>
        <w:t>Digital Omnibus</w:t>
      </w:r>
      <w:r w:rsidR="778AAFF4" w:rsidRPr="00417E18">
        <w:rPr>
          <w:b/>
          <w:bCs/>
          <w:noProof/>
          <w:sz w:val="22"/>
          <w:szCs w:val="22"/>
        </w:rPr>
        <w:t xml:space="preserve"> </w:t>
      </w:r>
      <w:r w:rsidR="4B4D0011" w:rsidRPr="00417E18">
        <w:rPr>
          <w:noProof/>
          <w:sz w:val="22"/>
          <w:szCs w:val="22"/>
        </w:rPr>
        <w:t>aims to</w:t>
      </w:r>
      <w:r w:rsidR="6E9EF333" w:rsidRPr="00417E18">
        <w:rPr>
          <w:noProof/>
          <w:sz w:val="22"/>
          <w:szCs w:val="22"/>
        </w:rPr>
        <w:t xml:space="preserve"> streamline existing </w:t>
      </w:r>
      <w:r w:rsidR="4B13C246" w:rsidRPr="00417E18">
        <w:rPr>
          <w:noProof/>
          <w:sz w:val="22"/>
          <w:szCs w:val="22"/>
        </w:rPr>
        <w:t xml:space="preserve">data </w:t>
      </w:r>
      <w:r w:rsidR="6E9EF333" w:rsidRPr="00417E18">
        <w:rPr>
          <w:noProof/>
          <w:sz w:val="22"/>
          <w:szCs w:val="22"/>
        </w:rPr>
        <w:t xml:space="preserve">legislation by </w:t>
      </w:r>
      <w:r w:rsidR="6A935457" w:rsidRPr="00417E18">
        <w:rPr>
          <w:noProof/>
          <w:sz w:val="22"/>
          <w:szCs w:val="22"/>
        </w:rPr>
        <w:t>reducing</w:t>
      </w:r>
      <w:r w:rsidR="6E9EF333" w:rsidRPr="00417E18">
        <w:rPr>
          <w:noProof/>
          <w:sz w:val="22"/>
          <w:szCs w:val="22"/>
        </w:rPr>
        <w:t xml:space="preserve"> overlap</w:t>
      </w:r>
      <w:r w:rsidR="58AC3FC6" w:rsidRPr="00417E18">
        <w:rPr>
          <w:noProof/>
          <w:sz w:val="22"/>
          <w:szCs w:val="22"/>
        </w:rPr>
        <w:t>s</w:t>
      </w:r>
      <w:r w:rsidR="6E9EF333" w:rsidRPr="00417E18">
        <w:rPr>
          <w:noProof/>
          <w:sz w:val="22"/>
          <w:szCs w:val="22"/>
        </w:rPr>
        <w:t>,</w:t>
      </w:r>
      <w:r w:rsidR="0A929FC7" w:rsidRPr="00417E18">
        <w:rPr>
          <w:noProof/>
          <w:sz w:val="22"/>
          <w:szCs w:val="22"/>
        </w:rPr>
        <w:t xml:space="preserve"> updating certain rules (including on</w:t>
      </w:r>
      <w:r w:rsidR="6E9EF333" w:rsidRPr="00417E18">
        <w:rPr>
          <w:noProof/>
          <w:sz w:val="22"/>
          <w:szCs w:val="22"/>
        </w:rPr>
        <w:t xml:space="preserve"> privacy </w:t>
      </w:r>
      <w:r w:rsidR="08F6F090" w:rsidRPr="00417E18">
        <w:rPr>
          <w:noProof/>
          <w:sz w:val="22"/>
          <w:szCs w:val="22"/>
        </w:rPr>
        <w:t>and data use)</w:t>
      </w:r>
      <w:r w:rsidR="6E9EF333" w:rsidRPr="00417E18">
        <w:rPr>
          <w:noProof/>
          <w:sz w:val="22"/>
          <w:szCs w:val="22"/>
        </w:rPr>
        <w:t xml:space="preserve">, and </w:t>
      </w:r>
      <w:r w:rsidR="79FBCDAC" w:rsidRPr="00417E18">
        <w:rPr>
          <w:noProof/>
          <w:sz w:val="22"/>
          <w:szCs w:val="22"/>
        </w:rPr>
        <w:t>clarifying</w:t>
      </w:r>
      <w:r w:rsidR="6E9EF333" w:rsidRPr="00417E18">
        <w:rPr>
          <w:noProof/>
          <w:sz w:val="22"/>
          <w:szCs w:val="22"/>
        </w:rPr>
        <w:t xml:space="preserve"> the implementation of</w:t>
      </w:r>
      <w:r w:rsidR="0C6B5527" w:rsidRPr="00417E18">
        <w:rPr>
          <w:noProof/>
          <w:sz w:val="22"/>
          <w:szCs w:val="22"/>
        </w:rPr>
        <w:t xml:space="preserve"> key instruments such as</w:t>
      </w:r>
      <w:r w:rsidR="6E9EF333" w:rsidRPr="00417E18">
        <w:rPr>
          <w:noProof/>
          <w:sz w:val="22"/>
          <w:szCs w:val="22"/>
        </w:rPr>
        <w:t xml:space="preserve"> the Data Act</w:t>
      </w:r>
      <w:r w:rsidR="538CA8BD" w:rsidRPr="00417E18">
        <w:rPr>
          <w:noProof/>
          <w:sz w:val="22"/>
          <w:szCs w:val="22"/>
        </w:rPr>
        <w:t>,</w:t>
      </w:r>
      <w:r w:rsidR="6E9EF333" w:rsidRPr="00417E18">
        <w:rPr>
          <w:noProof/>
          <w:sz w:val="22"/>
          <w:szCs w:val="22"/>
        </w:rPr>
        <w:t xml:space="preserve"> while </w:t>
      </w:r>
      <w:r w:rsidR="6248044C" w:rsidRPr="00417E18">
        <w:rPr>
          <w:noProof/>
          <w:sz w:val="22"/>
          <w:szCs w:val="22"/>
        </w:rPr>
        <w:t>preserving their</w:t>
      </w:r>
      <w:r w:rsidR="6E9EF333" w:rsidRPr="00417E18">
        <w:rPr>
          <w:noProof/>
          <w:sz w:val="22"/>
          <w:szCs w:val="22"/>
        </w:rPr>
        <w:t xml:space="preserve"> core </w:t>
      </w:r>
      <w:r w:rsidR="7DB3A85E" w:rsidRPr="00417E18">
        <w:rPr>
          <w:noProof/>
          <w:sz w:val="22"/>
          <w:szCs w:val="22"/>
        </w:rPr>
        <w:t>objectives</w:t>
      </w:r>
      <w:r w:rsidR="6E9EF333" w:rsidRPr="00417E18">
        <w:rPr>
          <w:noProof/>
          <w:sz w:val="22"/>
          <w:szCs w:val="22"/>
        </w:rPr>
        <w:t>.</w:t>
      </w:r>
    </w:p>
    <w:p w14:paraId="729E768B" w14:textId="1EBEDCA6" w:rsidR="00C94052" w:rsidRPr="00417E18" w:rsidRDefault="64439859" w:rsidP="00901FCA">
      <w:pPr>
        <w:rPr>
          <w:noProof/>
          <w:sz w:val="22"/>
          <w:szCs w:val="22"/>
        </w:rPr>
      </w:pPr>
      <w:r w:rsidRPr="00417E18">
        <w:rPr>
          <w:b/>
          <w:bCs/>
          <w:noProof/>
          <w:sz w:val="22"/>
          <w:szCs w:val="22"/>
        </w:rPr>
        <w:t>S</w:t>
      </w:r>
      <w:r w:rsidR="0899FE3C" w:rsidRPr="00417E18">
        <w:rPr>
          <w:b/>
          <w:bCs/>
          <w:noProof/>
          <w:sz w:val="22"/>
          <w:szCs w:val="22"/>
        </w:rPr>
        <w:t>trengthening EU data sovereignty and fair international data flows</w:t>
      </w:r>
      <w:r w:rsidR="411DB77C" w:rsidRPr="00417E18">
        <w:rPr>
          <w:noProof/>
          <w:sz w:val="22"/>
          <w:szCs w:val="22"/>
        </w:rPr>
        <w:t xml:space="preserve"> also remains</w:t>
      </w:r>
      <w:r w:rsidR="0899FE3C" w:rsidRPr="00417E18">
        <w:rPr>
          <w:noProof/>
          <w:sz w:val="22"/>
          <w:szCs w:val="22"/>
        </w:rPr>
        <w:t xml:space="preserve"> </w:t>
      </w:r>
      <w:r w:rsidR="23FB2241" w:rsidRPr="00417E18">
        <w:rPr>
          <w:noProof/>
          <w:sz w:val="22"/>
          <w:szCs w:val="22"/>
        </w:rPr>
        <w:t>essential</w:t>
      </w:r>
      <w:r w:rsidR="40FD0117" w:rsidRPr="00417E18">
        <w:rPr>
          <w:noProof/>
          <w:sz w:val="22"/>
          <w:szCs w:val="22"/>
        </w:rPr>
        <w:t>. This requires enabling cross-border access</w:t>
      </w:r>
      <w:r w:rsidR="7E8A9D9B" w:rsidRPr="00417E18">
        <w:rPr>
          <w:noProof/>
          <w:sz w:val="22"/>
          <w:szCs w:val="22"/>
        </w:rPr>
        <w:t xml:space="preserve"> to data, improving </w:t>
      </w:r>
      <w:r w:rsidR="4905467D" w:rsidRPr="00417E18">
        <w:rPr>
          <w:noProof/>
          <w:sz w:val="22"/>
          <w:szCs w:val="22"/>
        </w:rPr>
        <w:t>access to larger and more diverse data</w:t>
      </w:r>
      <w:r w:rsidR="361BA113" w:rsidRPr="00417E18">
        <w:rPr>
          <w:noProof/>
          <w:sz w:val="22"/>
          <w:szCs w:val="22"/>
        </w:rPr>
        <w:t>sets for businesses, and addressing</w:t>
      </w:r>
      <w:r w:rsidR="4905467D" w:rsidRPr="00417E18">
        <w:rPr>
          <w:noProof/>
          <w:sz w:val="22"/>
          <w:szCs w:val="22"/>
        </w:rPr>
        <w:t xml:space="preserve"> </w:t>
      </w:r>
      <w:r w:rsidR="2E9A2BFC" w:rsidRPr="00417E18">
        <w:rPr>
          <w:noProof/>
          <w:sz w:val="22"/>
          <w:szCs w:val="22"/>
        </w:rPr>
        <w:t xml:space="preserve">remaining </w:t>
      </w:r>
      <w:r w:rsidR="0899FE3C" w:rsidRPr="00417E18">
        <w:rPr>
          <w:noProof/>
          <w:sz w:val="22"/>
          <w:szCs w:val="22"/>
        </w:rPr>
        <w:t>barriers</w:t>
      </w:r>
      <w:r w:rsidR="29ADFE15" w:rsidRPr="00417E18">
        <w:rPr>
          <w:noProof/>
          <w:sz w:val="22"/>
          <w:szCs w:val="22"/>
        </w:rPr>
        <w:t xml:space="preserve"> to data sharing</w:t>
      </w:r>
      <w:r w:rsidR="0899FE3C" w:rsidRPr="00417E18">
        <w:rPr>
          <w:noProof/>
          <w:sz w:val="22"/>
          <w:szCs w:val="22"/>
        </w:rPr>
        <w:t xml:space="preserve">. </w:t>
      </w:r>
      <w:r w:rsidR="0D923A01" w:rsidRPr="00417E18">
        <w:rPr>
          <w:noProof/>
          <w:sz w:val="22"/>
          <w:szCs w:val="22"/>
        </w:rPr>
        <w:t>Such measures are critical</w:t>
      </w:r>
      <w:r w:rsidR="6C758940" w:rsidRPr="00417E18">
        <w:rPr>
          <w:noProof/>
          <w:sz w:val="22"/>
          <w:szCs w:val="22"/>
        </w:rPr>
        <w:t xml:space="preserve"> to</w:t>
      </w:r>
      <w:r w:rsidR="0899FE3C" w:rsidRPr="00417E18">
        <w:rPr>
          <w:noProof/>
          <w:sz w:val="22"/>
          <w:szCs w:val="22"/>
        </w:rPr>
        <w:t xml:space="preserve"> support the development of advanced </w:t>
      </w:r>
      <w:r w:rsidR="23FB2241" w:rsidRPr="00417E18">
        <w:rPr>
          <w:noProof/>
          <w:sz w:val="22"/>
          <w:szCs w:val="22"/>
        </w:rPr>
        <w:t xml:space="preserve">data </w:t>
      </w:r>
      <w:r w:rsidR="0899FE3C" w:rsidRPr="00417E18">
        <w:rPr>
          <w:noProof/>
          <w:sz w:val="22"/>
          <w:szCs w:val="22"/>
        </w:rPr>
        <w:t xml:space="preserve">analytics and AI </w:t>
      </w:r>
      <w:r w:rsidR="75A32FA2" w:rsidRPr="00417E18">
        <w:rPr>
          <w:noProof/>
          <w:sz w:val="22"/>
          <w:szCs w:val="22"/>
        </w:rPr>
        <w:t>applications</w:t>
      </w:r>
      <w:r w:rsidR="1AFC0C96" w:rsidRPr="00417E18">
        <w:rPr>
          <w:noProof/>
          <w:sz w:val="22"/>
          <w:szCs w:val="22"/>
        </w:rPr>
        <w:t xml:space="preserve"> </w:t>
      </w:r>
      <w:r w:rsidR="76BEA8BD" w:rsidRPr="00417E18">
        <w:rPr>
          <w:noProof/>
          <w:sz w:val="22"/>
          <w:szCs w:val="22"/>
        </w:rPr>
        <w:t>and to enhance</w:t>
      </w:r>
      <w:r w:rsidR="4FC0F2B4" w:rsidRPr="00417E18">
        <w:rPr>
          <w:noProof/>
          <w:sz w:val="22"/>
          <w:szCs w:val="22"/>
        </w:rPr>
        <w:t xml:space="preserve"> </w:t>
      </w:r>
      <w:r w:rsidR="0899FE3C" w:rsidRPr="00417E18">
        <w:rPr>
          <w:noProof/>
          <w:sz w:val="22"/>
          <w:szCs w:val="22"/>
        </w:rPr>
        <w:t>the global competitiveness of European companies.</w:t>
      </w:r>
    </w:p>
    <w:tbl>
      <w:tblPr>
        <w:tblStyle w:val="TableGrid"/>
        <w:tblW w:w="0" w:type="auto"/>
        <w:tblLook w:val="06A0" w:firstRow="1" w:lastRow="0" w:firstColumn="1" w:lastColumn="0" w:noHBand="1" w:noVBand="1"/>
      </w:tblPr>
      <w:tblGrid>
        <w:gridCol w:w="9350"/>
      </w:tblGrid>
      <w:tr w:rsidR="6423C295" w:rsidRPr="00417E18" w14:paraId="60D32AA9" w14:textId="77777777" w:rsidTr="698D0C64">
        <w:trPr>
          <w:trHeight w:val="300"/>
        </w:trPr>
        <w:tc>
          <w:tcPr>
            <w:tcW w:w="9360" w:type="dxa"/>
            <w:shd w:val="clear" w:color="auto" w:fill="D4F1EE"/>
          </w:tcPr>
          <w:p w14:paraId="42D8FFA5" w14:textId="4C58346C" w:rsidR="01939166" w:rsidRPr="00417E18" w:rsidRDefault="01939166" w:rsidP="0584DE66">
            <w:pPr>
              <w:rPr>
                <w:b/>
                <w:noProof/>
              </w:rPr>
            </w:pPr>
            <w:r w:rsidRPr="00417E18">
              <w:rPr>
                <w:b/>
                <w:noProof/>
              </w:rPr>
              <w:t>Recommendation:</w:t>
            </w:r>
          </w:p>
          <w:p w14:paraId="2FA7B6F5" w14:textId="7EDCD190" w:rsidR="01939166" w:rsidRPr="00417E18" w:rsidRDefault="59740A3F" w:rsidP="04A95214">
            <w:pPr>
              <w:spacing w:line="278" w:lineRule="auto"/>
              <w:rPr>
                <w:rFonts w:eastAsia="Calibri" w:cs="Calibri"/>
                <w:noProof/>
              </w:rPr>
            </w:pPr>
            <w:r w:rsidRPr="00417E18">
              <w:rPr>
                <w:rFonts w:eastAsia="Calibri" w:cs="Calibri"/>
                <w:noProof/>
              </w:rPr>
              <w:t xml:space="preserve">Member States should support the uptake of cloud, AI and data analytics by enterprises, in particular SMEs and start-ups </w:t>
            </w:r>
            <w:r w:rsidR="04D1BD0A" w:rsidRPr="3452A7A9">
              <w:rPr>
                <w:rFonts w:eastAsia="Calibri" w:cs="Calibri"/>
                <w:noProof/>
              </w:rPr>
              <w:t>and government services</w:t>
            </w:r>
            <w:r w:rsidRPr="3452A7A9">
              <w:rPr>
                <w:rFonts w:eastAsia="Calibri" w:cs="Calibri"/>
                <w:noProof/>
              </w:rPr>
              <w:t xml:space="preserve"> </w:t>
            </w:r>
            <w:r w:rsidRPr="00417E18">
              <w:rPr>
                <w:rFonts w:eastAsia="Calibri" w:cs="Calibri"/>
                <w:noProof/>
              </w:rPr>
              <w:t>in line with the proposed Cloud and AI Development Act, the Apply AI Strategy and the EU data acquis, by:</w:t>
            </w:r>
          </w:p>
          <w:p w14:paraId="2E308728" w14:textId="11D21136" w:rsidR="01939166" w:rsidRPr="00417E18" w:rsidRDefault="59740A3F" w:rsidP="00F36E2D">
            <w:pPr>
              <w:pStyle w:val="ListParagraph"/>
              <w:numPr>
                <w:ilvl w:val="0"/>
                <w:numId w:val="24"/>
              </w:numPr>
              <w:spacing w:before="60" w:after="120"/>
              <w:ind w:left="714" w:hanging="357"/>
              <w:contextualSpacing w:val="0"/>
              <w:rPr>
                <w:rFonts w:eastAsia="Calibri" w:cs="Calibri"/>
                <w:noProof/>
              </w:rPr>
            </w:pPr>
            <w:r w:rsidRPr="00417E18">
              <w:rPr>
                <w:rFonts w:eastAsia="Calibri" w:cs="Calibri"/>
                <w:noProof/>
              </w:rPr>
              <w:t>ensuring a consistent and business-friendly implementation of EU data rules and improving access to high-quality data, computing resources, data labs and innovation support services;</w:t>
            </w:r>
          </w:p>
          <w:p w14:paraId="0EE88A9E" w14:textId="58B1349C" w:rsidR="01939166" w:rsidRPr="00417E18" w:rsidRDefault="59740A3F" w:rsidP="00F36E2D">
            <w:pPr>
              <w:pStyle w:val="ListParagraph"/>
              <w:numPr>
                <w:ilvl w:val="0"/>
                <w:numId w:val="24"/>
              </w:numPr>
              <w:spacing w:before="60" w:after="120"/>
              <w:ind w:left="714" w:hanging="357"/>
              <w:contextualSpacing w:val="0"/>
              <w:rPr>
                <w:rFonts w:eastAsia="Calibri" w:cs="Calibri"/>
                <w:noProof/>
              </w:rPr>
            </w:pPr>
            <w:r w:rsidRPr="00417E18">
              <w:rPr>
                <w:rFonts w:eastAsia="Calibri" w:cs="Calibri"/>
                <w:noProof/>
              </w:rPr>
              <w:t xml:space="preserve">accelerating the deployment of common European data spaces and strengthening interoperability through open and modular solutions, in particular through the relevant European Digital Infrastructure Consortia (such as ALT-EDIC, </w:t>
            </w:r>
            <w:r w:rsidR="00EE2F87">
              <w:rPr>
                <w:rFonts w:eastAsia="Calibri" w:cs="Calibri"/>
                <w:noProof/>
              </w:rPr>
              <w:t>and the upcoming</w:t>
            </w:r>
            <w:r w:rsidRPr="00417E18" w:rsidDel="00B7671C">
              <w:rPr>
                <w:rFonts w:eastAsia="Calibri" w:cs="Calibri"/>
                <w:noProof/>
              </w:rPr>
              <w:t xml:space="preserve"> </w:t>
            </w:r>
            <w:r w:rsidRPr="00417E18">
              <w:rPr>
                <w:rFonts w:eastAsia="Calibri" w:cs="Calibri"/>
                <w:noProof/>
              </w:rPr>
              <w:t xml:space="preserve">Mobility </w:t>
            </w:r>
            <w:r w:rsidR="24B4CEA8" w:rsidRPr="5FCDC78E">
              <w:rPr>
                <w:rFonts w:eastAsia="Calibri" w:cs="Calibri"/>
                <w:noProof/>
              </w:rPr>
              <w:t>and Logistics</w:t>
            </w:r>
            <w:r w:rsidR="7C3BFBB6" w:rsidRPr="5FCDC78E">
              <w:rPr>
                <w:rFonts w:eastAsia="Calibri" w:cs="Calibri"/>
                <w:noProof/>
              </w:rPr>
              <w:t xml:space="preserve"> </w:t>
            </w:r>
            <w:r w:rsidRPr="00417E18">
              <w:rPr>
                <w:rFonts w:eastAsia="Calibri" w:cs="Calibri"/>
                <w:noProof/>
              </w:rPr>
              <w:t xml:space="preserve">EDIC and </w:t>
            </w:r>
            <w:r w:rsidR="3A2350DC" w:rsidRPr="5FCDC78E">
              <w:rPr>
                <w:rFonts w:eastAsia="Calibri" w:cs="Calibri"/>
                <w:noProof/>
              </w:rPr>
              <w:t>Agri-food</w:t>
            </w:r>
            <w:r w:rsidRPr="00417E18">
              <w:rPr>
                <w:rFonts w:eastAsia="Calibri" w:cs="Calibri"/>
                <w:noProof/>
              </w:rPr>
              <w:t xml:space="preserve"> EDIC);</w:t>
            </w:r>
          </w:p>
          <w:p w14:paraId="564C3158" w14:textId="39B3296D" w:rsidR="01939166" w:rsidRPr="00417E18" w:rsidRDefault="59740A3F" w:rsidP="00F36E2D">
            <w:pPr>
              <w:pStyle w:val="ListParagraph"/>
              <w:numPr>
                <w:ilvl w:val="0"/>
                <w:numId w:val="24"/>
              </w:numPr>
              <w:spacing w:before="60" w:after="120"/>
              <w:ind w:left="714" w:hanging="357"/>
              <w:contextualSpacing w:val="0"/>
              <w:rPr>
                <w:rFonts w:eastAsia="Calibri" w:cs="Calibri"/>
                <w:noProof/>
              </w:rPr>
            </w:pPr>
            <w:r w:rsidRPr="00417E18">
              <w:rPr>
                <w:rFonts w:eastAsia="Calibri" w:cs="Calibri"/>
                <w:noProof/>
              </w:rPr>
              <w:t>reinforcing data sovereignty and secure cross-border data flows, in support of the development of trustworthy AI in the EU and the global competitiveness of European firms;</w:t>
            </w:r>
          </w:p>
          <w:p w14:paraId="4A386896" w14:textId="2AB28F97" w:rsidR="01939166" w:rsidRPr="00417E18" w:rsidRDefault="59740A3F" w:rsidP="00F36E2D">
            <w:pPr>
              <w:pStyle w:val="ListParagraph"/>
              <w:numPr>
                <w:ilvl w:val="0"/>
                <w:numId w:val="24"/>
              </w:numPr>
              <w:spacing w:before="60" w:after="120"/>
              <w:ind w:left="714" w:hanging="357"/>
              <w:contextualSpacing w:val="0"/>
              <w:rPr>
                <w:rFonts w:eastAsia="Calibri" w:cs="Calibri"/>
                <w:noProof/>
              </w:rPr>
            </w:pPr>
            <w:r w:rsidRPr="00417E18">
              <w:rPr>
                <w:rFonts w:eastAsia="Calibri" w:cs="Calibri"/>
                <w:noProof/>
              </w:rPr>
              <w:t xml:space="preserve">facilitating the adoption of </w:t>
            </w:r>
            <w:r w:rsidR="57F9D539" w:rsidRPr="00806664">
              <w:rPr>
                <w:rFonts w:eastAsia="Calibri" w:cs="Calibri"/>
                <w:noProof/>
              </w:rPr>
              <w:t>secure, open and efficient</w:t>
            </w:r>
            <w:r w:rsidRPr="00806664">
              <w:rPr>
                <w:rFonts w:eastAsia="Calibri" w:cs="Calibri"/>
                <w:noProof/>
              </w:rPr>
              <w:t xml:space="preserve"> </w:t>
            </w:r>
            <w:r w:rsidRPr="00417E18">
              <w:rPr>
                <w:rFonts w:eastAsia="Calibri" w:cs="Calibri"/>
                <w:noProof/>
              </w:rPr>
              <w:t>cloud computing services by SMEs</w:t>
            </w:r>
            <w:r w:rsidR="00696C32">
              <w:rPr>
                <w:rFonts w:eastAsia="Calibri" w:cs="Calibri"/>
                <w:noProof/>
              </w:rPr>
              <w:t xml:space="preserve">, </w:t>
            </w:r>
            <w:r w:rsidR="00696C32" w:rsidRPr="00696C32">
              <w:rPr>
                <w:rFonts w:eastAsia="Calibri" w:cs="Calibri"/>
                <w:noProof/>
              </w:rPr>
              <w:t>companies in sectors of high criticality in line with NIS2,</w:t>
            </w:r>
            <w:r w:rsidRPr="00417E18">
              <w:rPr>
                <w:rFonts w:eastAsia="Calibri" w:cs="Calibri"/>
                <w:noProof/>
              </w:rPr>
              <w:t xml:space="preserve"> </w:t>
            </w:r>
            <w:r w:rsidR="6877916C" w:rsidRPr="00806664">
              <w:rPr>
                <w:rFonts w:eastAsia="Calibri" w:cs="Calibri"/>
                <w:noProof/>
              </w:rPr>
              <w:t xml:space="preserve">and government services </w:t>
            </w:r>
            <w:r w:rsidRPr="00417E18">
              <w:rPr>
                <w:rFonts w:eastAsia="Calibri" w:cs="Calibri"/>
                <w:noProof/>
              </w:rPr>
              <w:t>through targeted support, resources and incentives that overcome barriers to adoption, including skills, resources and awareness.</w:t>
            </w:r>
          </w:p>
        </w:tc>
      </w:tr>
    </w:tbl>
    <w:p w14:paraId="14B1A27D" w14:textId="59D65255" w:rsidR="6423C295" w:rsidRPr="00417E18" w:rsidRDefault="6423C295">
      <w:pPr>
        <w:rPr>
          <w:noProof/>
          <w:sz w:val="22"/>
          <w:szCs w:val="22"/>
        </w:rPr>
      </w:pPr>
    </w:p>
    <w:p w14:paraId="1CE84F2A" w14:textId="2B041180" w:rsidR="6D2295DA" w:rsidRPr="00417E18" w:rsidRDefault="6D2295DA" w:rsidP="00E11929">
      <w:pPr>
        <w:pStyle w:val="Heading3"/>
        <w:numPr>
          <w:ilvl w:val="2"/>
          <w:numId w:val="40"/>
        </w:numPr>
        <w:rPr>
          <w:noProof/>
        </w:rPr>
      </w:pPr>
      <w:bookmarkStart w:id="60" w:name="_Toc226710904"/>
      <w:bookmarkStart w:id="61" w:name="_Toc1594693883"/>
      <w:bookmarkStart w:id="62" w:name="_Toc1772505776"/>
      <w:bookmarkStart w:id="63" w:name="_Toc229042644"/>
      <w:bookmarkStart w:id="64" w:name="_Toc231830059"/>
      <w:r w:rsidRPr="00417E18">
        <w:rPr>
          <w:noProof/>
        </w:rPr>
        <w:t xml:space="preserve">Open </w:t>
      </w:r>
      <w:bookmarkEnd w:id="60"/>
      <w:bookmarkEnd w:id="61"/>
      <w:bookmarkEnd w:id="62"/>
      <w:bookmarkEnd w:id="63"/>
      <w:r w:rsidRPr="72667201">
        <w:rPr>
          <w:noProof/>
        </w:rPr>
        <w:t>So</w:t>
      </w:r>
      <w:r w:rsidR="639A1085" w:rsidRPr="72667201">
        <w:rPr>
          <w:noProof/>
        </w:rPr>
        <w:t>urce</w:t>
      </w:r>
      <w:bookmarkEnd w:id="64"/>
    </w:p>
    <w:p w14:paraId="7923C70E" w14:textId="1FCDBB47" w:rsidR="0014610E" w:rsidRPr="00417E18" w:rsidRDefault="3467AA77" w:rsidP="76BEC0DD">
      <w:pPr>
        <w:rPr>
          <w:rFonts w:cs="Calibri"/>
          <w:noProof/>
          <w:sz w:val="22"/>
          <w:szCs w:val="22"/>
        </w:rPr>
      </w:pPr>
      <w:r w:rsidRPr="00417E18">
        <w:rPr>
          <w:rFonts w:cs="Calibri"/>
          <w:noProof/>
          <w:sz w:val="22"/>
          <w:szCs w:val="22"/>
        </w:rPr>
        <w:t xml:space="preserve">Open </w:t>
      </w:r>
      <w:r w:rsidR="007F0A37">
        <w:rPr>
          <w:rFonts w:cs="Calibri"/>
          <w:noProof/>
          <w:sz w:val="22"/>
          <w:szCs w:val="22"/>
        </w:rPr>
        <w:t>source</w:t>
      </w:r>
      <w:r w:rsidRPr="00417E18">
        <w:rPr>
          <w:rFonts w:cs="Calibri"/>
          <w:noProof/>
          <w:sz w:val="22"/>
          <w:szCs w:val="22"/>
        </w:rPr>
        <w:t xml:space="preserve"> is a strategic enabler of the digital transformation of the European Union and the Digital Decade goals </w:t>
      </w:r>
      <w:r w:rsidR="054BA334" w:rsidRPr="0C856F1D">
        <w:rPr>
          <w:rFonts w:cs="Calibri"/>
          <w:noProof/>
          <w:sz w:val="22"/>
          <w:szCs w:val="22"/>
        </w:rPr>
        <w:t>as</w:t>
      </w:r>
      <w:r w:rsidRPr="00417E18">
        <w:rPr>
          <w:rFonts w:cs="Calibri"/>
          <w:noProof/>
          <w:sz w:val="22"/>
          <w:szCs w:val="22"/>
        </w:rPr>
        <w:t xml:space="preserve"> it underpins most modern digital systems and directly affects Europe’s competitiveness, resilience and technological sovereignty. </w:t>
      </w:r>
      <w:r w:rsidRPr="00417E18">
        <w:rPr>
          <w:rFonts w:cs="Calibri"/>
          <w:b/>
          <w:bCs/>
          <w:noProof/>
          <w:sz w:val="22"/>
          <w:szCs w:val="22"/>
        </w:rPr>
        <w:t>Open source makes up 70 to 90% of all code in the digital economy</w:t>
      </w:r>
      <w:r w:rsidR="00180434" w:rsidRPr="00417E18">
        <w:rPr>
          <w:rStyle w:val="FootnoteReference"/>
          <w:rFonts w:cs="Calibri"/>
          <w:noProof/>
          <w:sz w:val="22"/>
          <w:szCs w:val="22"/>
        </w:rPr>
        <w:footnoteReference w:id="66"/>
      </w:r>
      <w:r w:rsidR="7370FF1D" w:rsidRPr="00417E18">
        <w:rPr>
          <w:rFonts w:cs="Calibri"/>
          <w:noProof/>
          <w:sz w:val="22"/>
          <w:szCs w:val="22"/>
        </w:rPr>
        <w:t>.</w:t>
      </w:r>
      <w:r w:rsidRPr="00417E18">
        <w:rPr>
          <w:rFonts w:cs="Calibri"/>
          <w:noProof/>
          <w:sz w:val="22"/>
          <w:szCs w:val="22"/>
        </w:rPr>
        <w:t xml:space="preserve"> A 2024 Harvard Business School study</w:t>
      </w:r>
      <w:r w:rsidR="00863027">
        <w:rPr>
          <w:rStyle w:val="FootnoteReference"/>
          <w:rFonts w:cs="Calibri"/>
          <w:noProof/>
          <w:sz w:val="22"/>
          <w:szCs w:val="22"/>
        </w:rPr>
        <w:footnoteReference w:id="67"/>
      </w:r>
      <w:r w:rsidRPr="00417E18">
        <w:rPr>
          <w:rStyle w:val="FootnoteReference"/>
          <w:rFonts w:cs="Calibri"/>
          <w:noProof/>
          <w:sz w:val="22"/>
          <w:szCs w:val="22"/>
        </w:rPr>
        <w:t xml:space="preserve"> </w:t>
      </w:r>
      <w:r w:rsidRPr="00417E18">
        <w:rPr>
          <w:rFonts w:cs="Calibri"/>
          <w:noProof/>
          <w:sz w:val="22"/>
          <w:szCs w:val="22"/>
        </w:rPr>
        <w:t>estimated the demand-side value of open</w:t>
      </w:r>
      <w:r w:rsidR="006D69E9" w:rsidRPr="00417E18">
        <w:rPr>
          <w:rFonts w:cs="Calibri"/>
          <w:noProof/>
          <w:sz w:val="22"/>
          <w:szCs w:val="22"/>
        </w:rPr>
        <w:t>-</w:t>
      </w:r>
      <w:r w:rsidRPr="00417E18">
        <w:rPr>
          <w:rFonts w:cs="Calibri"/>
          <w:noProof/>
          <w:sz w:val="22"/>
          <w:szCs w:val="22"/>
        </w:rPr>
        <w:t xml:space="preserve">source software at USD 8.8 trillion and found that firms would need to spend 3.5 times more on software if open source did not exist. </w:t>
      </w:r>
      <w:r w:rsidR="00D86219">
        <w:rPr>
          <w:rFonts w:cs="Calibri"/>
          <w:noProof/>
          <w:sz w:val="22"/>
          <w:szCs w:val="22"/>
        </w:rPr>
        <w:t>The EU</w:t>
      </w:r>
      <w:r w:rsidR="00D86219" w:rsidRPr="00417E18">
        <w:rPr>
          <w:rFonts w:cs="Calibri"/>
          <w:noProof/>
          <w:sz w:val="22"/>
          <w:szCs w:val="22"/>
        </w:rPr>
        <w:t xml:space="preserve"> </w:t>
      </w:r>
      <w:r w:rsidRPr="00417E18">
        <w:rPr>
          <w:rFonts w:cs="Calibri"/>
          <w:noProof/>
          <w:sz w:val="22"/>
          <w:szCs w:val="22"/>
        </w:rPr>
        <w:t>starts from a position of strength, with more than 3 million open</w:t>
      </w:r>
      <w:r w:rsidR="006D69E9">
        <w:rPr>
          <w:rFonts w:cs="Calibri"/>
          <w:noProof/>
          <w:sz w:val="22"/>
          <w:szCs w:val="22"/>
        </w:rPr>
        <w:t>-</w:t>
      </w:r>
      <w:r w:rsidRPr="00417E18">
        <w:rPr>
          <w:rFonts w:cs="Calibri"/>
          <w:noProof/>
          <w:sz w:val="22"/>
          <w:szCs w:val="22"/>
        </w:rPr>
        <w:t>source contributors, more than 500 for-profit open</w:t>
      </w:r>
      <w:r w:rsidR="00E93584" w:rsidRPr="00417E18">
        <w:rPr>
          <w:rFonts w:cs="Calibri"/>
          <w:noProof/>
          <w:sz w:val="22"/>
          <w:szCs w:val="22"/>
        </w:rPr>
        <w:t>-</w:t>
      </w:r>
      <w:r w:rsidRPr="00417E18">
        <w:rPr>
          <w:rFonts w:cs="Calibri"/>
          <w:noProof/>
          <w:sz w:val="22"/>
          <w:szCs w:val="22"/>
        </w:rPr>
        <w:t>source companies and substantial EU support to open</w:t>
      </w:r>
      <w:r w:rsidR="006B7C12">
        <w:rPr>
          <w:rFonts w:cs="Calibri"/>
          <w:noProof/>
          <w:sz w:val="22"/>
          <w:szCs w:val="22"/>
        </w:rPr>
        <w:t>-</w:t>
      </w:r>
      <w:r w:rsidRPr="00417E18">
        <w:rPr>
          <w:rFonts w:cs="Calibri"/>
          <w:noProof/>
          <w:sz w:val="22"/>
          <w:szCs w:val="22"/>
        </w:rPr>
        <w:t xml:space="preserve">source actions across cloud, AI, cybersecurity, internet technologies and chips, estimated at around EUR 800 million in the current MFF. Yet these strengths are still not converted into sufficient market scale, stewardship capacity or control over critical parts of the digital stack. </w:t>
      </w:r>
    </w:p>
    <w:p w14:paraId="6F9AB912" w14:textId="3D9FA80A" w:rsidR="0014610E" w:rsidRPr="00417E18" w:rsidRDefault="3467AA77" w:rsidP="76BEC0DD">
      <w:pPr>
        <w:rPr>
          <w:rFonts w:cs="Calibri"/>
          <w:noProof/>
          <w:sz w:val="22"/>
          <w:szCs w:val="22"/>
        </w:rPr>
      </w:pPr>
      <w:r w:rsidRPr="00417E18">
        <w:rPr>
          <w:rFonts w:cs="Calibri"/>
          <w:noProof/>
          <w:sz w:val="22"/>
          <w:szCs w:val="22"/>
        </w:rPr>
        <w:t>The main hurdles are structural. First,</w:t>
      </w:r>
      <w:r w:rsidRPr="00417E18" w:rsidDel="007D5B2A">
        <w:rPr>
          <w:rFonts w:cs="Calibri"/>
          <w:noProof/>
          <w:sz w:val="22"/>
          <w:szCs w:val="22"/>
        </w:rPr>
        <w:t xml:space="preserve"> </w:t>
      </w:r>
      <w:r w:rsidR="007D5B2A">
        <w:rPr>
          <w:rFonts w:cs="Calibri"/>
          <w:noProof/>
          <w:sz w:val="22"/>
          <w:szCs w:val="22"/>
        </w:rPr>
        <w:t>the EU</w:t>
      </w:r>
      <w:r w:rsidR="007D5B2A" w:rsidRPr="00417E18">
        <w:rPr>
          <w:rFonts w:cs="Calibri"/>
          <w:noProof/>
          <w:sz w:val="22"/>
          <w:szCs w:val="22"/>
        </w:rPr>
        <w:t xml:space="preserve"> </w:t>
      </w:r>
      <w:r w:rsidRPr="00417E18">
        <w:rPr>
          <w:rFonts w:cs="Calibri"/>
          <w:noProof/>
          <w:sz w:val="22"/>
          <w:szCs w:val="22"/>
        </w:rPr>
        <w:t>still struggles to move from research and community development to adoption at scale. Many promising projects lack financing for integration into real-world environments, user experience improvements, security hardening, performance testing, legal compliance and commercial deployment. Second, maintenance remains a major market challenge. Critical open</w:t>
      </w:r>
      <w:r w:rsidR="006D69E9" w:rsidRPr="00417E18">
        <w:rPr>
          <w:rFonts w:cs="Calibri"/>
          <w:noProof/>
          <w:sz w:val="22"/>
          <w:szCs w:val="22"/>
        </w:rPr>
        <w:t>-</w:t>
      </w:r>
      <w:r w:rsidRPr="00417E18">
        <w:rPr>
          <w:rFonts w:cs="Calibri"/>
          <w:noProof/>
          <w:sz w:val="22"/>
          <w:szCs w:val="22"/>
        </w:rPr>
        <w:t>source components are often widely used but maintained with fragile resources, creating both security and continuity risks. Third, access to scale-up capital remains weak, particularly for European SMEs and mid-caps building open</w:t>
      </w:r>
      <w:r w:rsidR="006D69E9">
        <w:rPr>
          <w:rFonts w:cs="Calibri"/>
          <w:noProof/>
          <w:sz w:val="22"/>
          <w:szCs w:val="22"/>
        </w:rPr>
        <w:t>-</w:t>
      </w:r>
      <w:r w:rsidRPr="00417E18">
        <w:rPr>
          <w:rFonts w:cs="Calibri"/>
          <w:noProof/>
          <w:sz w:val="22"/>
          <w:szCs w:val="22"/>
        </w:rPr>
        <w:t>source business models. Fourth, public procurement frameworks still tend to favour incumbent proprietary suppliers by focusing on short-term pricing, product bundles and vendor-specific features rather than lifecycle cost, interoperability, exit costs and strategic control. Fifth,</w:t>
      </w:r>
      <w:r w:rsidRPr="00417E18" w:rsidDel="007D5B2A">
        <w:rPr>
          <w:rFonts w:cs="Calibri"/>
          <w:noProof/>
          <w:sz w:val="22"/>
          <w:szCs w:val="22"/>
        </w:rPr>
        <w:t xml:space="preserve"> </w:t>
      </w:r>
      <w:r w:rsidR="007D5B2A">
        <w:rPr>
          <w:rFonts w:cs="Calibri"/>
          <w:noProof/>
          <w:sz w:val="22"/>
          <w:szCs w:val="22"/>
        </w:rPr>
        <w:t>the EU</w:t>
      </w:r>
      <w:r w:rsidR="007D5B2A" w:rsidRPr="00417E18">
        <w:rPr>
          <w:rFonts w:cs="Calibri"/>
          <w:noProof/>
          <w:sz w:val="22"/>
          <w:szCs w:val="22"/>
        </w:rPr>
        <w:t xml:space="preserve"> </w:t>
      </w:r>
      <w:r w:rsidRPr="00417E18">
        <w:rPr>
          <w:rFonts w:cs="Calibri"/>
          <w:noProof/>
          <w:sz w:val="22"/>
          <w:szCs w:val="22"/>
        </w:rPr>
        <w:t>still lacks sufficiently strong stewardship, governance and trust organisations that can carry out assessments, security attestations to make open software easier to buy and deploy in regulated or mission-critical environments. These challenges are amplified by fragmentation across Member States and by continued dependence on non-EU digital infrastructures and services, including software repositories, code hosting platforms, cloud execution environments and trust services that remain outside EU jurisdiction.</w:t>
      </w:r>
    </w:p>
    <w:p w14:paraId="3AE2EBEE" w14:textId="75DD426B" w:rsidR="0014610E" w:rsidRPr="00417E18" w:rsidRDefault="3467AA77" w:rsidP="76BEC0DD">
      <w:pPr>
        <w:rPr>
          <w:rFonts w:cs="Calibri"/>
          <w:noProof/>
          <w:sz w:val="22"/>
          <w:szCs w:val="22"/>
        </w:rPr>
      </w:pPr>
      <w:r w:rsidRPr="00417E18">
        <w:rPr>
          <w:rFonts w:cs="Calibri"/>
          <w:noProof/>
          <w:sz w:val="22"/>
          <w:szCs w:val="22"/>
        </w:rPr>
        <w:t xml:space="preserve">Investments and reforms are therefore needed to </w:t>
      </w:r>
      <w:r w:rsidR="000D20C1" w:rsidRPr="0C856F1D">
        <w:rPr>
          <w:rFonts w:cs="Calibri"/>
          <w:noProof/>
          <w:sz w:val="22"/>
          <w:szCs w:val="22"/>
        </w:rPr>
        <w:t>address</w:t>
      </w:r>
      <w:r w:rsidRPr="00417E18">
        <w:rPr>
          <w:rFonts w:cs="Calibri"/>
          <w:noProof/>
          <w:sz w:val="22"/>
          <w:szCs w:val="22"/>
        </w:rPr>
        <w:t xml:space="preserve"> this situation. Public procurement should better recognise open standards, interoperability, reusability and total cost of ownership, including switching and lock-in costs so that open software can compete on equal terms in tenders. Public administrations should be supported with common guidance, model clauses and skills to be able to migrate to open</w:t>
      </w:r>
      <w:r w:rsidR="006D69E9" w:rsidRPr="00417E18">
        <w:rPr>
          <w:rFonts w:cs="Calibri"/>
          <w:noProof/>
          <w:sz w:val="22"/>
          <w:szCs w:val="22"/>
        </w:rPr>
        <w:t>-</w:t>
      </w:r>
      <w:r w:rsidRPr="00417E18">
        <w:rPr>
          <w:rFonts w:cs="Calibri"/>
          <w:noProof/>
          <w:sz w:val="22"/>
          <w:szCs w:val="22"/>
        </w:rPr>
        <w:t xml:space="preserve">source solutions with confidence. The EU should also strengthen trust and adoption mechanisms by developing shared assessments and security assurances, promoting common catalogues, </w:t>
      </w:r>
      <w:r w:rsidRPr="0C856F1D">
        <w:rPr>
          <w:rFonts w:cs="Calibri"/>
          <w:noProof/>
          <w:sz w:val="22"/>
          <w:szCs w:val="22"/>
        </w:rPr>
        <w:t>roll</w:t>
      </w:r>
      <w:r w:rsidR="00BE3C45" w:rsidRPr="0C856F1D">
        <w:rPr>
          <w:rFonts w:cs="Calibri"/>
          <w:noProof/>
          <w:sz w:val="22"/>
          <w:szCs w:val="22"/>
        </w:rPr>
        <w:t>ing</w:t>
      </w:r>
      <w:r w:rsidRPr="00417E18">
        <w:rPr>
          <w:rFonts w:cs="Calibri"/>
          <w:noProof/>
          <w:sz w:val="22"/>
          <w:szCs w:val="22"/>
        </w:rPr>
        <w:t xml:space="preserve"> out interoperability frameworks and </w:t>
      </w:r>
      <w:r w:rsidRPr="07868930">
        <w:rPr>
          <w:rFonts w:cs="Calibri"/>
          <w:noProof/>
          <w:sz w:val="22"/>
          <w:szCs w:val="22"/>
        </w:rPr>
        <w:t>reus</w:t>
      </w:r>
      <w:r w:rsidR="00B03D6D" w:rsidRPr="07868930">
        <w:rPr>
          <w:rFonts w:cs="Calibri"/>
          <w:noProof/>
          <w:sz w:val="22"/>
          <w:szCs w:val="22"/>
        </w:rPr>
        <w:t>ing</w:t>
      </w:r>
      <w:r w:rsidRPr="00417E18">
        <w:rPr>
          <w:rFonts w:cs="Calibri"/>
          <w:noProof/>
          <w:sz w:val="22"/>
          <w:szCs w:val="22"/>
        </w:rPr>
        <w:t xml:space="preserve"> open digital building blocks across borders. The open</w:t>
      </w:r>
      <w:r w:rsidR="006D69E9" w:rsidRPr="00417E18">
        <w:rPr>
          <w:rFonts w:cs="Calibri"/>
          <w:noProof/>
          <w:sz w:val="22"/>
          <w:szCs w:val="22"/>
        </w:rPr>
        <w:t>-</w:t>
      </w:r>
      <w:r w:rsidRPr="00417E18">
        <w:rPr>
          <w:rFonts w:cs="Calibri"/>
          <w:noProof/>
          <w:sz w:val="22"/>
          <w:szCs w:val="22"/>
        </w:rPr>
        <w:t xml:space="preserve">source licensing requirement for the EU Digital Identity Wallet and the launch of the Digital Commons EDIC show that the EU already has practical anchors on which to build a more coherent adoption strategy. </w:t>
      </w:r>
    </w:p>
    <w:p w14:paraId="2BBC8FBC" w14:textId="103C8502" w:rsidR="0014610E" w:rsidRPr="00417E18" w:rsidRDefault="3467AA77" w:rsidP="76BEC0DD">
      <w:pPr>
        <w:rPr>
          <w:rFonts w:cs="Calibri"/>
          <w:noProof/>
          <w:sz w:val="22"/>
          <w:szCs w:val="22"/>
        </w:rPr>
      </w:pPr>
      <w:r w:rsidRPr="00417E18">
        <w:rPr>
          <w:rFonts w:cs="Calibri"/>
          <w:noProof/>
          <w:sz w:val="22"/>
          <w:szCs w:val="22"/>
        </w:rPr>
        <w:t xml:space="preserve">Investment needs should be organised across the full lifecycle of open software. This includes R&amp;I funding for strategic open technologies, but also dedicated </w:t>
      </w:r>
      <w:r w:rsidR="00330063">
        <w:rPr>
          <w:rFonts w:cs="Calibri"/>
          <w:noProof/>
          <w:sz w:val="22"/>
          <w:szCs w:val="22"/>
        </w:rPr>
        <w:t>uptake</w:t>
      </w:r>
      <w:r w:rsidR="00330063" w:rsidRPr="00417E18">
        <w:rPr>
          <w:rFonts w:cs="Calibri"/>
          <w:noProof/>
          <w:sz w:val="22"/>
          <w:szCs w:val="22"/>
        </w:rPr>
        <w:t xml:space="preserve"> </w:t>
      </w:r>
      <w:r w:rsidRPr="00417E18">
        <w:rPr>
          <w:rFonts w:cs="Calibri"/>
          <w:noProof/>
          <w:sz w:val="22"/>
          <w:szCs w:val="22"/>
        </w:rPr>
        <w:t>and support, multiannual maintenance funding for critical components, and financing for European stewardship structures. In this respect, the proposed European Competitiveness Fund is highly relevant. With a budget of EUR 234 billion overall and instruments designed to combine guarantees, financial instruments, blending, support to start-ups and scale-ups, and advisory services, it could help address the current gap between technical excellence and market deployment. For open software, priorities should include supporting deployment-ready sovereign solutions in strategic domains; de-risking adoption by public administrations and SMEs; financing maintenance and security of critical dependencies; and mobilising equity, quasi-equity, guarantees and advisory support for European open</w:t>
      </w:r>
      <w:r w:rsidR="00E93584">
        <w:rPr>
          <w:rFonts w:cs="Calibri"/>
          <w:noProof/>
          <w:sz w:val="22"/>
          <w:szCs w:val="22"/>
        </w:rPr>
        <w:t>-</w:t>
      </w:r>
      <w:r w:rsidRPr="00417E18">
        <w:rPr>
          <w:rFonts w:cs="Calibri"/>
          <w:noProof/>
          <w:sz w:val="22"/>
          <w:szCs w:val="22"/>
        </w:rPr>
        <w:t xml:space="preserve">source firms and integrators. This would make open software easier, safer and more attractive to deploy at scale across the Single Market. </w:t>
      </w:r>
    </w:p>
    <w:p w14:paraId="25910582" w14:textId="061882D7" w:rsidR="0014610E" w:rsidRPr="00417E18" w:rsidRDefault="15C04732" w:rsidP="76BEC0DD">
      <w:pPr>
        <w:rPr>
          <w:rFonts w:cs="Calibri"/>
          <w:noProof/>
          <w:sz w:val="22"/>
          <w:szCs w:val="22"/>
        </w:rPr>
      </w:pPr>
      <w:r w:rsidRPr="300A471E">
        <w:rPr>
          <w:rFonts w:cs="Calibri"/>
          <w:noProof/>
          <w:sz w:val="22"/>
          <w:szCs w:val="22"/>
        </w:rPr>
        <w:t xml:space="preserve">EU </w:t>
      </w:r>
      <w:r w:rsidR="00045ECF" w:rsidRPr="300A471E">
        <w:rPr>
          <w:rFonts w:cs="Calibri"/>
          <w:noProof/>
          <w:sz w:val="22"/>
          <w:szCs w:val="22"/>
        </w:rPr>
        <w:t>Open</w:t>
      </w:r>
      <w:r w:rsidR="006D69E9">
        <w:rPr>
          <w:rFonts w:cs="Calibri"/>
          <w:noProof/>
          <w:sz w:val="22"/>
          <w:szCs w:val="22"/>
        </w:rPr>
        <w:t>-</w:t>
      </w:r>
      <w:r w:rsidR="00045ECF" w:rsidRPr="300A471E">
        <w:rPr>
          <w:rFonts w:cs="Calibri"/>
          <w:noProof/>
          <w:sz w:val="22"/>
          <w:szCs w:val="22"/>
        </w:rPr>
        <w:t>Source</w:t>
      </w:r>
      <w:r w:rsidRPr="300A471E">
        <w:rPr>
          <w:rFonts w:cs="Calibri"/>
          <w:noProof/>
          <w:sz w:val="22"/>
          <w:szCs w:val="22"/>
        </w:rPr>
        <w:t xml:space="preserve"> Strategy</w:t>
      </w:r>
      <w:r w:rsidR="3467AA77" w:rsidRPr="00417E18">
        <w:rPr>
          <w:rFonts w:cs="Calibri"/>
          <w:noProof/>
          <w:sz w:val="22"/>
          <w:szCs w:val="22"/>
        </w:rPr>
        <w:t xml:space="preserve"> will review the current state of play and put forward a set of actions to be rolled out in the coming years by the public sector at European and Member </w:t>
      </w:r>
      <w:r w:rsidR="3467AA77" w:rsidRPr="07868930">
        <w:rPr>
          <w:rFonts w:cs="Calibri"/>
          <w:noProof/>
          <w:sz w:val="22"/>
          <w:szCs w:val="22"/>
        </w:rPr>
        <w:t>State</w:t>
      </w:r>
      <w:r w:rsidR="3467AA77" w:rsidRPr="00417E18">
        <w:rPr>
          <w:rFonts w:cs="Calibri"/>
          <w:noProof/>
          <w:sz w:val="22"/>
          <w:szCs w:val="22"/>
        </w:rPr>
        <w:t xml:space="preserve"> level, as well as the private sector and the open</w:t>
      </w:r>
      <w:r w:rsidR="00E93584" w:rsidRPr="00417E18">
        <w:rPr>
          <w:rFonts w:cs="Calibri"/>
          <w:noProof/>
          <w:sz w:val="22"/>
          <w:szCs w:val="22"/>
        </w:rPr>
        <w:t>-</w:t>
      </w:r>
      <w:r w:rsidR="3467AA77" w:rsidRPr="00417E18">
        <w:rPr>
          <w:rFonts w:cs="Calibri"/>
          <w:noProof/>
          <w:sz w:val="22"/>
          <w:szCs w:val="22"/>
        </w:rPr>
        <w:t xml:space="preserve">source communities themselves. </w:t>
      </w:r>
    </w:p>
    <w:p w14:paraId="62F368DF" w14:textId="77777777" w:rsidR="00461CD5" w:rsidRPr="00417E18" w:rsidRDefault="00461CD5" w:rsidP="00461CD5">
      <w:pPr>
        <w:spacing w:line="276" w:lineRule="auto"/>
        <w:rPr>
          <w:rFonts w:eastAsia="Calibri" w:cs="Calibri"/>
          <w:noProof/>
          <w:sz w:val="22"/>
          <w:szCs w:val="22"/>
        </w:rPr>
      </w:pPr>
    </w:p>
    <w:tbl>
      <w:tblPr>
        <w:tblStyle w:val="TableGrid"/>
        <w:tblW w:w="0" w:type="auto"/>
        <w:tblLook w:val="06A0" w:firstRow="1" w:lastRow="0" w:firstColumn="1" w:lastColumn="0" w:noHBand="1" w:noVBand="1"/>
      </w:tblPr>
      <w:tblGrid>
        <w:gridCol w:w="9350"/>
      </w:tblGrid>
      <w:tr w:rsidR="00461CD5" w:rsidRPr="00417E18" w14:paraId="77A638EA" w14:textId="77777777" w:rsidTr="0E1EC96E">
        <w:trPr>
          <w:trHeight w:val="300"/>
        </w:trPr>
        <w:tc>
          <w:tcPr>
            <w:tcW w:w="9360" w:type="dxa"/>
            <w:shd w:val="clear" w:color="auto" w:fill="D4F1EE"/>
          </w:tcPr>
          <w:p w14:paraId="2F0B15D8" w14:textId="3785C5E1" w:rsidR="00461CD5" w:rsidRPr="00417E18" w:rsidRDefault="08CF2BAE" w:rsidP="0E1EC96E">
            <w:pPr>
              <w:rPr>
                <w:b/>
                <w:bCs/>
                <w:noProof/>
              </w:rPr>
            </w:pPr>
            <w:r w:rsidRPr="0E1EC96E">
              <w:rPr>
                <w:b/>
                <w:bCs/>
                <w:noProof/>
              </w:rPr>
              <w:t xml:space="preserve">Recommendation: </w:t>
            </w:r>
          </w:p>
          <w:p w14:paraId="2C553F3C" w14:textId="47D44210" w:rsidR="1B43B2E1" w:rsidRPr="00417E18" w:rsidRDefault="7A936A19" w:rsidP="2728495C">
            <w:pPr>
              <w:spacing w:before="0" w:after="160" w:line="276" w:lineRule="auto"/>
              <w:rPr>
                <w:rFonts w:eastAsia="Calibri" w:cs="Calibri"/>
                <w:noProof/>
              </w:rPr>
            </w:pPr>
            <w:r w:rsidRPr="00417E18">
              <w:rPr>
                <w:rFonts w:eastAsia="Calibri" w:cs="Calibri"/>
                <w:noProof/>
              </w:rPr>
              <w:t>Member States should mainstream open source as a strategic sovereignty instrument, by:</w:t>
            </w:r>
          </w:p>
          <w:p w14:paraId="4029D5BE" w14:textId="7275CD28" w:rsidR="20ECA3BB" w:rsidRPr="006D69E9" w:rsidRDefault="382B093F" w:rsidP="3C7001FB">
            <w:pPr>
              <w:pStyle w:val="ListParagraph"/>
              <w:numPr>
                <w:ilvl w:val="0"/>
                <w:numId w:val="25"/>
              </w:numPr>
              <w:spacing w:before="60" w:after="120"/>
              <w:ind w:left="714" w:hanging="357"/>
              <w:contextualSpacing w:val="0"/>
              <w:rPr>
                <w:rFonts w:eastAsia="Calibri" w:cs="Calibri"/>
                <w:noProof/>
              </w:rPr>
            </w:pPr>
            <w:r w:rsidRPr="3C7001FB">
              <w:rPr>
                <w:rFonts w:eastAsia="Calibri" w:cs="Calibri"/>
                <w:noProof/>
              </w:rPr>
              <w:t>defining national open</w:t>
            </w:r>
            <w:r w:rsidR="006D69E9" w:rsidRPr="006D69E9">
              <w:rPr>
                <w:rFonts w:eastAsia="Calibri" w:cs="Calibri"/>
                <w:noProof/>
              </w:rPr>
              <w:t>-</w:t>
            </w:r>
            <w:r w:rsidRPr="3C7001FB">
              <w:rPr>
                <w:rFonts w:eastAsia="Calibri" w:cs="Calibri"/>
                <w:noProof/>
              </w:rPr>
              <w:t>source strategies and a monitoring mechanism to track implementation</w:t>
            </w:r>
            <w:r w:rsidR="3589A646" w:rsidRPr="3C7001FB">
              <w:rPr>
                <w:rFonts w:eastAsia="Calibri" w:cs="Calibri"/>
                <w:noProof/>
              </w:rPr>
              <w:t xml:space="preserve">, </w:t>
            </w:r>
            <w:r w:rsidR="3589A646" w:rsidRPr="006D69E9">
              <w:rPr>
                <w:rFonts w:eastAsia="Calibri" w:cs="Calibri"/>
                <w:noProof/>
              </w:rPr>
              <w:t xml:space="preserve">as an instrument for joint development of pre-competitive digital building blocks among European industrial actors; </w:t>
            </w:r>
          </w:p>
          <w:p w14:paraId="38E7A792" w14:textId="08FCA2B1" w:rsidR="20ECA3BB" w:rsidRPr="00417E18" w:rsidRDefault="20ECA3BB" w:rsidP="00F36E2D">
            <w:pPr>
              <w:pStyle w:val="ListParagraph"/>
              <w:numPr>
                <w:ilvl w:val="0"/>
                <w:numId w:val="25"/>
              </w:numPr>
              <w:spacing w:before="60" w:after="120"/>
              <w:ind w:left="714" w:hanging="357"/>
              <w:contextualSpacing w:val="0"/>
              <w:rPr>
                <w:rFonts w:eastAsia="Calibri" w:cs="Calibri"/>
                <w:noProof/>
              </w:rPr>
            </w:pPr>
            <w:r w:rsidRPr="00417E18">
              <w:rPr>
                <w:rFonts w:eastAsia="Calibri" w:cs="Calibri"/>
                <w:noProof/>
              </w:rPr>
              <w:t>engaging in cross-border collaboration through the Digital Commons EDIC (DC-EDIC), in particular by developing joint mechanisms to enhance the reusability, interoperability and cost-effectiveness of open</w:t>
            </w:r>
            <w:r w:rsidR="006D69E9">
              <w:rPr>
                <w:rFonts w:eastAsia="Calibri" w:cs="Calibri"/>
                <w:noProof/>
              </w:rPr>
              <w:t>-</w:t>
            </w:r>
            <w:r w:rsidRPr="00417E18">
              <w:rPr>
                <w:rFonts w:eastAsia="Calibri" w:cs="Calibri"/>
                <w:noProof/>
              </w:rPr>
              <w:t>source solutions;</w:t>
            </w:r>
          </w:p>
          <w:p w14:paraId="65997E43" w14:textId="43CBE55E" w:rsidR="00806664" w:rsidRPr="00806664" w:rsidRDefault="04C2CB4E" w:rsidP="00F36E2D">
            <w:pPr>
              <w:pStyle w:val="ListParagraph"/>
              <w:numPr>
                <w:ilvl w:val="0"/>
                <w:numId w:val="25"/>
              </w:numPr>
              <w:spacing w:before="60" w:after="120"/>
              <w:ind w:left="714" w:hanging="357"/>
              <w:contextualSpacing w:val="0"/>
              <w:rPr>
                <w:rFonts w:eastAsia="Calibri" w:cs="Calibri"/>
                <w:noProof/>
              </w:rPr>
            </w:pPr>
            <w:r w:rsidRPr="6E0CA051">
              <w:rPr>
                <w:rFonts w:eastAsia="Calibri" w:cs="Calibri"/>
                <w:noProof/>
              </w:rPr>
              <w:t xml:space="preserve">raising awareness across national and local public administrations and developing technical and operational skills, in particular through </w:t>
            </w:r>
            <w:r w:rsidR="0D2AF173" w:rsidRPr="6E0CA051">
              <w:rPr>
                <w:rFonts w:eastAsia="Calibri" w:cs="Calibri"/>
                <w:noProof/>
              </w:rPr>
              <w:t>Open</w:t>
            </w:r>
            <w:r w:rsidR="006D69E9">
              <w:rPr>
                <w:rFonts w:eastAsia="Calibri" w:cs="Calibri"/>
                <w:noProof/>
              </w:rPr>
              <w:t>-</w:t>
            </w:r>
            <w:r w:rsidR="0D2AF173" w:rsidRPr="6E0CA051">
              <w:rPr>
                <w:rFonts w:eastAsia="Calibri" w:cs="Calibri"/>
                <w:noProof/>
              </w:rPr>
              <w:t>Source</w:t>
            </w:r>
            <w:r w:rsidRPr="6E0CA051">
              <w:rPr>
                <w:rFonts w:eastAsia="Calibri" w:cs="Calibri"/>
                <w:noProof/>
              </w:rPr>
              <w:t xml:space="preserve"> Programme Officers (OSPOs);</w:t>
            </w:r>
          </w:p>
          <w:p w14:paraId="29F021B3" w14:textId="546C58BF" w:rsidR="20ECA3BB" w:rsidRPr="00417E18" w:rsidRDefault="724A1A3E" w:rsidP="00F36E2D">
            <w:pPr>
              <w:pStyle w:val="ListParagraph"/>
              <w:numPr>
                <w:ilvl w:val="0"/>
                <w:numId w:val="25"/>
              </w:numPr>
              <w:spacing w:before="60" w:after="120"/>
              <w:ind w:left="714" w:hanging="357"/>
              <w:contextualSpacing w:val="0"/>
              <w:rPr>
                <w:rFonts w:eastAsia="Calibri" w:cs="Calibri"/>
                <w:noProof/>
              </w:rPr>
            </w:pPr>
            <w:r w:rsidRPr="72667201">
              <w:rPr>
                <w:rFonts w:eastAsia="Calibri" w:cs="Calibri"/>
                <w:noProof/>
              </w:rPr>
              <w:t xml:space="preserve">Striving for </w:t>
            </w:r>
            <w:r w:rsidR="20ECA3BB" w:rsidRPr="00417E18">
              <w:rPr>
                <w:rFonts w:eastAsia="Calibri" w:cs="Calibri"/>
                <w:noProof/>
              </w:rPr>
              <w:t xml:space="preserve">an 'open source first' principle in public procurement, and </w:t>
            </w:r>
            <w:r w:rsidR="3D7380D9" w:rsidRPr="72667201">
              <w:rPr>
                <w:rFonts w:eastAsia="Calibri" w:cs="Calibri"/>
                <w:noProof/>
              </w:rPr>
              <w:t xml:space="preserve">where relevant </w:t>
            </w:r>
            <w:r w:rsidR="20ECA3BB" w:rsidRPr="00417E18">
              <w:rPr>
                <w:rFonts w:eastAsia="Calibri" w:cs="Calibri"/>
                <w:noProof/>
              </w:rPr>
              <w:t>making publicly funded software available for reuse;</w:t>
            </w:r>
          </w:p>
          <w:p w14:paraId="1E77AF79" w14:textId="0AB2DFD5" w:rsidR="20ECA3BB" w:rsidRPr="00417E18" w:rsidRDefault="20ECA3BB" w:rsidP="00F36E2D">
            <w:pPr>
              <w:pStyle w:val="ListParagraph"/>
              <w:numPr>
                <w:ilvl w:val="0"/>
                <w:numId w:val="25"/>
              </w:numPr>
              <w:spacing w:before="60" w:after="120"/>
              <w:ind w:left="714" w:hanging="357"/>
              <w:contextualSpacing w:val="0"/>
              <w:rPr>
                <w:rFonts w:eastAsia="Calibri" w:cs="Calibri"/>
                <w:noProof/>
              </w:rPr>
            </w:pPr>
            <w:r w:rsidRPr="00417E18">
              <w:rPr>
                <w:rFonts w:eastAsia="Calibri" w:cs="Calibri"/>
                <w:noProof/>
              </w:rPr>
              <w:t>mainstreaming open source in national R&amp;I programmes and in school and university curricula;</w:t>
            </w:r>
          </w:p>
          <w:p w14:paraId="7BB648A2" w14:textId="10304C02" w:rsidR="20ECA3BB" w:rsidRPr="00417E18" w:rsidRDefault="44CF3406" w:rsidP="00F36E2D">
            <w:pPr>
              <w:pStyle w:val="ListParagraph"/>
              <w:numPr>
                <w:ilvl w:val="0"/>
                <w:numId w:val="25"/>
              </w:numPr>
              <w:spacing w:before="60" w:after="120"/>
              <w:ind w:left="714" w:hanging="357"/>
              <w:contextualSpacing w:val="0"/>
              <w:rPr>
                <w:rFonts w:eastAsia="Calibri" w:cs="Calibri"/>
                <w:noProof/>
              </w:rPr>
            </w:pPr>
            <w:r w:rsidRPr="0E1EC96E">
              <w:rPr>
                <w:rFonts w:eastAsia="Calibri" w:cs="Calibri"/>
                <w:noProof/>
              </w:rPr>
              <w:t>assessing barriers to open</w:t>
            </w:r>
            <w:r w:rsidR="006D69E9" w:rsidRPr="0E1EC96E">
              <w:rPr>
                <w:rFonts w:eastAsia="Calibri" w:cs="Calibri"/>
                <w:noProof/>
              </w:rPr>
              <w:t>-</w:t>
            </w:r>
            <w:r w:rsidRPr="0E1EC96E">
              <w:rPr>
                <w:rFonts w:eastAsia="Calibri" w:cs="Calibri"/>
                <w:noProof/>
              </w:rPr>
              <w:t>source uptake, including cultural resistance, skills gaps and resource constraints, and putting in place targeted measures to address them.</w:t>
            </w:r>
          </w:p>
          <w:p w14:paraId="5751C959" w14:textId="7C886121" w:rsidR="00461CD5" w:rsidRPr="00417E18" w:rsidRDefault="00461CD5" w:rsidP="50A16846">
            <w:pPr>
              <w:spacing w:before="0" w:after="0" w:line="276" w:lineRule="auto"/>
              <w:rPr>
                <w:rFonts w:eastAsia="Calibri" w:cs="Calibri"/>
                <w:noProof/>
              </w:rPr>
            </w:pPr>
          </w:p>
        </w:tc>
      </w:tr>
    </w:tbl>
    <w:p w14:paraId="70158354" w14:textId="389D161D" w:rsidR="0014610E" w:rsidRPr="00417E18" w:rsidRDefault="0014610E" w:rsidP="003A53C2">
      <w:pPr>
        <w:rPr>
          <w:rFonts w:cs="Calibri"/>
          <w:noProof/>
          <w:sz w:val="22"/>
          <w:szCs w:val="22"/>
        </w:rPr>
      </w:pPr>
    </w:p>
    <w:p w14:paraId="28120ACD" w14:textId="518B68F2" w:rsidR="003A53C2" w:rsidRPr="00417E18" w:rsidRDefault="003A53C2" w:rsidP="00E11929">
      <w:pPr>
        <w:pStyle w:val="Heading3"/>
        <w:numPr>
          <w:ilvl w:val="2"/>
          <w:numId w:val="40"/>
        </w:numPr>
        <w:rPr>
          <w:noProof/>
        </w:rPr>
      </w:pPr>
      <w:r w:rsidRPr="6E0CA051">
        <w:rPr>
          <w:noProof/>
        </w:rPr>
        <w:br w:type="page"/>
      </w:r>
      <w:bookmarkStart w:id="65" w:name="_Toc226710905"/>
      <w:bookmarkStart w:id="66" w:name="_Toc428324072"/>
      <w:bookmarkStart w:id="67" w:name="_Toc626985676"/>
      <w:bookmarkStart w:id="68" w:name="_Toc231830060"/>
      <w:r w:rsidR="4DB62358" w:rsidRPr="00417E18">
        <w:rPr>
          <w:noProof/>
        </w:rPr>
        <w:t>Unicorns</w:t>
      </w:r>
      <w:bookmarkEnd w:id="65"/>
      <w:bookmarkEnd w:id="66"/>
      <w:bookmarkEnd w:id="67"/>
      <w:bookmarkEnd w:id="68"/>
    </w:p>
    <w:p w14:paraId="43EAC1C5" w14:textId="26FF2C56" w:rsidR="00AC3206" w:rsidRPr="00417E18" w:rsidRDefault="003A53C2" w:rsidP="07868930">
      <w:pPr>
        <w:spacing w:after="200" w:line="276" w:lineRule="auto"/>
        <w:rPr>
          <w:noProof/>
          <w:sz w:val="22"/>
          <w:szCs w:val="22"/>
        </w:rPr>
      </w:pPr>
      <w:r w:rsidRPr="00417E18">
        <w:rPr>
          <w:b/>
          <w:bCs/>
          <w:noProof/>
          <w:sz w:val="22"/>
          <w:szCs w:val="22"/>
        </w:rPr>
        <w:t>The number of unicorns rose by 30 units (net increase),</w:t>
      </w:r>
      <w:r w:rsidRPr="00417E18">
        <w:rPr>
          <w:noProof/>
          <w:sz w:val="22"/>
          <w:szCs w:val="22"/>
        </w:rPr>
        <w:t xml:space="preserve"> from 294 in 2024 to 324 in 2025, corresponding to 64.8% of the EU target. This represents a significant year-on-year increase of 10.2%. According to the forecast along the revised linear baseline trajectory, 88.0% of the target is expected to be achieved by 2030, with 440 unicorns expected to be active in the EU by then </w:t>
      </w:r>
      <w:r w:rsidRPr="009836AD">
        <w:rPr>
          <w:noProof/>
          <w:sz w:val="22"/>
          <w:szCs w:val="22"/>
        </w:rPr>
        <w:t>(</w:t>
      </w:r>
      <w:r w:rsidR="00280240" w:rsidRPr="00280240">
        <w:rPr>
          <w:noProof/>
          <w:sz w:val="22"/>
          <w:szCs w:val="22"/>
        </w:rPr>
        <w:fldChar w:fldCharType="begin"/>
      </w:r>
      <w:r w:rsidR="00280240" w:rsidRPr="00280240">
        <w:rPr>
          <w:noProof/>
          <w:sz w:val="22"/>
          <w:szCs w:val="22"/>
        </w:rPr>
        <w:instrText xml:space="preserve"> REF _Ref229040055 \h </w:instrText>
      </w:r>
      <w:r w:rsidR="00280240">
        <w:rPr>
          <w:noProof/>
          <w:sz w:val="22"/>
          <w:szCs w:val="22"/>
        </w:rPr>
        <w:instrText xml:space="preserve"> \* MERGEFORMAT </w:instrText>
      </w:r>
      <w:r w:rsidR="00280240" w:rsidRPr="00280240">
        <w:rPr>
          <w:noProof/>
          <w:sz w:val="22"/>
          <w:szCs w:val="22"/>
        </w:rPr>
      </w:r>
      <w:r w:rsidR="00280240" w:rsidRPr="00280240">
        <w:rPr>
          <w:noProof/>
          <w:sz w:val="22"/>
          <w:szCs w:val="22"/>
        </w:rPr>
        <w:fldChar w:fldCharType="separate"/>
      </w:r>
      <w:r w:rsidR="00280240" w:rsidRPr="00280240">
        <w:rPr>
          <w:noProof/>
          <w:sz w:val="22"/>
          <w:szCs w:val="22"/>
          <w:u w:val="single"/>
        </w:rPr>
        <w:t>Figure 10</w:t>
      </w:r>
      <w:r w:rsidR="00280240" w:rsidRPr="00280240">
        <w:rPr>
          <w:noProof/>
          <w:sz w:val="22"/>
          <w:szCs w:val="22"/>
        </w:rPr>
        <w:fldChar w:fldCharType="end"/>
      </w:r>
      <w:r w:rsidRPr="00417E18">
        <w:rPr>
          <w:noProof/>
          <w:sz w:val="22"/>
          <w:szCs w:val="22"/>
        </w:rPr>
        <w:t>). The target of 500 unicorns, set in the 2023 Communication on EU-level trajectories, is expected to be reached in 2033 if no further actions are taken.</w:t>
      </w:r>
    </w:p>
    <w:p w14:paraId="2F9B3C04" w14:textId="77777777" w:rsidR="00C03894" w:rsidRDefault="003A53C2" w:rsidP="00C03894">
      <w:pPr>
        <w:keepNext/>
        <w:rPr>
          <w:noProof/>
        </w:rPr>
      </w:pPr>
      <w:r w:rsidRPr="00417E18">
        <w:rPr>
          <w:noProof/>
          <w:lang w:eastAsia="en-GB"/>
        </w:rPr>
        <w:drawing>
          <wp:inline distT="0" distB="0" distL="0" distR="0" wp14:anchorId="1B1D17F2" wp14:editId="7CAC6860">
            <wp:extent cx="5901305" cy="2129337"/>
            <wp:effectExtent l="0" t="0" r="4445" b="4445"/>
            <wp:docPr id="2072433109" name="Picture 22" descr="A graph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graph on a white backgroun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14809" cy="2134209"/>
                    </a:xfrm>
                    <a:prstGeom prst="rect">
                      <a:avLst/>
                    </a:prstGeom>
                    <a:noFill/>
                    <a:ln>
                      <a:noFill/>
                    </a:ln>
                  </pic:spPr>
                </pic:pic>
              </a:graphicData>
            </a:graphic>
          </wp:inline>
        </w:drawing>
      </w:r>
    </w:p>
    <w:p w14:paraId="7EB6889E" w14:textId="52AF7FB5" w:rsidR="00AC3206" w:rsidRPr="00417E18" w:rsidRDefault="00C03894" w:rsidP="00C03894">
      <w:pPr>
        <w:pStyle w:val="Caption"/>
        <w:rPr>
          <w:noProof/>
        </w:rPr>
      </w:pPr>
      <w:bookmarkStart w:id="69" w:name="_Ref229040055"/>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10</w:t>
      </w:r>
      <w:r w:rsidRPr="00C03894">
        <w:rPr>
          <w:noProof/>
          <w:u w:val="single"/>
        </w:rPr>
        <w:fldChar w:fldCharType="end"/>
      </w:r>
      <w:bookmarkEnd w:id="69"/>
      <w:r>
        <w:rPr>
          <w:noProof/>
        </w:rPr>
        <w:t xml:space="preserve">: </w:t>
      </w:r>
      <w:r w:rsidRPr="00317D0A">
        <w:rPr>
          <w:noProof/>
        </w:rPr>
        <w:t>Number of unicorns in the EU. Historical data and revised baseline trajectory</w:t>
      </w:r>
      <w:r w:rsidR="005B1E39">
        <w:rPr>
          <w:noProof/>
        </w:rPr>
        <w:t>.</w:t>
      </w:r>
    </w:p>
    <w:p w14:paraId="18E93C01" w14:textId="6EDC10AA" w:rsidR="002358A6" w:rsidRPr="00417E18" w:rsidRDefault="002358A6" w:rsidP="002358A6">
      <w:pPr>
        <w:rPr>
          <w:noProof/>
          <w:sz w:val="22"/>
          <w:szCs w:val="22"/>
        </w:rPr>
      </w:pPr>
      <w:r w:rsidRPr="00417E18">
        <w:rPr>
          <w:noProof/>
          <w:sz w:val="22"/>
          <w:szCs w:val="22"/>
        </w:rPr>
        <w:t xml:space="preserve">Newly released data confirms the post-2020 linear trend but </w:t>
      </w:r>
      <w:r w:rsidR="005237F5" w:rsidRPr="0C856F1D">
        <w:rPr>
          <w:noProof/>
          <w:sz w:val="22"/>
          <w:szCs w:val="22"/>
        </w:rPr>
        <w:t xml:space="preserve">also point to </w:t>
      </w:r>
      <w:r w:rsidRPr="00417E18">
        <w:rPr>
          <w:noProof/>
          <w:sz w:val="22"/>
          <w:szCs w:val="22"/>
        </w:rPr>
        <w:t>an acceleration </w:t>
      </w:r>
      <w:r w:rsidR="005237F5" w:rsidRPr="07868930">
        <w:rPr>
          <w:noProof/>
          <w:sz w:val="22"/>
          <w:szCs w:val="22"/>
        </w:rPr>
        <w:t>i</w:t>
      </w:r>
      <w:r w:rsidRPr="07868930">
        <w:rPr>
          <w:noProof/>
          <w:sz w:val="22"/>
          <w:szCs w:val="22"/>
        </w:rPr>
        <w:t>n</w:t>
      </w:r>
      <w:r w:rsidRPr="00417E18">
        <w:rPr>
          <w:noProof/>
          <w:sz w:val="22"/>
          <w:szCs w:val="22"/>
        </w:rPr>
        <w:t xml:space="preserve"> the creation of new unicorns</w:t>
      </w:r>
      <w:r w:rsidR="00A26871" w:rsidRPr="0C856F1D">
        <w:rPr>
          <w:noProof/>
          <w:sz w:val="22"/>
          <w:szCs w:val="22"/>
        </w:rPr>
        <w:t xml:space="preserve">. </w:t>
      </w:r>
      <w:r w:rsidR="00A26871" w:rsidRPr="07868930">
        <w:rPr>
          <w:noProof/>
          <w:sz w:val="22"/>
          <w:szCs w:val="22"/>
        </w:rPr>
        <w:t>I</w:t>
      </w:r>
      <w:r w:rsidRPr="07868930">
        <w:rPr>
          <w:noProof/>
          <w:sz w:val="22"/>
          <w:szCs w:val="22"/>
        </w:rPr>
        <w:t>n</w:t>
      </w:r>
      <w:r w:rsidRPr="00417E18">
        <w:rPr>
          <w:noProof/>
          <w:sz w:val="22"/>
          <w:szCs w:val="22"/>
        </w:rPr>
        <w:t xml:space="preserve"> 2025 was almost twice as much than those created in 2024,</w:t>
      </w:r>
      <w:r w:rsidR="008B1107" w:rsidRPr="0C856F1D">
        <w:rPr>
          <w:noProof/>
          <w:sz w:val="22"/>
          <w:szCs w:val="22"/>
        </w:rPr>
        <w:t xml:space="preserve"> the EU recorded</w:t>
      </w:r>
      <w:r w:rsidRPr="00417E18">
        <w:rPr>
          <w:noProof/>
          <w:sz w:val="22"/>
          <w:szCs w:val="22"/>
        </w:rPr>
        <w:t> 30 new net unicorns in 2025 compared to 16 the previous year. The yearly rate of progression has increased from 5.8% in 2024 to 10.2% in 2025 (</w:t>
      </w:r>
      <w:r w:rsidR="00412737" w:rsidRPr="00412737">
        <w:rPr>
          <w:noProof/>
          <w:sz w:val="22"/>
          <w:szCs w:val="22"/>
        </w:rPr>
        <w:fldChar w:fldCharType="begin"/>
      </w:r>
      <w:r w:rsidR="00412737" w:rsidRPr="00412737">
        <w:rPr>
          <w:noProof/>
          <w:sz w:val="22"/>
          <w:szCs w:val="22"/>
        </w:rPr>
        <w:instrText xml:space="preserve"> REF _Ref229040028 \h </w:instrText>
      </w:r>
      <w:r w:rsidR="00412737">
        <w:rPr>
          <w:noProof/>
          <w:sz w:val="22"/>
          <w:szCs w:val="22"/>
        </w:rPr>
        <w:instrText xml:space="preserve"> \* MERGEFORMAT </w:instrText>
      </w:r>
      <w:r w:rsidR="00412737" w:rsidRPr="00412737">
        <w:rPr>
          <w:noProof/>
          <w:sz w:val="22"/>
          <w:szCs w:val="22"/>
        </w:rPr>
      </w:r>
      <w:r w:rsidR="00412737" w:rsidRPr="00412737">
        <w:rPr>
          <w:noProof/>
          <w:sz w:val="22"/>
          <w:szCs w:val="22"/>
        </w:rPr>
        <w:fldChar w:fldCharType="separate"/>
      </w:r>
      <w:r w:rsidR="00412737" w:rsidRPr="00412737">
        <w:rPr>
          <w:noProof/>
          <w:sz w:val="22"/>
          <w:szCs w:val="22"/>
          <w:u w:val="single"/>
        </w:rPr>
        <w:t>Figure 11</w:t>
      </w:r>
      <w:r w:rsidR="00412737" w:rsidRPr="00412737">
        <w:rPr>
          <w:noProof/>
          <w:sz w:val="22"/>
          <w:szCs w:val="22"/>
        </w:rPr>
        <w:fldChar w:fldCharType="end"/>
      </w:r>
      <w:r w:rsidRPr="00417E18">
        <w:rPr>
          <w:noProof/>
          <w:sz w:val="22"/>
          <w:szCs w:val="22"/>
        </w:rPr>
        <w:t>).</w:t>
      </w:r>
    </w:p>
    <w:p w14:paraId="7CD39EB3" w14:textId="77777777" w:rsidR="00C03894" w:rsidRDefault="0042600A" w:rsidP="00C03894">
      <w:pPr>
        <w:keepNext/>
        <w:rPr>
          <w:noProof/>
        </w:rPr>
      </w:pPr>
      <w:r>
        <w:rPr>
          <w:noProof/>
          <w:lang w:eastAsia="en-GB"/>
        </w:rPr>
        <w:drawing>
          <wp:inline distT="0" distB="0" distL="0" distR="0" wp14:anchorId="76F8F3FB" wp14:editId="224B55B4">
            <wp:extent cx="5978525" cy="2695831"/>
            <wp:effectExtent l="0" t="0" r="3175" b="9525"/>
            <wp:docPr id="175545693" name="Picture 23" descr="A graph with numbers and a number of unico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42154" name="Picture 23" descr="A graph with numbers and a number of unicorn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90037" cy="2746114"/>
                    </a:xfrm>
                    <a:prstGeom prst="rect">
                      <a:avLst/>
                    </a:prstGeom>
                    <a:noFill/>
                    <a:ln>
                      <a:noFill/>
                    </a:ln>
                  </pic:spPr>
                </pic:pic>
              </a:graphicData>
            </a:graphic>
          </wp:inline>
        </w:drawing>
      </w:r>
    </w:p>
    <w:p w14:paraId="46AFAFA8" w14:textId="31C31A6C" w:rsidR="002358A6" w:rsidRPr="00417E18" w:rsidRDefault="00C03894" w:rsidP="00C03894">
      <w:pPr>
        <w:pStyle w:val="Caption"/>
        <w:rPr>
          <w:noProof/>
        </w:rPr>
      </w:pPr>
      <w:bookmarkStart w:id="70" w:name="_Ref229040028"/>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11</w:t>
      </w:r>
      <w:r w:rsidRPr="00C03894">
        <w:rPr>
          <w:noProof/>
          <w:u w:val="single"/>
        </w:rPr>
        <w:fldChar w:fldCharType="end"/>
      </w:r>
      <w:bookmarkEnd w:id="70"/>
      <w:r>
        <w:rPr>
          <w:noProof/>
        </w:rPr>
        <w:t xml:space="preserve">: </w:t>
      </w:r>
      <w:r w:rsidRPr="00A638DB">
        <w:rPr>
          <w:noProof/>
        </w:rPr>
        <w:t>Number of unicorns in the EU by year: annual net increase (births-deaths) and relative annual progress since 2009</w:t>
      </w:r>
      <w:r w:rsidR="005B1E39">
        <w:rPr>
          <w:noProof/>
        </w:rPr>
        <w:t>.</w:t>
      </w:r>
    </w:p>
    <w:p w14:paraId="16C9EB4F" w14:textId="1F65F39D" w:rsidR="003A53C2" w:rsidRPr="00417E18" w:rsidRDefault="003A53C2" w:rsidP="003A53C2">
      <w:pPr>
        <w:rPr>
          <w:noProof/>
          <w:sz w:val="22"/>
          <w:szCs w:val="22"/>
        </w:rPr>
      </w:pPr>
      <w:r w:rsidRPr="00417E18">
        <w:rPr>
          <w:noProof/>
          <w:sz w:val="22"/>
          <w:szCs w:val="22"/>
        </w:rPr>
        <w:t>Comparing the performance of the EU’s startup ecosystem with that of its main global peers provides useful context for assessing its relative strengths and areas where further progress may be possible. Analysing the time series of unicorn creation since 2008 helps to place recent performance in a longer-term perspective and to compare the evolution of the EU’s startup ecosystem with that of its main competitors - Canada, China, Israel, Japan, South Korea, United Kingdom and United States (</w:t>
      </w:r>
      <w:r w:rsidR="007B6296" w:rsidRPr="007B6296">
        <w:rPr>
          <w:noProof/>
          <w:sz w:val="22"/>
          <w:szCs w:val="22"/>
        </w:rPr>
        <w:fldChar w:fldCharType="begin"/>
      </w:r>
      <w:r w:rsidR="007B6296" w:rsidRPr="007B6296">
        <w:rPr>
          <w:noProof/>
          <w:sz w:val="22"/>
          <w:szCs w:val="22"/>
        </w:rPr>
        <w:instrText xml:space="preserve"> REF _Ref229040103 \h </w:instrText>
      </w:r>
      <w:r w:rsidR="007B6296">
        <w:rPr>
          <w:noProof/>
          <w:sz w:val="22"/>
          <w:szCs w:val="22"/>
        </w:rPr>
        <w:instrText xml:space="preserve"> \* MERGEFORMAT </w:instrText>
      </w:r>
      <w:r w:rsidR="007B6296" w:rsidRPr="007B6296">
        <w:rPr>
          <w:noProof/>
          <w:sz w:val="22"/>
          <w:szCs w:val="22"/>
        </w:rPr>
      </w:r>
      <w:r w:rsidR="007B6296" w:rsidRPr="007B6296">
        <w:rPr>
          <w:noProof/>
          <w:sz w:val="22"/>
          <w:szCs w:val="22"/>
        </w:rPr>
        <w:fldChar w:fldCharType="separate"/>
      </w:r>
      <w:r w:rsidR="007B6296" w:rsidRPr="007B6296">
        <w:rPr>
          <w:noProof/>
          <w:sz w:val="22"/>
          <w:szCs w:val="22"/>
        </w:rPr>
        <w:t>Figure 12</w:t>
      </w:r>
      <w:r w:rsidR="007B6296" w:rsidRPr="007B6296">
        <w:rPr>
          <w:noProof/>
          <w:sz w:val="22"/>
          <w:szCs w:val="22"/>
        </w:rPr>
        <w:fldChar w:fldCharType="end"/>
      </w:r>
      <w:r w:rsidRPr="00417E18">
        <w:rPr>
          <w:noProof/>
          <w:sz w:val="22"/>
          <w:szCs w:val="22"/>
        </w:rPr>
        <w:t>). </w:t>
      </w:r>
    </w:p>
    <w:p w14:paraId="5B54EF78" w14:textId="01A47DDC" w:rsidR="003A53C2" w:rsidRPr="00417E18" w:rsidRDefault="003A53C2" w:rsidP="003A53C2">
      <w:pPr>
        <w:rPr>
          <w:i/>
          <w:noProof/>
          <w:sz w:val="22"/>
          <w:szCs w:val="22"/>
        </w:rPr>
      </w:pPr>
    </w:p>
    <w:p w14:paraId="6B024194" w14:textId="77777777" w:rsidR="00C03894" w:rsidRDefault="003A53C2" w:rsidP="00C03894">
      <w:pPr>
        <w:keepNext/>
        <w:rPr>
          <w:noProof/>
        </w:rPr>
      </w:pPr>
      <w:r w:rsidRPr="00417E18">
        <w:rPr>
          <w:noProof/>
          <w:lang w:eastAsia="en-GB"/>
        </w:rPr>
        <w:drawing>
          <wp:inline distT="0" distB="0" distL="0" distR="0" wp14:anchorId="317DA8AB" wp14:editId="24AB102C">
            <wp:extent cx="5192257" cy="2998346"/>
            <wp:effectExtent l="19050" t="19050" r="27940" b="12065"/>
            <wp:docPr id="1590622016" name="Picture 21" descr="A graph showing the number of unico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22016" name="Picture 21" descr="A graph showing the number of unicorn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99034" cy="3002260"/>
                    </a:xfrm>
                    <a:prstGeom prst="rect">
                      <a:avLst/>
                    </a:prstGeom>
                    <a:noFill/>
                    <a:ln>
                      <a:solidFill>
                        <a:schemeClr val="accent1"/>
                      </a:solidFill>
                    </a:ln>
                  </pic:spPr>
                </pic:pic>
              </a:graphicData>
            </a:graphic>
          </wp:inline>
        </w:drawing>
      </w:r>
    </w:p>
    <w:p w14:paraId="29B4A7E2" w14:textId="24D968A5" w:rsidR="00AC3206" w:rsidRPr="00417E18" w:rsidRDefault="00C03894" w:rsidP="00C03894">
      <w:pPr>
        <w:pStyle w:val="Caption"/>
        <w:rPr>
          <w:noProof/>
        </w:rPr>
      </w:pPr>
      <w:bookmarkStart w:id="71" w:name="_Ref229040103"/>
      <w:r>
        <w:rPr>
          <w:noProof/>
        </w:rPr>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71"/>
      <w:r>
        <w:rPr>
          <w:noProof/>
        </w:rPr>
        <w:t xml:space="preserve">: </w:t>
      </w:r>
      <w:r w:rsidRPr="00D3405B">
        <w:rPr>
          <w:noProof/>
        </w:rPr>
        <w:t>Number of Unicorns in the EU and its main competitors from 2008 to 2025</w:t>
      </w:r>
      <w:r w:rsidR="005B1E39">
        <w:rPr>
          <w:noProof/>
        </w:rPr>
        <w:t>.</w:t>
      </w:r>
    </w:p>
    <w:p w14:paraId="44539906" w14:textId="55CEC727" w:rsidR="003A53C2" w:rsidRPr="00417E18" w:rsidRDefault="003A53C2" w:rsidP="003A53C2">
      <w:pPr>
        <w:rPr>
          <w:noProof/>
          <w:sz w:val="22"/>
          <w:szCs w:val="22"/>
        </w:rPr>
      </w:pPr>
      <w:r w:rsidRPr="00417E18">
        <w:rPr>
          <w:noProof/>
          <w:sz w:val="22"/>
          <w:szCs w:val="22"/>
        </w:rPr>
        <w:t>The European Union expanded its unicorn base from 3 in 2008 to 324 in 2025, with growth accelerating after 2015 and again after 2020. Despite this progress, the EU continues to lag well behind the United States, which reached 1</w:t>
      </w:r>
      <w:r w:rsidR="00245A01">
        <w:rPr>
          <w:noProof/>
          <w:sz w:val="22"/>
          <w:szCs w:val="22"/>
        </w:rPr>
        <w:t xml:space="preserve"> </w:t>
      </w:r>
      <w:r w:rsidRPr="00417E18">
        <w:rPr>
          <w:noProof/>
          <w:sz w:val="22"/>
          <w:szCs w:val="22"/>
        </w:rPr>
        <w:t>886 unicorns by 2025</w:t>
      </w:r>
      <w:r w:rsidR="00245A01">
        <w:rPr>
          <w:noProof/>
          <w:sz w:val="22"/>
          <w:szCs w:val="22"/>
        </w:rPr>
        <w:t xml:space="preserve"> </w:t>
      </w:r>
      <w:r w:rsidR="4EBA4EC2" w:rsidRPr="6E0CA051">
        <w:rPr>
          <w:noProof/>
          <w:sz w:val="22"/>
          <w:szCs w:val="22"/>
        </w:rPr>
        <w:t>-</w:t>
      </w:r>
      <w:r w:rsidR="00245A01">
        <w:rPr>
          <w:noProof/>
          <w:sz w:val="22"/>
          <w:szCs w:val="22"/>
        </w:rPr>
        <w:t xml:space="preserve"> </w:t>
      </w:r>
      <w:r w:rsidRPr="00417E18">
        <w:rPr>
          <w:noProof/>
          <w:sz w:val="22"/>
          <w:szCs w:val="22"/>
        </w:rPr>
        <w:t>almost six times the EU total</w:t>
      </w:r>
      <w:r w:rsidR="00245A01">
        <w:rPr>
          <w:noProof/>
          <w:sz w:val="22"/>
          <w:szCs w:val="22"/>
        </w:rPr>
        <w:t xml:space="preserve"> </w:t>
      </w:r>
      <w:r w:rsidR="4EBA4EC2" w:rsidRPr="6E0CA051">
        <w:rPr>
          <w:noProof/>
          <w:sz w:val="22"/>
          <w:szCs w:val="22"/>
        </w:rPr>
        <w:t>-</w:t>
      </w:r>
      <w:r w:rsidR="00245A01">
        <w:rPr>
          <w:noProof/>
          <w:sz w:val="22"/>
          <w:szCs w:val="22"/>
        </w:rPr>
        <w:t xml:space="preserve"> </w:t>
      </w:r>
      <w:r w:rsidRPr="00417E18">
        <w:rPr>
          <w:noProof/>
          <w:sz w:val="22"/>
          <w:szCs w:val="22"/>
        </w:rPr>
        <w:t>highlighting persistent gaps in market scale and late-stage financing. China number of unicorns was 40% higher than that of the EU in 2025 (452), while the United Kingdom alone accounts for more than half of the EU’s unicorn total. Meanwhile, competitors such as Israel and Canada have scaled rapidly within large or well-integrated domestic markets.</w:t>
      </w:r>
    </w:p>
    <w:p w14:paraId="7B5E726E" w14:textId="724E9481" w:rsidR="003A53C2" w:rsidRPr="00417E18" w:rsidRDefault="003A53C2" w:rsidP="003A53C2">
      <w:pPr>
        <w:rPr>
          <w:noProof/>
          <w:sz w:val="22"/>
          <w:szCs w:val="22"/>
        </w:rPr>
      </w:pPr>
      <w:r w:rsidRPr="00417E18">
        <w:rPr>
          <w:noProof/>
          <w:sz w:val="22"/>
          <w:szCs w:val="22"/>
        </w:rPr>
        <w:t>Normalising the unicorn ecosystem by economic size confirms the EU’s underperformance (</w:t>
      </w:r>
      <w:r w:rsidR="007B6296" w:rsidRPr="007B6296">
        <w:rPr>
          <w:noProof/>
          <w:sz w:val="22"/>
          <w:szCs w:val="22"/>
        </w:rPr>
        <w:fldChar w:fldCharType="begin"/>
      </w:r>
      <w:r w:rsidR="007B6296" w:rsidRPr="007B6296">
        <w:rPr>
          <w:noProof/>
          <w:sz w:val="22"/>
          <w:szCs w:val="22"/>
        </w:rPr>
        <w:instrText xml:space="preserve"> REF _Ref229040127 \h </w:instrText>
      </w:r>
      <w:r w:rsidR="007B6296">
        <w:rPr>
          <w:noProof/>
          <w:sz w:val="22"/>
          <w:szCs w:val="22"/>
        </w:rPr>
        <w:instrText xml:space="preserve"> \* MERGEFORMAT </w:instrText>
      </w:r>
      <w:r w:rsidR="007B6296" w:rsidRPr="007B6296">
        <w:rPr>
          <w:noProof/>
          <w:sz w:val="22"/>
          <w:szCs w:val="22"/>
        </w:rPr>
      </w:r>
      <w:r w:rsidR="007B6296" w:rsidRPr="007B6296">
        <w:rPr>
          <w:noProof/>
          <w:sz w:val="22"/>
          <w:szCs w:val="22"/>
        </w:rPr>
        <w:fldChar w:fldCharType="separate"/>
      </w:r>
      <w:r w:rsidR="007B6296" w:rsidRPr="007B6296">
        <w:rPr>
          <w:noProof/>
          <w:sz w:val="22"/>
          <w:szCs w:val="22"/>
          <w:u w:val="single"/>
        </w:rPr>
        <w:t>Figure 13</w:t>
      </w:r>
      <w:r w:rsidR="007B6296" w:rsidRPr="007B6296">
        <w:rPr>
          <w:noProof/>
          <w:sz w:val="22"/>
          <w:szCs w:val="22"/>
        </w:rPr>
        <w:fldChar w:fldCharType="end"/>
      </w:r>
      <w:r w:rsidRPr="00417E18">
        <w:rPr>
          <w:noProof/>
          <w:sz w:val="22"/>
          <w:szCs w:val="22"/>
        </w:rPr>
        <w:t>). Measured as the number of unicorns per USD 100 billion of GDP (2025 values)</w:t>
      </w:r>
      <w:r w:rsidRPr="00417E18">
        <w:rPr>
          <w:noProof/>
          <w:sz w:val="22"/>
          <w:szCs w:val="22"/>
          <w:vertAlign w:val="superscript"/>
        </w:rPr>
        <w:t>21</w:t>
      </w:r>
      <w:r w:rsidRPr="00417E18">
        <w:rPr>
          <w:noProof/>
          <w:sz w:val="22"/>
          <w:szCs w:val="22"/>
        </w:rPr>
        <w:t xml:space="preserve">, the European Union records 1.54, well below Israel the top </w:t>
      </w:r>
      <w:r w:rsidR="00FE4003" w:rsidRPr="00417E18">
        <w:rPr>
          <w:noProof/>
          <w:sz w:val="22"/>
          <w:szCs w:val="22"/>
        </w:rPr>
        <w:t>performer</w:t>
      </w:r>
      <w:r w:rsidRPr="00417E18">
        <w:rPr>
          <w:noProof/>
          <w:sz w:val="22"/>
          <w:szCs w:val="22"/>
        </w:rPr>
        <w:t xml:space="preserve"> (7.04), the United States (6.16), the United Kingdom (4.45), Canada (3.24), China (2.33), and South Korea (1.99), while remaining above Japan (0.37). The </w:t>
      </w:r>
      <w:r w:rsidR="002474EB" w:rsidRPr="0C856F1D">
        <w:rPr>
          <w:noProof/>
          <w:sz w:val="22"/>
          <w:szCs w:val="22"/>
        </w:rPr>
        <w:t>gap</w:t>
      </w:r>
      <w:r w:rsidRPr="00417E18">
        <w:rPr>
          <w:noProof/>
          <w:sz w:val="22"/>
          <w:szCs w:val="22"/>
        </w:rPr>
        <w:t xml:space="preserve"> with leading ecosystems such as the U.S. and Israel is sizeable, while the </w:t>
      </w:r>
      <w:r w:rsidR="00263F17" w:rsidRPr="0C856F1D">
        <w:rPr>
          <w:noProof/>
          <w:sz w:val="22"/>
          <w:szCs w:val="22"/>
        </w:rPr>
        <w:t xml:space="preserve">distance to </w:t>
      </w:r>
      <w:r w:rsidRPr="00417E18">
        <w:rPr>
          <w:noProof/>
          <w:sz w:val="22"/>
          <w:szCs w:val="22"/>
        </w:rPr>
        <w:t xml:space="preserve">countries </w:t>
      </w:r>
      <w:r w:rsidR="007D373F" w:rsidRPr="0C856F1D">
        <w:rPr>
          <w:noProof/>
          <w:sz w:val="22"/>
          <w:szCs w:val="22"/>
        </w:rPr>
        <w:t>such as</w:t>
      </w:r>
      <w:r w:rsidRPr="00417E18">
        <w:rPr>
          <w:noProof/>
          <w:sz w:val="22"/>
          <w:szCs w:val="22"/>
        </w:rPr>
        <w:t xml:space="preserve"> the UK and Canada, though smaller, </w:t>
      </w:r>
      <w:r w:rsidR="00A14FFD" w:rsidRPr="0C856F1D">
        <w:rPr>
          <w:noProof/>
          <w:sz w:val="22"/>
          <w:szCs w:val="22"/>
        </w:rPr>
        <w:t xml:space="preserve">also </w:t>
      </w:r>
      <w:r w:rsidRPr="00417E18">
        <w:rPr>
          <w:noProof/>
          <w:sz w:val="22"/>
          <w:szCs w:val="22"/>
        </w:rPr>
        <w:t>remains noticeable. With an economy of around two-thirds the size of the U.S., the EU generates fewer than one-fourth as many unicorns per unit of GDP. </w:t>
      </w:r>
      <w:r w:rsidRPr="07868930">
        <w:rPr>
          <w:noProof/>
          <w:sz w:val="22"/>
          <w:szCs w:val="22"/>
        </w:rPr>
        <w:t xml:space="preserve">It is </w:t>
      </w:r>
      <w:r w:rsidR="00A14FFD" w:rsidRPr="07868930">
        <w:rPr>
          <w:noProof/>
          <w:sz w:val="22"/>
          <w:szCs w:val="22"/>
        </w:rPr>
        <w:t>also</w:t>
      </w:r>
      <w:r w:rsidRPr="0C856F1D" w:rsidDel="003A53C2">
        <w:rPr>
          <w:noProof/>
          <w:sz w:val="22"/>
          <w:szCs w:val="22"/>
        </w:rPr>
        <w:t xml:space="preserve"> </w:t>
      </w:r>
      <w:r w:rsidR="00EB7D64" w:rsidRPr="0C856F1D">
        <w:rPr>
          <w:noProof/>
          <w:sz w:val="22"/>
          <w:szCs w:val="22"/>
        </w:rPr>
        <w:t>worth noting</w:t>
      </w:r>
      <w:r w:rsidRPr="00417E18">
        <w:rPr>
          <w:noProof/>
          <w:sz w:val="22"/>
          <w:szCs w:val="22"/>
        </w:rPr>
        <w:t xml:space="preserve"> that the strong performance of the U.S. is highly concentrated geographically. California plays a disproportionate role in driving the U.S. unicorn ecosystem. Despite accounting for around 13% of U.S. GDP (40.</w:t>
      </w:r>
      <w:r w:rsidR="0F63ABCB" w:rsidRPr="617E07F7">
        <w:rPr>
          <w:noProof/>
          <w:sz w:val="22"/>
          <w:szCs w:val="22"/>
        </w:rPr>
        <w:t>5k</w:t>
      </w:r>
      <w:r w:rsidRPr="00417E18">
        <w:rPr>
          <w:noProof/>
          <w:sz w:val="22"/>
          <w:szCs w:val="22"/>
        </w:rPr>
        <w:t xml:space="preserve"> billion in 2024, most recent available year</w:t>
      </w:r>
      <w:r w:rsidRPr="00417E18">
        <w:rPr>
          <w:noProof/>
          <w:sz w:val="22"/>
          <w:szCs w:val="22"/>
          <w:vertAlign w:val="superscript"/>
        </w:rPr>
        <w:t>22</w:t>
      </w:r>
      <w:r w:rsidRPr="00417E18">
        <w:rPr>
          <w:noProof/>
          <w:sz w:val="22"/>
          <w:szCs w:val="22"/>
        </w:rPr>
        <w:t>), California recorded 892 unicorns in 2025, representing almost half of all U.S. unicorns (1</w:t>
      </w:r>
      <w:r w:rsidR="009C37C3">
        <w:rPr>
          <w:noProof/>
          <w:sz w:val="22"/>
          <w:szCs w:val="22"/>
        </w:rPr>
        <w:t xml:space="preserve"> </w:t>
      </w:r>
      <w:r w:rsidRPr="00417E18">
        <w:rPr>
          <w:noProof/>
          <w:sz w:val="22"/>
          <w:szCs w:val="22"/>
        </w:rPr>
        <w:t>886). This concentration highlights the</w:t>
      </w:r>
      <w:r w:rsidR="00A14FFD" w:rsidRPr="0C856F1D">
        <w:rPr>
          <w:noProof/>
          <w:sz w:val="22"/>
          <w:szCs w:val="22"/>
        </w:rPr>
        <w:t xml:space="preserve"> importance</w:t>
      </w:r>
      <w:r w:rsidRPr="00417E18">
        <w:rPr>
          <w:noProof/>
          <w:sz w:val="22"/>
          <w:szCs w:val="22"/>
        </w:rPr>
        <w:t xml:space="preserve"> of </w:t>
      </w:r>
      <w:r w:rsidR="50A44604" w:rsidRPr="617E07F7">
        <w:rPr>
          <w:noProof/>
          <w:sz w:val="22"/>
          <w:szCs w:val="22"/>
        </w:rPr>
        <w:t>dense</w:t>
      </w:r>
      <w:r w:rsidRPr="00417E18">
        <w:rPr>
          <w:noProof/>
          <w:sz w:val="22"/>
          <w:szCs w:val="22"/>
        </w:rPr>
        <w:t xml:space="preserve"> venture capital markets, leading technology hubs, and strong innovation networks, in </w:t>
      </w:r>
      <w:r w:rsidR="13DBC01F" w:rsidRPr="617E07F7">
        <w:rPr>
          <w:noProof/>
          <w:sz w:val="22"/>
          <w:szCs w:val="22"/>
        </w:rPr>
        <w:t>shaping</w:t>
      </w:r>
      <w:r w:rsidR="00485619" w:rsidRPr="0C856F1D">
        <w:rPr>
          <w:noProof/>
          <w:sz w:val="22"/>
          <w:szCs w:val="22"/>
        </w:rPr>
        <w:t xml:space="preserve"> ecosystem</w:t>
      </w:r>
      <w:r w:rsidRPr="00417E18">
        <w:rPr>
          <w:noProof/>
          <w:sz w:val="22"/>
          <w:szCs w:val="22"/>
        </w:rPr>
        <w:t xml:space="preserve"> </w:t>
      </w:r>
      <w:r w:rsidR="5429C28D" w:rsidRPr="00417E18">
        <w:rPr>
          <w:noProof/>
          <w:sz w:val="22"/>
          <w:szCs w:val="22"/>
        </w:rPr>
        <w:t>performance</w:t>
      </w:r>
      <w:r w:rsidR="5FC38402" w:rsidRPr="00417E18">
        <w:rPr>
          <w:noProof/>
          <w:sz w:val="22"/>
          <w:szCs w:val="22"/>
        </w:rPr>
        <w:t>.</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766"/>
        <w:gridCol w:w="3001"/>
      </w:tblGrid>
      <w:tr w:rsidR="07C3DE46" w:rsidRPr="00417E18" w14:paraId="692BB854" w14:textId="77777777" w:rsidTr="07C3DE46">
        <w:trPr>
          <w:trHeight w:val="300"/>
        </w:trPr>
        <w:tc>
          <w:tcPr>
            <w:tcW w:w="5685" w:type="dxa"/>
            <w:tcBorders>
              <w:top w:val="single" w:sz="6" w:space="0" w:color="auto"/>
              <w:left w:val="single" w:sz="6" w:space="0" w:color="auto"/>
              <w:bottom w:val="single" w:sz="6" w:space="0" w:color="auto"/>
              <w:right w:val="nil"/>
            </w:tcBorders>
          </w:tcPr>
          <w:p w14:paraId="6ACA79C3" w14:textId="3D9756D2" w:rsidR="07C3DE46" w:rsidRPr="00417E18" w:rsidRDefault="07C3DE46" w:rsidP="07C3DE46">
            <w:pPr>
              <w:keepNext/>
              <w:rPr>
                <w:noProof/>
              </w:rPr>
            </w:pPr>
            <w:r w:rsidRPr="00417E18">
              <w:rPr>
                <w:noProof/>
                <w:lang w:eastAsia="en-GB"/>
              </w:rPr>
              <w:drawing>
                <wp:inline distT="0" distB="0" distL="0" distR="0" wp14:anchorId="683A02BF" wp14:editId="60F109B5">
                  <wp:extent cx="3524250" cy="2190750"/>
                  <wp:effectExtent l="0" t="0" r="0" b="0"/>
                  <wp:docPr id="54659336" name="Picture 20" descr="A chart with 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46593" name="Picture 20" descr="A chart with red rectangle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24250" cy="2190750"/>
                          </a:xfrm>
                          <a:prstGeom prst="rect">
                            <a:avLst/>
                          </a:prstGeom>
                          <a:noFill/>
                          <a:ln>
                            <a:noFill/>
                          </a:ln>
                        </pic:spPr>
                      </pic:pic>
                    </a:graphicData>
                  </a:graphic>
                </wp:inline>
              </w:drawing>
            </w:r>
          </w:p>
          <w:p w14:paraId="081AC110" w14:textId="63479FDC" w:rsidR="07C3DE46" w:rsidRPr="00417E18" w:rsidRDefault="07C3DE46" w:rsidP="00F91873">
            <w:pPr>
              <w:pStyle w:val="Caption"/>
              <w:rPr>
                <w:noProof/>
              </w:rPr>
            </w:pPr>
            <w:bookmarkStart w:id="72" w:name="_Ref229040127"/>
            <w:r w:rsidRPr="00417E18">
              <w:rPr>
                <w:noProof/>
                <w:u w:val="single"/>
              </w:rPr>
              <w:t xml:space="preserve">Figure </w:t>
            </w:r>
            <w:r w:rsidR="00C03894" w:rsidRPr="00C03894">
              <w:rPr>
                <w:noProof/>
                <w:u w:val="single"/>
              </w:rPr>
              <w:fldChar w:fldCharType="begin"/>
            </w:r>
            <w:r w:rsidR="00C03894" w:rsidRPr="00C03894">
              <w:rPr>
                <w:noProof/>
                <w:u w:val="single"/>
              </w:rPr>
              <w:instrText xml:space="preserve"> SEQ Figure \* ARABIC </w:instrText>
            </w:r>
            <w:r w:rsidR="00C03894" w:rsidRPr="00C03894">
              <w:rPr>
                <w:noProof/>
                <w:u w:val="single"/>
              </w:rPr>
              <w:fldChar w:fldCharType="separate"/>
            </w:r>
            <w:r w:rsidR="00C03894">
              <w:rPr>
                <w:noProof/>
                <w:u w:val="single"/>
              </w:rPr>
              <w:t>13</w:t>
            </w:r>
            <w:r w:rsidR="00C03894" w:rsidRPr="00C03894">
              <w:rPr>
                <w:noProof/>
                <w:u w:val="single"/>
              </w:rPr>
              <w:fldChar w:fldCharType="end"/>
            </w:r>
            <w:bookmarkEnd w:id="72"/>
            <w:r w:rsidR="00C03894">
              <w:rPr>
                <w:noProof/>
              </w:rPr>
              <w:t>:</w:t>
            </w:r>
            <w:r w:rsidRPr="00417E18">
              <w:rPr>
                <w:noProof/>
              </w:rPr>
              <w:t xml:space="preserve"> Number of unicorns (2025) per economic size (GDP in US $ 100 billions</w:t>
            </w:r>
            <w:r w:rsidR="00C03894" w:rsidRPr="00D06C27">
              <w:rPr>
                <w:noProof/>
              </w:rPr>
              <w:t>)</w:t>
            </w:r>
            <w:r w:rsidR="005B1E39">
              <w:rPr>
                <w:noProof/>
              </w:rPr>
              <w:t>.</w:t>
            </w:r>
          </w:p>
        </w:tc>
        <w:tc>
          <w:tcPr>
            <w:tcW w:w="2910" w:type="dxa"/>
            <w:tcBorders>
              <w:top w:val="single" w:sz="6" w:space="0" w:color="auto"/>
              <w:left w:val="nil"/>
              <w:bottom w:val="single" w:sz="6" w:space="0" w:color="auto"/>
              <w:right w:val="single" w:sz="6" w:space="0" w:color="auto"/>
            </w:tcBorders>
          </w:tcPr>
          <w:p w14:paraId="3A84F39D" w14:textId="55923C1E" w:rsidR="07C3DE46" w:rsidRPr="00417E18" w:rsidRDefault="07C3DE46" w:rsidP="07C3DE46">
            <w:pPr>
              <w:rPr>
                <w:noProof/>
              </w:rPr>
            </w:pPr>
            <w:r w:rsidRPr="00417E18">
              <w:rPr>
                <w:noProof/>
                <w:lang w:eastAsia="en-GB"/>
              </w:rPr>
              <w:drawing>
                <wp:inline distT="0" distB="0" distL="0" distR="0" wp14:anchorId="69E29EF5" wp14:editId="1DF9B967">
                  <wp:extent cx="1733550" cy="1790700"/>
                  <wp:effectExtent l="0" t="0" r="0" b="0"/>
                  <wp:docPr id="1886647949" name="Picture 1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6753" name="Picture 19" descr="A screenshot of a graph&#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33550" cy="1790700"/>
                          </a:xfrm>
                          <a:prstGeom prst="rect">
                            <a:avLst/>
                          </a:prstGeom>
                          <a:noFill/>
                          <a:ln>
                            <a:noFill/>
                          </a:ln>
                        </pic:spPr>
                      </pic:pic>
                    </a:graphicData>
                  </a:graphic>
                </wp:inline>
              </w:drawing>
            </w:r>
            <w:r w:rsidRPr="00417E18">
              <w:rPr>
                <w:noProof/>
              </w:rPr>
              <w:t> </w:t>
            </w:r>
          </w:p>
        </w:tc>
      </w:tr>
    </w:tbl>
    <w:p w14:paraId="66D01C27" w14:textId="58D4F3F6" w:rsidR="0060066A" w:rsidRPr="00AF3B8F" w:rsidRDefault="4DCD5846" w:rsidP="00AF3B8F">
      <w:pPr>
        <w:pStyle w:val="Text3"/>
        <w:spacing w:after="60" w:line="278" w:lineRule="auto"/>
        <w:ind w:left="0"/>
        <w:rPr>
          <w:rFonts w:ascii="Calibri" w:eastAsia="Times New Roman" w:hAnsi="Calibri" w:cs="Calibri"/>
          <w:noProof/>
          <w:color w:val="000000" w:themeColor="text1"/>
          <w:sz w:val="22"/>
          <w:szCs w:val="22"/>
        </w:rPr>
      </w:pPr>
      <w:r w:rsidRPr="6E0CA051">
        <w:rPr>
          <w:rFonts w:ascii="Calibri" w:hAnsi="Calibri" w:cs="Calibri"/>
          <w:noProof/>
          <w:sz w:val="22"/>
          <w:szCs w:val="22"/>
        </w:rPr>
        <w:t>Overall, the international benchmarking analysis points to a significant margin for improvement in the EU’s ability to convert economic capacity into large-scale, high-growth firms if it is to narrow the performance gap with its global peers.</w:t>
      </w:r>
    </w:p>
    <w:p w14:paraId="4DDC2DD0" w14:textId="5D05850C" w:rsidR="1AF56BC8" w:rsidRPr="00417E18" w:rsidRDefault="1AF56BC8" w:rsidP="00EB107B">
      <w:pPr>
        <w:pStyle w:val="Text3"/>
        <w:spacing w:before="0" w:after="60"/>
        <w:ind w:left="0"/>
        <w:rPr>
          <w:rFonts w:ascii="Calibri" w:eastAsia="Times New Roman" w:hAnsi="Calibri" w:cs="Calibri"/>
          <w:noProof/>
          <w:color w:val="000000" w:themeColor="text1"/>
          <w:sz w:val="22"/>
          <w:szCs w:val="22"/>
        </w:rPr>
      </w:pPr>
      <w:r w:rsidRPr="00417E18">
        <w:rPr>
          <w:rFonts w:ascii="Calibri" w:eastAsia="Times New Roman" w:hAnsi="Calibri" w:cs="Calibri"/>
          <w:noProof/>
          <w:color w:val="000000" w:themeColor="text1"/>
          <w:sz w:val="22"/>
          <w:szCs w:val="22"/>
        </w:rPr>
        <w:t xml:space="preserve">Tracking the outflow of EU-founded </w:t>
      </w:r>
      <w:r w:rsidR="00051FEA" w:rsidRPr="00417E18">
        <w:rPr>
          <w:rFonts w:ascii="Calibri" w:eastAsia="Times New Roman" w:hAnsi="Calibri" w:cs="Calibri"/>
          <w:noProof/>
          <w:color w:val="000000" w:themeColor="text1"/>
          <w:sz w:val="22"/>
          <w:szCs w:val="22"/>
        </w:rPr>
        <w:t>unicorns’</w:t>
      </w:r>
      <w:r w:rsidRPr="00417E18">
        <w:rPr>
          <w:rFonts w:ascii="Calibri" w:eastAsia="Times New Roman" w:hAnsi="Calibri" w:cs="Calibri"/>
          <w:noProof/>
          <w:color w:val="000000" w:themeColor="text1"/>
          <w:sz w:val="22"/>
          <w:szCs w:val="22"/>
        </w:rPr>
        <w:t xml:space="preserve"> relocation to third countries provides an important </w:t>
      </w:r>
      <w:r w:rsidRPr="000B0D83">
        <w:rPr>
          <w:rFonts w:ascii="Calibri" w:eastAsia="Times New Roman" w:hAnsi="Calibri" w:cs="Calibri"/>
          <w:noProof/>
          <w:color w:val="000000" w:themeColor="text1"/>
          <w:sz w:val="22"/>
          <w:szCs w:val="22"/>
        </w:rPr>
        <w:t>indication of the EU’s capacity to retain high-growth innovative firms and to scale them within its own market</w:t>
      </w:r>
      <w:r w:rsidRPr="000B0D83">
        <w:rPr>
          <w:rFonts w:ascii="Calibri" w:eastAsia="Times New Roman" w:hAnsi="Calibri" w:cs="Calibri"/>
          <w:noProof/>
          <w:color w:val="000000" w:themeColor="text1"/>
          <w:sz w:val="22"/>
          <w:szCs w:val="22"/>
          <w:vertAlign w:val="superscript"/>
        </w:rPr>
        <w:t>22</w:t>
      </w:r>
      <w:r w:rsidRPr="000B0D83">
        <w:rPr>
          <w:rFonts w:ascii="Calibri" w:eastAsia="Times New Roman" w:hAnsi="Calibri" w:cs="Calibri"/>
          <w:noProof/>
          <w:color w:val="000000" w:themeColor="text1"/>
          <w:sz w:val="22"/>
          <w:szCs w:val="22"/>
        </w:rPr>
        <w:t>. The data show a gradual improvement in the EU’s capacity to retain innovative scale-ups with respect to the U.K. and the U.S. over the past decade (</w:t>
      </w:r>
      <w:r w:rsidR="007B6296" w:rsidRPr="000B0D83">
        <w:rPr>
          <w:rFonts w:ascii="Calibri" w:eastAsia="Times New Roman" w:hAnsi="Calibri" w:cs="Calibri"/>
          <w:noProof/>
          <w:color w:val="000000" w:themeColor="text1"/>
          <w:sz w:val="22"/>
          <w:szCs w:val="22"/>
        </w:rPr>
        <w:fldChar w:fldCharType="begin"/>
      </w:r>
      <w:r w:rsidR="007B6296" w:rsidRPr="000B0D83">
        <w:rPr>
          <w:rFonts w:ascii="Calibri" w:eastAsia="Times New Roman" w:hAnsi="Calibri" w:cs="Calibri"/>
          <w:noProof/>
          <w:color w:val="000000" w:themeColor="text1"/>
          <w:sz w:val="22"/>
          <w:szCs w:val="22"/>
        </w:rPr>
        <w:instrText xml:space="preserve"> REF _Ref229040146 \h  \* MERGEFORMAT </w:instrText>
      </w:r>
      <w:r w:rsidR="007B6296" w:rsidRPr="000B0D83">
        <w:rPr>
          <w:rFonts w:ascii="Calibri" w:eastAsia="Times New Roman" w:hAnsi="Calibri" w:cs="Calibri"/>
          <w:noProof/>
          <w:color w:val="000000" w:themeColor="text1"/>
          <w:sz w:val="22"/>
          <w:szCs w:val="22"/>
        </w:rPr>
      </w:r>
      <w:r w:rsidR="007B6296" w:rsidRPr="000B0D83">
        <w:rPr>
          <w:rFonts w:ascii="Calibri" w:eastAsia="Times New Roman" w:hAnsi="Calibri" w:cs="Calibri"/>
          <w:noProof/>
          <w:color w:val="000000" w:themeColor="text1"/>
          <w:sz w:val="22"/>
          <w:szCs w:val="22"/>
        </w:rPr>
        <w:fldChar w:fldCharType="separate"/>
      </w:r>
      <w:r w:rsidR="007B6296" w:rsidRPr="000B0D83">
        <w:rPr>
          <w:rFonts w:ascii="Calibri" w:hAnsi="Calibri" w:cs="Calibri"/>
          <w:noProof/>
          <w:sz w:val="22"/>
          <w:szCs w:val="22"/>
          <w:u w:val="single"/>
        </w:rPr>
        <w:t>Figure 14</w:t>
      </w:r>
      <w:r w:rsidR="007B6296" w:rsidRPr="000B0D83">
        <w:rPr>
          <w:rFonts w:ascii="Calibri" w:eastAsia="Times New Roman" w:hAnsi="Calibri" w:cs="Calibri"/>
          <w:noProof/>
          <w:color w:val="000000" w:themeColor="text1"/>
          <w:sz w:val="22"/>
          <w:szCs w:val="22"/>
        </w:rPr>
        <w:fldChar w:fldCharType="end"/>
      </w:r>
      <w:r w:rsidRPr="000B0D83">
        <w:rPr>
          <w:rFonts w:ascii="Calibri" w:eastAsia="Times New Roman" w:hAnsi="Calibri" w:cs="Calibri"/>
          <w:noProof/>
          <w:color w:val="000000" w:themeColor="text1"/>
          <w:sz w:val="22"/>
          <w:szCs w:val="22"/>
        </w:rPr>
        <w:t xml:space="preserve">). Between 2016 and 2019, around one in five EU-founded unicorns relocated to the US or the UK, with percentages fluctuating between 21% and 22%. This indicates a relatively stable but significant outflow during that period. From 2020 onwards, the percentage of </w:t>
      </w:r>
      <w:r w:rsidR="28B14FE0" w:rsidRPr="000B0D83">
        <w:rPr>
          <w:rFonts w:ascii="Calibri" w:eastAsia="Times New Roman" w:hAnsi="Calibri" w:cs="Calibri"/>
          <w:noProof/>
          <w:color w:val="000000" w:themeColor="text1"/>
          <w:sz w:val="22"/>
          <w:szCs w:val="22"/>
        </w:rPr>
        <w:t>relocating</w:t>
      </w:r>
      <w:r w:rsidRPr="000B0D83">
        <w:rPr>
          <w:rFonts w:ascii="Calibri" w:eastAsia="Times New Roman" w:hAnsi="Calibri" w:cs="Calibri"/>
          <w:noProof/>
          <w:color w:val="000000" w:themeColor="text1"/>
          <w:sz w:val="22"/>
          <w:szCs w:val="22"/>
        </w:rPr>
        <w:t xml:space="preserve"> companies decline</w:t>
      </w:r>
      <w:r w:rsidR="00641EEA" w:rsidRPr="000B0D83">
        <w:rPr>
          <w:rFonts w:ascii="Calibri" w:eastAsia="Times New Roman" w:hAnsi="Calibri" w:cs="Calibri"/>
          <w:noProof/>
          <w:color w:val="000000" w:themeColor="text1"/>
          <w:sz w:val="22"/>
          <w:szCs w:val="22"/>
        </w:rPr>
        <w:t>d</w:t>
      </w:r>
      <w:r w:rsidRPr="000B0D83">
        <w:rPr>
          <w:rFonts w:ascii="Calibri" w:eastAsia="Times New Roman" w:hAnsi="Calibri" w:cs="Calibri"/>
          <w:noProof/>
          <w:color w:val="000000" w:themeColor="text1"/>
          <w:sz w:val="22"/>
          <w:szCs w:val="22"/>
        </w:rPr>
        <w:t xml:space="preserve"> more clearly and reache</w:t>
      </w:r>
      <w:r w:rsidR="00BD5C86" w:rsidRPr="000B0D83">
        <w:rPr>
          <w:rFonts w:ascii="Calibri" w:eastAsia="Times New Roman" w:hAnsi="Calibri" w:cs="Calibri"/>
          <w:noProof/>
          <w:color w:val="000000" w:themeColor="text1"/>
          <w:sz w:val="22"/>
          <w:szCs w:val="22"/>
        </w:rPr>
        <w:t>d</w:t>
      </w:r>
      <w:r w:rsidRPr="000B0D83">
        <w:rPr>
          <w:rFonts w:ascii="Calibri" w:eastAsia="Times New Roman" w:hAnsi="Calibri" w:cs="Calibri"/>
          <w:noProof/>
          <w:color w:val="000000" w:themeColor="text1"/>
          <w:sz w:val="22"/>
          <w:szCs w:val="22"/>
        </w:rPr>
        <w:t xml:space="preserve"> 16% in 2025. Other potential destination countries</w:t>
      </w:r>
      <w:r w:rsidRPr="00417E18">
        <w:rPr>
          <w:rFonts w:ascii="Calibri" w:eastAsia="Times New Roman" w:hAnsi="Calibri" w:cs="Calibri"/>
          <w:noProof/>
          <w:color w:val="000000" w:themeColor="text1"/>
          <w:sz w:val="22"/>
          <w:szCs w:val="22"/>
        </w:rPr>
        <w:t xml:space="preserve"> were also examined (Canada, China, Israel, Japan, South Korea), but no cases of relocation of EU-founded unicorns were identified outside the U.K. and the U.S. over the period considered.</w:t>
      </w:r>
    </w:p>
    <w:p w14:paraId="4A32AAE1" w14:textId="4EEAA404" w:rsidR="1AF56BC8" w:rsidRPr="006B033C" w:rsidRDefault="1AF56BC8" w:rsidP="006B033C">
      <w:pPr>
        <w:pStyle w:val="Text3"/>
        <w:spacing w:before="0" w:after="60"/>
        <w:ind w:left="0"/>
        <w:rPr>
          <w:rFonts w:ascii="Calibri" w:eastAsia="Times New Roman" w:hAnsi="Calibri" w:cs="Calibri"/>
          <w:noProof/>
          <w:color w:val="000000" w:themeColor="text1"/>
          <w:sz w:val="22"/>
          <w:szCs w:val="22"/>
        </w:rPr>
      </w:pPr>
      <w:r w:rsidRPr="00417E18">
        <w:rPr>
          <w:rFonts w:ascii="Calibri" w:eastAsia="Times New Roman" w:hAnsi="Calibri" w:cs="Calibri"/>
          <w:noProof/>
          <w:color w:val="000000" w:themeColor="text1"/>
          <w:sz w:val="22"/>
          <w:szCs w:val="22"/>
        </w:rPr>
        <w:t>The trend suggests a moderate but consistent strengthening of the EU’s ability to retain its innovative scale-ups. While relocation remains a structural challenge, with roughly one in six unicorns still moving abroad, the outflow has decreased by around five to six percentage points compared to the 2016</w:t>
      </w:r>
      <w:r w:rsidR="00944EB1">
        <w:rPr>
          <w:rFonts w:ascii="Calibri" w:eastAsia="Times New Roman" w:hAnsi="Calibri" w:cs="Calibri"/>
          <w:noProof/>
          <w:color w:val="000000" w:themeColor="text1"/>
          <w:sz w:val="22"/>
          <w:szCs w:val="22"/>
        </w:rPr>
        <w:t>-</w:t>
      </w:r>
      <w:r w:rsidRPr="00417E18">
        <w:rPr>
          <w:rFonts w:ascii="Calibri" w:eastAsia="Times New Roman" w:hAnsi="Calibri" w:cs="Calibri"/>
          <w:noProof/>
          <w:color w:val="000000" w:themeColor="text1"/>
          <w:sz w:val="22"/>
          <w:szCs w:val="22"/>
        </w:rPr>
        <w:t>2018 peak.</w:t>
      </w:r>
    </w:p>
    <w:p w14:paraId="0CADC94C" w14:textId="77777777" w:rsidR="00C03894" w:rsidRDefault="1AF56BC8" w:rsidP="00C03894">
      <w:pPr>
        <w:keepNext/>
        <w:spacing w:before="0" w:after="160" w:line="259" w:lineRule="auto"/>
        <w:jc w:val="center"/>
        <w:rPr>
          <w:noProof/>
        </w:rPr>
      </w:pPr>
      <w:r w:rsidRPr="00417E18">
        <w:rPr>
          <w:noProof/>
          <w:lang w:eastAsia="en-GB"/>
        </w:rPr>
        <w:drawing>
          <wp:inline distT="0" distB="0" distL="0" distR="0" wp14:anchorId="1053B1A2" wp14:editId="6B477069">
            <wp:extent cx="4762500" cy="3086100"/>
            <wp:effectExtent l="19050" t="19050" r="19050" b="19050"/>
            <wp:docPr id="1554178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78802" name="Picture 1554178802"/>
                    <pic:cNvPicPr/>
                  </pic:nvPicPr>
                  <pic:blipFill>
                    <a:blip r:embed="rId39">
                      <a:extLst>
                        <a:ext uri="{28A0092B-C50C-407E-A947-70E740481C1C}">
                          <a14:useLocalDpi xmlns:a14="http://schemas.microsoft.com/office/drawing/2010/main"/>
                        </a:ext>
                      </a:extLst>
                    </a:blip>
                    <a:stretch>
                      <a:fillRect/>
                    </a:stretch>
                  </pic:blipFill>
                  <pic:spPr>
                    <a:xfrm>
                      <a:off x="0" y="0"/>
                      <a:ext cx="4762500" cy="3086100"/>
                    </a:xfrm>
                    <a:prstGeom prst="rect">
                      <a:avLst/>
                    </a:prstGeom>
                    <a:ln>
                      <a:solidFill>
                        <a:schemeClr val="accent1"/>
                      </a:solidFill>
                    </a:ln>
                  </pic:spPr>
                </pic:pic>
              </a:graphicData>
            </a:graphic>
          </wp:inline>
        </w:drawing>
      </w:r>
    </w:p>
    <w:p w14:paraId="2C95974D" w14:textId="0EF674B1" w:rsidR="00596377" w:rsidRPr="00417E18" w:rsidRDefault="00C03894" w:rsidP="00C03894">
      <w:pPr>
        <w:pStyle w:val="Caption"/>
        <w:rPr>
          <w:noProof/>
        </w:rPr>
      </w:pPr>
      <w:bookmarkStart w:id="73" w:name="_Ref229040146"/>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14</w:t>
      </w:r>
      <w:r w:rsidRPr="00C03894">
        <w:rPr>
          <w:noProof/>
          <w:u w:val="single"/>
        </w:rPr>
        <w:fldChar w:fldCharType="end"/>
      </w:r>
      <w:bookmarkEnd w:id="73"/>
      <w:r>
        <w:rPr>
          <w:noProof/>
        </w:rPr>
        <w:t xml:space="preserve">: </w:t>
      </w:r>
      <w:r w:rsidRPr="00DB3EB9">
        <w:rPr>
          <w:noProof/>
        </w:rPr>
        <w:t>Percentage of unicorns founded in the EU in the past decade that later relocated to either the United Kingdom or the United States</w:t>
      </w:r>
      <w:r w:rsidR="005B1E39">
        <w:rPr>
          <w:noProof/>
        </w:rPr>
        <w:t>.</w:t>
      </w:r>
    </w:p>
    <w:p w14:paraId="509EB901" w14:textId="43A9908C" w:rsidR="4C4CD0B8" w:rsidRPr="000B0D83" w:rsidRDefault="4C4CD0B8" w:rsidP="3A5F48C0">
      <w:pPr>
        <w:spacing w:before="0" w:after="160" w:line="257" w:lineRule="auto"/>
        <w:rPr>
          <w:rFonts w:eastAsia="Calibri" w:cs="Calibri"/>
          <w:b/>
          <w:noProof/>
          <w:sz w:val="22"/>
          <w:szCs w:val="22"/>
        </w:rPr>
      </w:pPr>
      <w:r w:rsidRPr="000B0D83">
        <w:rPr>
          <w:rFonts w:eastAsia="Calibri" w:cs="Calibri"/>
          <w:b/>
          <w:noProof/>
          <w:sz w:val="22"/>
          <w:szCs w:val="22"/>
        </w:rPr>
        <w:t xml:space="preserve">Challenges </w:t>
      </w:r>
      <w:r w:rsidR="00BE7AC6" w:rsidRPr="000B0D83">
        <w:rPr>
          <w:rFonts w:eastAsia="Calibri" w:cs="Calibri"/>
          <w:b/>
          <w:bCs/>
          <w:noProof/>
          <w:sz w:val="22"/>
          <w:szCs w:val="22"/>
        </w:rPr>
        <w:t>f</w:t>
      </w:r>
      <w:r w:rsidRPr="000B0D83">
        <w:rPr>
          <w:rFonts w:eastAsia="Calibri" w:cs="Calibri"/>
          <w:b/>
          <w:bCs/>
          <w:noProof/>
          <w:sz w:val="22"/>
          <w:szCs w:val="22"/>
        </w:rPr>
        <w:t>acing</w:t>
      </w:r>
      <w:r w:rsidRPr="000B0D83">
        <w:rPr>
          <w:rFonts w:eastAsia="Calibri" w:cs="Calibri"/>
          <w:b/>
          <w:noProof/>
          <w:sz w:val="22"/>
          <w:szCs w:val="22"/>
        </w:rPr>
        <w:t xml:space="preserve"> EU </w:t>
      </w:r>
      <w:r w:rsidR="00BE7AC6" w:rsidRPr="000B0D83">
        <w:rPr>
          <w:rFonts w:eastAsia="Calibri" w:cs="Calibri"/>
          <w:b/>
          <w:bCs/>
          <w:noProof/>
          <w:sz w:val="22"/>
          <w:szCs w:val="22"/>
        </w:rPr>
        <w:t>s</w:t>
      </w:r>
      <w:r w:rsidRPr="000B0D83">
        <w:rPr>
          <w:rFonts w:eastAsia="Calibri" w:cs="Calibri"/>
          <w:b/>
          <w:bCs/>
          <w:noProof/>
          <w:sz w:val="22"/>
          <w:szCs w:val="22"/>
        </w:rPr>
        <w:t>tartups</w:t>
      </w:r>
      <w:r w:rsidRPr="000B0D83">
        <w:rPr>
          <w:rFonts w:eastAsia="Calibri" w:cs="Calibri"/>
          <w:b/>
          <w:noProof/>
          <w:sz w:val="22"/>
          <w:szCs w:val="22"/>
        </w:rPr>
        <w:t xml:space="preserve"> on the </w:t>
      </w:r>
      <w:r w:rsidR="00BE7AC6" w:rsidRPr="000B0D83">
        <w:rPr>
          <w:rFonts w:eastAsia="Calibri" w:cs="Calibri"/>
          <w:b/>
          <w:bCs/>
          <w:noProof/>
          <w:sz w:val="22"/>
          <w:szCs w:val="22"/>
        </w:rPr>
        <w:t>p</w:t>
      </w:r>
      <w:r w:rsidRPr="000B0D83">
        <w:rPr>
          <w:rFonts w:eastAsia="Calibri" w:cs="Calibri"/>
          <w:b/>
          <w:bCs/>
          <w:noProof/>
          <w:sz w:val="22"/>
          <w:szCs w:val="22"/>
        </w:rPr>
        <w:t>ath</w:t>
      </w:r>
      <w:r w:rsidRPr="000B0D83">
        <w:rPr>
          <w:rFonts w:eastAsia="Calibri" w:cs="Calibri"/>
          <w:b/>
          <w:noProof/>
          <w:sz w:val="22"/>
          <w:szCs w:val="22"/>
        </w:rPr>
        <w:t xml:space="preserve"> to </w:t>
      </w:r>
      <w:r w:rsidR="00BE7AC6" w:rsidRPr="000B0D83">
        <w:rPr>
          <w:rFonts w:eastAsia="Calibri" w:cs="Calibri"/>
          <w:b/>
          <w:bCs/>
          <w:noProof/>
          <w:sz w:val="22"/>
          <w:szCs w:val="22"/>
        </w:rPr>
        <w:t>u</w:t>
      </w:r>
      <w:r w:rsidRPr="000B0D83">
        <w:rPr>
          <w:rFonts w:eastAsia="Calibri" w:cs="Calibri"/>
          <w:b/>
          <w:bCs/>
          <w:noProof/>
          <w:sz w:val="22"/>
          <w:szCs w:val="22"/>
        </w:rPr>
        <w:t xml:space="preserve">nicorn </w:t>
      </w:r>
      <w:r w:rsidR="00BE7AC6" w:rsidRPr="000B0D83">
        <w:rPr>
          <w:rFonts w:eastAsia="Calibri" w:cs="Calibri"/>
          <w:b/>
          <w:bCs/>
          <w:noProof/>
          <w:sz w:val="22"/>
          <w:szCs w:val="22"/>
        </w:rPr>
        <w:t>s</w:t>
      </w:r>
      <w:r w:rsidRPr="000B0D83">
        <w:rPr>
          <w:rFonts w:eastAsia="Calibri" w:cs="Calibri"/>
          <w:b/>
          <w:bCs/>
          <w:noProof/>
          <w:sz w:val="22"/>
          <w:szCs w:val="22"/>
        </w:rPr>
        <w:t>tatus</w:t>
      </w:r>
    </w:p>
    <w:p w14:paraId="20311341" w14:textId="46A22596" w:rsidR="528C44BB" w:rsidRPr="000B0D83" w:rsidRDefault="7AF0B598" w:rsidP="006B033C">
      <w:pPr>
        <w:spacing w:before="0" w:after="160" w:line="257" w:lineRule="auto"/>
        <w:rPr>
          <w:rFonts w:eastAsia="Calibri" w:cs="Calibri"/>
          <w:noProof/>
          <w:sz w:val="22"/>
          <w:szCs w:val="22"/>
        </w:rPr>
      </w:pPr>
      <w:r w:rsidRPr="000B0D83">
        <w:rPr>
          <w:rFonts w:eastAsia="Calibri" w:cs="Calibri"/>
          <w:noProof/>
          <w:sz w:val="22"/>
          <w:szCs w:val="22"/>
        </w:rPr>
        <w:t>In the EU</w:t>
      </w:r>
      <w:r w:rsidR="00344BCA" w:rsidRPr="000B0D83">
        <w:rPr>
          <w:rFonts w:eastAsia="Calibri" w:cs="Calibri"/>
          <w:noProof/>
          <w:sz w:val="22"/>
          <w:szCs w:val="22"/>
        </w:rPr>
        <w:t>,</w:t>
      </w:r>
      <w:r w:rsidRPr="000B0D83">
        <w:rPr>
          <w:rFonts w:eastAsia="Calibri" w:cs="Calibri"/>
          <w:noProof/>
          <w:sz w:val="22"/>
          <w:szCs w:val="22"/>
        </w:rPr>
        <w:t xml:space="preserve"> the path from promising startup to unicorn presents obstacles that are often more pronounced than in other competing regions. Three non-exhaustive challenges stand out </w:t>
      </w:r>
      <w:r w:rsidR="00A218F0" w:rsidRPr="000B0D83">
        <w:rPr>
          <w:rFonts w:eastAsia="Calibri" w:cs="Calibri"/>
          <w:noProof/>
          <w:sz w:val="22"/>
          <w:szCs w:val="22"/>
        </w:rPr>
        <w:t>in particular:</w:t>
      </w:r>
      <w:r w:rsidR="71542156" w:rsidRPr="000B0D83">
        <w:rPr>
          <w:rFonts w:eastAsia="Calibri" w:cs="Calibri"/>
          <w:noProof/>
          <w:sz w:val="22"/>
          <w:szCs w:val="22"/>
        </w:rPr>
        <w:t xml:space="preserve"> </w:t>
      </w:r>
      <w:r w:rsidRPr="000B0D83">
        <w:rPr>
          <w:rFonts w:eastAsia="Calibri" w:cs="Calibri"/>
          <w:noProof/>
          <w:sz w:val="22"/>
          <w:szCs w:val="22"/>
        </w:rPr>
        <w:t xml:space="preserve">the scale-up funding gap, weak spinoff creation and tech transfer policies, </w:t>
      </w:r>
      <w:r w:rsidR="16CDDAD0" w:rsidRPr="000B0D83">
        <w:rPr>
          <w:rFonts w:eastAsia="Calibri" w:cs="Calibri"/>
          <w:noProof/>
          <w:sz w:val="22"/>
          <w:szCs w:val="22"/>
        </w:rPr>
        <w:t xml:space="preserve">as well as the </w:t>
      </w:r>
      <w:r w:rsidR="00A414AC" w:rsidRPr="000B0D83">
        <w:rPr>
          <w:rFonts w:eastAsia="Calibri" w:cs="Calibri"/>
          <w:noProof/>
          <w:sz w:val="22"/>
          <w:szCs w:val="22"/>
        </w:rPr>
        <w:t>difficulty</w:t>
      </w:r>
      <w:r w:rsidRPr="000B0D83">
        <w:rPr>
          <w:rFonts w:eastAsia="Calibri" w:cs="Calibri"/>
          <w:noProof/>
          <w:sz w:val="22"/>
          <w:szCs w:val="22"/>
        </w:rPr>
        <w:t xml:space="preserve"> startups </w:t>
      </w:r>
      <w:r w:rsidR="00A414AC" w:rsidRPr="000B0D83">
        <w:rPr>
          <w:rFonts w:eastAsia="Calibri" w:cs="Calibri"/>
          <w:noProof/>
          <w:sz w:val="22"/>
          <w:szCs w:val="22"/>
        </w:rPr>
        <w:t xml:space="preserve">face </w:t>
      </w:r>
      <w:r w:rsidRPr="000B0D83">
        <w:rPr>
          <w:rFonts w:eastAsia="Calibri" w:cs="Calibri"/>
          <w:noProof/>
          <w:sz w:val="22"/>
          <w:szCs w:val="22"/>
        </w:rPr>
        <w:t>in accessing public procurement markets.</w:t>
      </w:r>
    </w:p>
    <w:p w14:paraId="2A583F65" w14:textId="046A82A3" w:rsidR="7AF0B598" w:rsidRPr="00417E18" w:rsidRDefault="1CA8A6F7" w:rsidP="528C44BB">
      <w:pPr>
        <w:pStyle w:val="ListParagraph"/>
        <w:spacing w:before="0" w:after="0" w:line="257" w:lineRule="auto"/>
        <w:ind w:left="0"/>
        <w:rPr>
          <w:rFonts w:eastAsia="Calibri" w:cs="Calibri"/>
          <w:noProof/>
          <w:sz w:val="22"/>
          <w:szCs w:val="22"/>
        </w:rPr>
      </w:pPr>
      <w:r w:rsidRPr="000B0D83">
        <w:rPr>
          <w:rFonts w:eastAsia="Calibri" w:cs="Calibri"/>
          <w:noProof/>
          <w:sz w:val="22"/>
          <w:szCs w:val="22"/>
        </w:rPr>
        <w:t xml:space="preserve">The most glaring obstacle is the lack of </w:t>
      </w:r>
      <w:r w:rsidRPr="000B0D83">
        <w:rPr>
          <w:rFonts w:eastAsia="Calibri" w:cs="Calibri"/>
          <w:b/>
          <w:bCs/>
          <w:noProof/>
          <w:sz w:val="22"/>
          <w:szCs w:val="22"/>
        </w:rPr>
        <w:t>late-stage capital</w:t>
      </w:r>
      <w:r w:rsidRPr="000B0D83">
        <w:rPr>
          <w:rFonts w:eastAsia="Calibri" w:cs="Calibri"/>
          <w:noProof/>
          <w:sz w:val="22"/>
          <w:szCs w:val="22"/>
        </w:rPr>
        <w:t xml:space="preserve"> for startups seeking to raise </w:t>
      </w:r>
      <w:r w:rsidR="64834420" w:rsidRPr="000B0D83">
        <w:rPr>
          <w:rFonts w:eastAsia="Calibri" w:cs="Calibri"/>
          <w:noProof/>
          <w:sz w:val="22"/>
          <w:szCs w:val="22"/>
        </w:rPr>
        <w:t xml:space="preserve">EUR </w:t>
      </w:r>
      <w:r w:rsidRPr="000B0D83">
        <w:rPr>
          <w:rFonts w:eastAsia="Calibri" w:cs="Calibri"/>
          <w:noProof/>
          <w:sz w:val="22"/>
          <w:szCs w:val="22"/>
        </w:rPr>
        <w:t xml:space="preserve">100 million or more. While early-stage funding has improved, EU startups frequently hit a wall when they need large-scale investment to expand globally. Fund sizes in Europe are typically smaller than in the US, meaning </w:t>
      </w:r>
      <w:r w:rsidR="1172827C" w:rsidRPr="000B0D83">
        <w:rPr>
          <w:rFonts w:eastAsia="Calibri" w:cs="Calibri"/>
          <w:noProof/>
          <w:sz w:val="22"/>
          <w:szCs w:val="22"/>
        </w:rPr>
        <w:t xml:space="preserve">that </w:t>
      </w:r>
      <w:r w:rsidRPr="000B0D83">
        <w:rPr>
          <w:rFonts w:eastAsia="Calibri" w:cs="Calibri"/>
          <w:noProof/>
          <w:sz w:val="22"/>
          <w:szCs w:val="22"/>
        </w:rPr>
        <w:t xml:space="preserve">fewer EU firms can </w:t>
      </w:r>
      <w:r w:rsidR="7F2073E7" w:rsidRPr="000B0D83">
        <w:rPr>
          <w:rFonts w:eastAsia="Calibri" w:cs="Calibri"/>
          <w:noProof/>
          <w:sz w:val="22"/>
          <w:szCs w:val="22"/>
        </w:rPr>
        <w:t>access</w:t>
      </w:r>
      <w:r w:rsidRPr="000B0D83">
        <w:rPr>
          <w:rFonts w:eastAsia="Calibri" w:cs="Calibri"/>
          <w:noProof/>
          <w:sz w:val="22"/>
          <w:szCs w:val="22"/>
        </w:rPr>
        <w:t xml:space="preserve"> the </w:t>
      </w:r>
      <w:r w:rsidR="64834420" w:rsidRPr="000B0D83">
        <w:rPr>
          <w:rFonts w:eastAsia="Calibri" w:cs="Calibri"/>
          <w:noProof/>
          <w:sz w:val="22"/>
          <w:szCs w:val="22"/>
        </w:rPr>
        <w:t xml:space="preserve">EUR </w:t>
      </w:r>
      <w:r w:rsidRPr="000B0D83">
        <w:rPr>
          <w:rFonts w:eastAsia="Calibri" w:cs="Calibri"/>
          <w:noProof/>
          <w:sz w:val="22"/>
          <w:szCs w:val="22"/>
        </w:rPr>
        <w:t xml:space="preserve">100M+ cheques needed for rapid scaling. </w:t>
      </w:r>
      <w:r w:rsidR="7AEF2FB5" w:rsidRPr="000B0D83">
        <w:rPr>
          <w:rFonts w:eastAsia="Calibri" w:cs="Calibri"/>
          <w:noProof/>
          <w:sz w:val="22"/>
          <w:szCs w:val="22"/>
        </w:rPr>
        <w:t>This was to be seen in the period 2024-2025 when 54% of lead investors in late</w:t>
      </w:r>
      <w:r w:rsidR="775B542C" w:rsidRPr="000B0D83">
        <w:rPr>
          <w:rFonts w:eastAsia="Calibri" w:cs="Calibri"/>
          <w:noProof/>
          <w:sz w:val="22"/>
          <w:szCs w:val="22"/>
        </w:rPr>
        <w:t>-</w:t>
      </w:r>
      <w:r w:rsidR="7AEF2FB5" w:rsidRPr="000B0D83">
        <w:rPr>
          <w:rFonts w:eastAsia="Calibri" w:cs="Calibri"/>
          <w:noProof/>
          <w:sz w:val="22"/>
          <w:szCs w:val="22"/>
        </w:rPr>
        <w:t>stage VC investments in European AI Startups were from American</w:t>
      </w:r>
      <w:r w:rsidR="7AEF2FB5" w:rsidRPr="000B0D83">
        <w:rPr>
          <w:rFonts w:eastAsia="Calibri" w:cs="Calibri"/>
          <w:noProof/>
          <w:color w:val="000000" w:themeColor="text1"/>
          <w:sz w:val="22"/>
          <w:szCs w:val="22"/>
        </w:rPr>
        <w:t xml:space="preserve"> investors</w:t>
      </w:r>
      <w:r w:rsidR="7AEF2FB5" w:rsidRPr="00417E18">
        <w:rPr>
          <w:rFonts w:eastAsia="Calibri" w:cs="Calibri"/>
          <w:noProof/>
          <w:color w:val="000000" w:themeColor="text1"/>
          <w:sz w:val="22"/>
          <w:szCs w:val="22"/>
        </w:rPr>
        <w:t xml:space="preserve">. </w:t>
      </w:r>
      <w:r w:rsidR="7AEF2FB5" w:rsidRPr="00417E18">
        <w:rPr>
          <w:rFonts w:eastAsia="Calibri" w:cs="Calibri"/>
          <w:noProof/>
          <w:sz w:val="22"/>
          <w:szCs w:val="22"/>
        </w:rPr>
        <w:t xml:space="preserve">A result of this is </w:t>
      </w:r>
      <w:r w:rsidR="2E077EA6" w:rsidRPr="00417E18">
        <w:rPr>
          <w:rFonts w:eastAsia="Calibri" w:cs="Calibri"/>
          <w:noProof/>
          <w:sz w:val="22"/>
          <w:szCs w:val="22"/>
        </w:rPr>
        <w:t xml:space="preserve">that </w:t>
      </w:r>
      <w:r w:rsidRPr="00417E18">
        <w:rPr>
          <w:rFonts w:eastAsia="Calibri" w:cs="Calibri"/>
          <w:noProof/>
          <w:sz w:val="22"/>
          <w:szCs w:val="22"/>
        </w:rPr>
        <w:t xml:space="preserve">many </w:t>
      </w:r>
      <w:r w:rsidR="58B15898" w:rsidRPr="00417E18">
        <w:rPr>
          <w:rFonts w:eastAsia="Calibri" w:cs="Calibri"/>
          <w:noProof/>
          <w:sz w:val="22"/>
          <w:szCs w:val="22"/>
        </w:rPr>
        <w:t xml:space="preserve">EU </w:t>
      </w:r>
      <w:r w:rsidRPr="00417E18">
        <w:rPr>
          <w:rFonts w:eastAsia="Calibri" w:cs="Calibri"/>
          <w:noProof/>
          <w:sz w:val="22"/>
          <w:szCs w:val="22"/>
        </w:rPr>
        <w:t xml:space="preserve">startups </w:t>
      </w:r>
      <w:r w:rsidR="72A02583" w:rsidRPr="00417E18">
        <w:rPr>
          <w:rFonts w:eastAsia="Calibri" w:cs="Calibri"/>
          <w:noProof/>
          <w:sz w:val="22"/>
          <w:szCs w:val="22"/>
        </w:rPr>
        <w:t xml:space="preserve">either </w:t>
      </w:r>
      <w:r w:rsidR="07D225AF" w:rsidRPr="00417E18">
        <w:rPr>
          <w:rFonts w:eastAsia="Calibri" w:cs="Calibri"/>
          <w:noProof/>
          <w:sz w:val="22"/>
          <w:szCs w:val="22"/>
        </w:rPr>
        <w:t xml:space="preserve">up </w:t>
      </w:r>
      <w:r w:rsidR="21A781D1" w:rsidRPr="0C856F1D">
        <w:rPr>
          <w:rFonts w:eastAsia="Calibri" w:cs="Calibri"/>
          <w:noProof/>
          <w:sz w:val="22"/>
          <w:szCs w:val="22"/>
        </w:rPr>
        <w:t xml:space="preserve">either </w:t>
      </w:r>
      <w:r w:rsidR="0321DFF9" w:rsidRPr="00417E18">
        <w:rPr>
          <w:rFonts w:eastAsia="Calibri" w:cs="Calibri"/>
          <w:noProof/>
          <w:sz w:val="22"/>
          <w:szCs w:val="22"/>
        </w:rPr>
        <w:t>accept</w:t>
      </w:r>
      <w:r w:rsidRPr="00417E18">
        <w:rPr>
          <w:rFonts w:eastAsia="Calibri" w:cs="Calibri"/>
          <w:noProof/>
          <w:sz w:val="22"/>
          <w:szCs w:val="22"/>
        </w:rPr>
        <w:t xml:space="preserve"> lower valuations</w:t>
      </w:r>
      <w:r w:rsidR="68B52D27" w:rsidRPr="00417E18">
        <w:rPr>
          <w:rFonts w:eastAsia="Calibri" w:cs="Calibri"/>
          <w:noProof/>
          <w:sz w:val="22"/>
          <w:szCs w:val="22"/>
        </w:rPr>
        <w:t xml:space="preserve"> </w:t>
      </w:r>
      <w:r w:rsidRPr="00417E18">
        <w:rPr>
          <w:rFonts w:eastAsia="Calibri" w:cs="Calibri"/>
          <w:noProof/>
          <w:sz w:val="22"/>
          <w:szCs w:val="22"/>
        </w:rPr>
        <w:t xml:space="preserve">or seek funding </w:t>
      </w:r>
      <w:r w:rsidR="17BCDE1E" w:rsidRPr="00417E18">
        <w:rPr>
          <w:rFonts w:eastAsia="Calibri" w:cs="Calibri"/>
          <w:noProof/>
          <w:sz w:val="22"/>
          <w:szCs w:val="22"/>
        </w:rPr>
        <w:t>from non</w:t>
      </w:r>
      <w:r w:rsidR="21A781D1" w:rsidRPr="0C856F1D">
        <w:rPr>
          <w:rFonts w:eastAsia="Calibri" w:cs="Calibri"/>
          <w:noProof/>
          <w:sz w:val="22"/>
          <w:szCs w:val="22"/>
        </w:rPr>
        <w:t>-</w:t>
      </w:r>
      <w:r w:rsidR="17BCDE1E" w:rsidRPr="00417E18">
        <w:rPr>
          <w:rFonts w:eastAsia="Calibri" w:cs="Calibri"/>
          <w:noProof/>
          <w:sz w:val="22"/>
          <w:szCs w:val="22"/>
        </w:rPr>
        <w:t xml:space="preserve">European investors, too often resulting in </w:t>
      </w:r>
      <w:r w:rsidR="2FC5C14A" w:rsidRPr="00417E18">
        <w:rPr>
          <w:rFonts w:eastAsia="Calibri" w:cs="Calibri"/>
          <w:noProof/>
          <w:sz w:val="22"/>
          <w:szCs w:val="22"/>
        </w:rPr>
        <w:t>relocati</w:t>
      </w:r>
      <w:r w:rsidR="1D45D359" w:rsidRPr="0C856F1D">
        <w:rPr>
          <w:rFonts w:eastAsia="Calibri" w:cs="Calibri"/>
          <w:noProof/>
          <w:sz w:val="22"/>
          <w:szCs w:val="22"/>
        </w:rPr>
        <w:t>on</w:t>
      </w:r>
      <w:r w:rsidR="17BCDE1E" w:rsidRPr="00417E18">
        <w:rPr>
          <w:rFonts w:eastAsia="Calibri" w:cs="Calibri"/>
          <w:noProof/>
          <w:sz w:val="22"/>
          <w:szCs w:val="22"/>
        </w:rPr>
        <w:t xml:space="preserve"> to the US</w:t>
      </w:r>
      <w:r w:rsidRPr="00417E18">
        <w:rPr>
          <w:rFonts w:eastAsia="Calibri" w:cs="Calibri"/>
          <w:noProof/>
          <w:sz w:val="22"/>
          <w:szCs w:val="22"/>
        </w:rPr>
        <w:t>.</w:t>
      </w:r>
      <w:r w:rsidR="752E6AC1" w:rsidRPr="00417E18">
        <w:rPr>
          <w:rFonts w:eastAsia="Calibri" w:cs="Calibri"/>
          <w:noProof/>
          <w:color w:val="000000" w:themeColor="text1"/>
          <w:sz w:val="22"/>
          <w:szCs w:val="22"/>
        </w:rPr>
        <w:t xml:space="preserve"> </w:t>
      </w:r>
    </w:p>
    <w:p w14:paraId="7C9683D6" w14:textId="5A4320A9" w:rsidR="7AF0B598" w:rsidRPr="00417E18" w:rsidRDefault="7AF0B598" w:rsidP="3A5F48C0">
      <w:pPr>
        <w:spacing w:before="0" w:after="160" w:line="257" w:lineRule="auto"/>
        <w:rPr>
          <w:rFonts w:eastAsia="Calibri" w:cs="Calibri"/>
          <w:noProof/>
          <w:sz w:val="22"/>
          <w:szCs w:val="22"/>
        </w:rPr>
      </w:pPr>
      <w:r w:rsidRPr="00417E18">
        <w:rPr>
          <w:rFonts w:eastAsia="Calibri" w:cs="Calibri"/>
          <w:noProof/>
          <w:sz w:val="22"/>
          <w:szCs w:val="22"/>
        </w:rPr>
        <w:t xml:space="preserve">Compounding this issue is the fragmentation of Europe’s capital markets that the EU’s Saving and Investment Union Strategy </w:t>
      </w:r>
      <w:r w:rsidR="009217EC" w:rsidRPr="07868930">
        <w:rPr>
          <w:rFonts w:eastAsia="Calibri" w:cs="Calibri"/>
          <w:noProof/>
          <w:sz w:val="22"/>
          <w:szCs w:val="22"/>
        </w:rPr>
        <w:t>seeks</w:t>
      </w:r>
      <w:r w:rsidR="009217EC" w:rsidRPr="0C856F1D">
        <w:rPr>
          <w:rFonts w:eastAsia="Calibri" w:cs="Calibri"/>
          <w:noProof/>
          <w:sz w:val="22"/>
          <w:szCs w:val="22"/>
        </w:rPr>
        <w:t xml:space="preserve"> to address</w:t>
      </w:r>
      <w:r w:rsidRPr="00417E18">
        <w:rPr>
          <w:rFonts w:eastAsia="Calibri" w:cs="Calibri"/>
          <w:noProof/>
          <w:sz w:val="22"/>
          <w:szCs w:val="22"/>
        </w:rPr>
        <w:t>.</w:t>
      </w:r>
    </w:p>
    <w:p w14:paraId="342CCDC3" w14:textId="4019E002" w:rsidR="7AF0B598" w:rsidRPr="00417E18" w:rsidRDefault="7AF0B598">
      <w:pPr>
        <w:spacing w:before="0" w:after="160" w:line="257" w:lineRule="auto"/>
        <w:rPr>
          <w:rFonts w:eastAsia="Calibri" w:cs="Calibri"/>
          <w:noProof/>
          <w:sz w:val="22"/>
          <w:szCs w:val="22"/>
        </w:rPr>
      </w:pPr>
      <w:r w:rsidRPr="00417E18">
        <w:rPr>
          <w:rFonts w:eastAsia="Calibri" w:cs="Calibri"/>
          <w:noProof/>
          <w:sz w:val="22"/>
          <w:szCs w:val="22"/>
        </w:rPr>
        <w:t xml:space="preserve">Another hurdle is Europe’s volume of </w:t>
      </w:r>
      <w:r w:rsidRPr="00417E18">
        <w:rPr>
          <w:rFonts w:eastAsia="Calibri" w:cs="Calibri"/>
          <w:b/>
          <w:bCs/>
          <w:noProof/>
          <w:sz w:val="22"/>
          <w:szCs w:val="22"/>
        </w:rPr>
        <w:t>spinoff creation and related tech transfer policies</w:t>
      </w:r>
      <w:r w:rsidRPr="00417E18">
        <w:rPr>
          <w:rFonts w:eastAsia="Calibri" w:cs="Calibri"/>
          <w:noProof/>
          <w:sz w:val="22"/>
          <w:szCs w:val="22"/>
        </w:rPr>
        <w:t xml:space="preserve">, which can prevent groundbreaking research from reaching the market. The EU </w:t>
      </w:r>
      <w:r w:rsidR="00CB4D34" w:rsidRPr="0C856F1D">
        <w:rPr>
          <w:rFonts w:eastAsia="Calibri" w:cs="Calibri"/>
          <w:noProof/>
          <w:sz w:val="22"/>
          <w:szCs w:val="22"/>
        </w:rPr>
        <w:t>remains</w:t>
      </w:r>
      <w:r w:rsidRPr="00417E18">
        <w:rPr>
          <w:rFonts w:eastAsia="Calibri" w:cs="Calibri"/>
          <w:noProof/>
          <w:sz w:val="22"/>
          <w:szCs w:val="22"/>
        </w:rPr>
        <w:t xml:space="preserve"> a global leader in R&amp;D, with world-class universities and corporate labs, </w:t>
      </w:r>
      <w:r w:rsidR="00CB4D34" w:rsidRPr="0C856F1D">
        <w:rPr>
          <w:rFonts w:eastAsia="Calibri" w:cs="Calibri"/>
          <w:noProof/>
          <w:sz w:val="22"/>
          <w:szCs w:val="22"/>
        </w:rPr>
        <w:t xml:space="preserve">but </w:t>
      </w:r>
      <w:r w:rsidRPr="0C856F1D">
        <w:rPr>
          <w:rFonts w:eastAsia="Calibri" w:cs="Calibri"/>
          <w:noProof/>
          <w:sz w:val="22"/>
          <w:szCs w:val="22"/>
        </w:rPr>
        <w:t xml:space="preserve">it </w:t>
      </w:r>
      <w:r w:rsidR="00CB4D34" w:rsidRPr="0C856F1D">
        <w:rPr>
          <w:rFonts w:eastAsia="Calibri" w:cs="Calibri"/>
          <w:noProof/>
          <w:sz w:val="22"/>
          <w:szCs w:val="22"/>
        </w:rPr>
        <w:t>still</w:t>
      </w:r>
      <w:r w:rsidRPr="00417E18">
        <w:rPr>
          <w:rFonts w:eastAsia="Calibri" w:cs="Calibri"/>
          <w:noProof/>
          <w:sz w:val="22"/>
          <w:szCs w:val="22"/>
        </w:rPr>
        <w:t xml:space="preserve"> lags the US in commercialising innovation. Many European universities have historically retained excessive ownership of intellectual property (IP) developed by researchers</w:t>
      </w:r>
      <w:r w:rsidR="00401539" w:rsidRPr="0C856F1D">
        <w:rPr>
          <w:rFonts w:eastAsia="Calibri" w:cs="Calibri"/>
          <w:noProof/>
          <w:sz w:val="22"/>
          <w:szCs w:val="22"/>
        </w:rPr>
        <w:t>,</w:t>
      </w:r>
      <w:r w:rsidR="00DC7A1D" w:rsidRPr="0C856F1D">
        <w:rPr>
          <w:rFonts w:eastAsia="Calibri" w:cs="Calibri"/>
          <w:noProof/>
          <w:sz w:val="22"/>
          <w:szCs w:val="22"/>
        </w:rPr>
        <w:t xml:space="preserve"> </w:t>
      </w:r>
      <w:r w:rsidRPr="0C856F1D">
        <w:rPr>
          <w:rFonts w:eastAsia="Calibri" w:cs="Calibri"/>
          <w:noProof/>
          <w:sz w:val="22"/>
          <w:szCs w:val="22"/>
        </w:rPr>
        <w:t>discourag</w:t>
      </w:r>
      <w:r w:rsidR="00401539" w:rsidRPr="0C856F1D">
        <w:rPr>
          <w:rFonts w:eastAsia="Calibri" w:cs="Calibri"/>
          <w:noProof/>
          <w:sz w:val="22"/>
          <w:szCs w:val="22"/>
        </w:rPr>
        <w:t>ing</w:t>
      </w:r>
      <w:r w:rsidRPr="00417E18">
        <w:rPr>
          <w:rFonts w:eastAsia="Calibri" w:cs="Calibri"/>
          <w:noProof/>
          <w:sz w:val="22"/>
          <w:szCs w:val="22"/>
        </w:rPr>
        <w:t xml:space="preserve"> academics </w:t>
      </w:r>
      <w:r w:rsidR="00401539" w:rsidRPr="0C856F1D">
        <w:rPr>
          <w:rFonts w:eastAsia="Calibri" w:cs="Calibri"/>
          <w:noProof/>
          <w:sz w:val="22"/>
          <w:szCs w:val="22"/>
        </w:rPr>
        <w:t xml:space="preserve">from </w:t>
      </w:r>
      <w:r w:rsidRPr="0C856F1D">
        <w:rPr>
          <w:rFonts w:eastAsia="Calibri" w:cs="Calibri"/>
          <w:noProof/>
          <w:sz w:val="22"/>
          <w:szCs w:val="22"/>
        </w:rPr>
        <w:t>launch</w:t>
      </w:r>
      <w:r w:rsidR="00401539" w:rsidRPr="0C856F1D">
        <w:rPr>
          <w:rFonts w:eastAsia="Calibri" w:cs="Calibri"/>
          <w:noProof/>
          <w:sz w:val="22"/>
          <w:szCs w:val="22"/>
        </w:rPr>
        <w:t>ing</w:t>
      </w:r>
      <w:r w:rsidRPr="00417E18">
        <w:rPr>
          <w:rFonts w:eastAsia="Calibri" w:cs="Calibri"/>
          <w:noProof/>
          <w:sz w:val="22"/>
          <w:szCs w:val="22"/>
        </w:rPr>
        <w:t xml:space="preserve"> spinoffs, although recent years </w:t>
      </w:r>
      <w:r w:rsidR="00401539" w:rsidRPr="0C856F1D">
        <w:rPr>
          <w:rFonts w:eastAsia="Calibri" w:cs="Calibri"/>
          <w:noProof/>
          <w:sz w:val="22"/>
          <w:szCs w:val="22"/>
        </w:rPr>
        <w:t xml:space="preserve">have </w:t>
      </w:r>
      <w:r w:rsidR="00401539" w:rsidRPr="07868930">
        <w:rPr>
          <w:rFonts w:eastAsia="Calibri" w:cs="Calibri"/>
          <w:noProof/>
          <w:sz w:val="22"/>
          <w:szCs w:val="22"/>
        </w:rPr>
        <w:t>s</w:t>
      </w:r>
      <w:r w:rsidRPr="07868930">
        <w:rPr>
          <w:rFonts w:eastAsia="Calibri" w:cs="Calibri"/>
          <w:noProof/>
          <w:sz w:val="22"/>
          <w:szCs w:val="22"/>
        </w:rPr>
        <w:t>een</w:t>
      </w:r>
      <w:r w:rsidRPr="00417E18">
        <w:rPr>
          <w:rFonts w:eastAsia="Calibri" w:cs="Calibri"/>
          <w:noProof/>
          <w:sz w:val="22"/>
          <w:szCs w:val="22"/>
        </w:rPr>
        <w:t xml:space="preserve"> encouraging progress in this </w:t>
      </w:r>
      <w:r w:rsidR="00401539" w:rsidRPr="07868930">
        <w:rPr>
          <w:rFonts w:eastAsia="Calibri" w:cs="Calibri"/>
          <w:noProof/>
          <w:sz w:val="22"/>
          <w:szCs w:val="22"/>
        </w:rPr>
        <w:t>area</w:t>
      </w:r>
      <w:r w:rsidRPr="07868930">
        <w:rPr>
          <w:rFonts w:eastAsia="Calibri" w:cs="Calibri"/>
          <w:noProof/>
          <w:sz w:val="22"/>
          <w:szCs w:val="22"/>
        </w:rPr>
        <w:t>.</w:t>
      </w:r>
      <w:r w:rsidRPr="00417E18">
        <w:rPr>
          <w:rFonts w:eastAsia="Calibri" w:cs="Calibri"/>
          <w:noProof/>
          <w:sz w:val="22"/>
          <w:szCs w:val="22"/>
        </w:rPr>
        <w:t xml:space="preserve"> When spinoffs do emerge, they often lack the funding, mentorship, or business expertise needed to scale.</w:t>
      </w:r>
    </w:p>
    <w:p w14:paraId="0B5287DF" w14:textId="77777777" w:rsidR="005B2AEE" w:rsidRPr="00417E18" w:rsidRDefault="005B2AEE" w:rsidP="005B2AEE">
      <w:pPr>
        <w:rPr>
          <w:rFonts w:eastAsia="Calibri" w:cs="Calibri"/>
          <w:noProof/>
          <w:color w:val="000000" w:themeColor="text1"/>
          <w:sz w:val="22"/>
          <w:szCs w:val="22"/>
        </w:rPr>
      </w:pPr>
      <w:r w:rsidRPr="00417E18">
        <w:rPr>
          <w:rFonts w:eastAsia="Calibri" w:cs="Calibri"/>
          <w:noProof/>
          <w:color w:val="000000" w:themeColor="text1"/>
          <w:sz w:val="22"/>
          <w:szCs w:val="22"/>
        </w:rPr>
        <w:t>Progress on tech transfer is systematically measured by the European Startup Network Alliance (ESNA) through its “Existence of Policies for Smooth Tech Transfer” indicator.</w:t>
      </w:r>
    </w:p>
    <w:p w14:paraId="3D1DC9EF" w14:textId="052253CD" w:rsidR="005B2AEE" w:rsidRPr="00417E18" w:rsidRDefault="40436015" w:rsidP="50A16846">
      <w:pPr>
        <w:spacing w:before="0" w:after="160"/>
        <w:rPr>
          <w:rFonts w:eastAsia="Calibri" w:cs="Calibri"/>
          <w:noProof/>
          <w:color w:val="000000" w:themeColor="text1"/>
          <w:sz w:val="22"/>
          <w:szCs w:val="22"/>
        </w:rPr>
      </w:pPr>
      <w:r w:rsidRPr="00417E18">
        <w:rPr>
          <w:rFonts w:eastAsia="Calibri" w:cs="Calibri"/>
          <w:noProof/>
          <w:color w:val="000000" w:themeColor="text1"/>
          <w:sz w:val="22"/>
          <w:szCs w:val="22"/>
        </w:rPr>
        <w:t>While ESNA’s indicator shows Member States progressing in the aggregate, towards a “full” policy framework for spinoffs and tech transfer, there remain several opportunities to improve the conditions for spin-off creation and subsequent market grow</w:t>
      </w:r>
      <w:r w:rsidR="006F0981">
        <w:rPr>
          <w:rFonts w:eastAsia="Calibri" w:cs="Calibri"/>
          <w:noProof/>
          <w:color w:val="000000" w:themeColor="text1"/>
          <w:sz w:val="22"/>
          <w:szCs w:val="22"/>
        </w:rPr>
        <w:t>th</w:t>
      </w:r>
      <w:r w:rsidRPr="00417E18">
        <w:rPr>
          <w:rFonts w:eastAsia="Calibri" w:cs="Calibri"/>
          <w:noProof/>
          <w:color w:val="000000" w:themeColor="text1"/>
          <w:sz w:val="22"/>
          <w:szCs w:val="22"/>
        </w:rPr>
        <w:t xml:space="preserve">. </w:t>
      </w:r>
      <w:r w:rsidR="7F9D3325" w:rsidRPr="00417E18">
        <w:rPr>
          <w:rFonts w:eastAsia="Calibri" w:cs="Calibri"/>
          <w:noProof/>
          <w:color w:val="000000" w:themeColor="text1"/>
          <w:sz w:val="22"/>
          <w:szCs w:val="22"/>
        </w:rPr>
        <w:t xml:space="preserve">For example, Member </w:t>
      </w:r>
      <w:r w:rsidR="00003979" w:rsidRPr="07868930">
        <w:rPr>
          <w:rFonts w:eastAsia="Calibri" w:cs="Calibri"/>
          <w:noProof/>
          <w:color w:val="000000" w:themeColor="text1"/>
          <w:sz w:val="22"/>
          <w:szCs w:val="22"/>
        </w:rPr>
        <w:t>S</w:t>
      </w:r>
      <w:r w:rsidR="7F9D3325" w:rsidRPr="07868930">
        <w:rPr>
          <w:rFonts w:eastAsia="Calibri" w:cs="Calibri"/>
          <w:noProof/>
          <w:color w:val="000000" w:themeColor="text1"/>
          <w:sz w:val="22"/>
          <w:szCs w:val="22"/>
        </w:rPr>
        <w:t>tates</w:t>
      </w:r>
      <w:r w:rsidR="7F9D3325" w:rsidRPr="00417E18">
        <w:rPr>
          <w:rFonts w:eastAsia="Calibri" w:cs="Calibri"/>
          <w:noProof/>
          <w:color w:val="000000" w:themeColor="text1"/>
          <w:sz w:val="22"/>
          <w:szCs w:val="22"/>
        </w:rPr>
        <w:t xml:space="preserve"> could further </w:t>
      </w:r>
      <w:r w:rsidR="51AA6CF3" w:rsidRPr="00417E18">
        <w:rPr>
          <w:rFonts w:eastAsia="Calibri" w:cs="Calibri"/>
          <w:noProof/>
          <w:color w:val="000000" w:themeColor="text1"/>
          <w:sz w:val="22"/>
          <w:szCs w:val="22"/>
        </w:rPr>
        <w:t>enhance</w:t>
      </w:r>
      <w:r w:rsidR="7F9D3325" w:rsidRPr="00417E18">
        <w:rPr>
          <w:rFonts w:eastAsia="Calibri" w:cs="Calibri"/>
          <w:noProof/>
          <w:color w:val="000000" w:themeColor="text1"/>
          <w:sz w:val="22"/>
          <w:szCs w:val="22"/>
        </w:rPr>
        <w:t xml:space="preserve"> conditions by: </w:t>
      </w:r>
    </w:p>
    <w:p w14:paraId="78B002C9" w14:textId="254FB32A" w:rsidR="005B2AEE" w:rsidRPr="00417E18" w:rsidRDefault="005B2AEE" w:rsidP="00F36E2D">
      <w:pPr>
        <w:pStyle w:val="ListParagraph"/>
        <w:numPr>
          <w:ilvl w:val="0"/>
          <w:numId w:val="13"/>
        </w:numPr>
        <w:spacing w:before="0" w:after="160"/>
        <w:rPr>
          <w:rFonts w:eastAsia="Calibri" w:cs="Calibri"/>
          <w:noProof/>
          <w:color w:val="000000" w:themeColor="text1"/>
          <w:sz w:val="22"/>
          <w:szCs w:val="22"/>
        </w:rPr>
      </w:pPr>
      <w:r w:rsidRPr="00417E18">
        <w:rPr>
          <w:rFonts w:eastAsia="Calibri" w:cs="Calibri"/>
          <w:noProof/>
          <w:color w:val="000000" w:themeColor="text1"/>
          <w:sz w:val="22"/>
          <w:szCs w:val="22"/>
        </w:rPr>
        <w:t>Mobilising government co-funding (grants, loan guarantees, or equity investments) for early-stage spin-offs to reduce risk for private investors.</w:t>
      </w:r>
    </w:p>
    <w:p w14:paraId="1367E0F1" w14:textId="388360E8" w:rsidR="005B2AEE" w:rsidRPr="00417E18" w:rsidRDefault="005B2AEE" w:rsidP="00F36E2D">
      <w:pPr>
        <w:pStyle w:val="ListParagraph"/>
        <w:numPr>
          <w:ilvl w:val="0"/>
          <w:numId w:val="12"/>
        </w:numPr>
        <w:spacing w:before="0" w:after="160"/>
        <w:rPr>
          <w:rFonts w:eastAsia="Calibri" w:cs="Calibri"/>
          <w:noProof/>
          <w:color w:val="000000" w:themeColor="text1"/>
          <w:sz w:val="22"/>
          <w:szCs w:val="22"/>
        </w:rPr>
      </w:pPr>
      <w:r w:rsidRPr="00417E18">
        <w:rPr>
          <w:rFonts w:eastAsia="Calibri" w:cs="Calibri"/>
          <w:noProof/>
          <w:color w:val="000000" w:themeColor="text1"/>
          <w:sz w:val="22"/>
          <w:szCs w:val="22"/>
        </w:rPr>
        <w:t xml:space="preserve">Encouraging </w:t>
      </w:r>
      <w:r w:rsidR="00E0493D">
        <w:rPr>
          <w:rFonts w:eastAsia="Calibri" w:cs="Calibri"/>
          <w:noProof/>
          <w:color w:val="000000" w:themeColor="text1"/>
          <w:sz w:val="22"/>
          <w:szCs w:val="22"/>
        </w:rPr>
        <w:t>undertakings of all sizes</w:t>
      </w:r>
      <w:r w:rsidR="00A93DBC" w:rsidRPr="00417E18">
        <w:rPr>
          <w:rFonts w:eastAsia="Calibri" w:cs="Calibri"/>
          <w:noProof/>
          <w:color w:val="000000" w:themeColor="text1"/>
          <w:sz w:val="22"/>
          <w:szCs w:val="22"/>
        </w:rPr>
        <w:t xml:space="preserve"> </w:t>
      </w:r>
      <w:r w:rsidRPr="00417E18">
        <w:rPr>
          <w:rFonts w:eastAsia="Calibri" w:cs="Calibri"/>
          <w:noProof/>
          <w:color w:val="000000" w:themeColor="text1"/>
          <w:sz w:val="22"/>
          <w:szCs w:val="22"/>
        </w:rPr>
        <w:t>to invest in spin-offs through tax incentives, government grants, or direct partnerships</w:t>
      </w:r>
    </w:p>
    <w:p w14:paraId="132D4436" w14:textId="06E47BE8" w:rsidR="005B2AEE" w:rsidRPr="00417E18" w:rsidRDefault="005B2AEE" w:rsidP="00F36E2D">
      <w:pPr>
        <w:pStyle w:val="ListParagraph"/>
        <w:numPr>
          <w:ilvl w:val="0"/>
          <w:numId w:val="12"/>
        </w:numPr>
        <w:spacing w:before="0" w:after="160"/>
        <w:rPr>
          <w:rFonts w:eastAsia="Calibri" w:cs="Calibri"/>
          <w:noProof/>
          <w:color w:val="000000" w:themeColor="text1"/>
          <w:sz w:val="22"/>
          <w:szCs w:val="22"/>
        </w:rPr>
      </w:pPr>
      <w:r w:rsidRPr="00417E18">
        <w:rPr>
          <w:rFonts w:eastAsia="Calibri" w:cs="Calibri"/>
          <w:noProof/>
          <w:color w:val="000000" w:themeColor="text1"/>
          <w:sz w:val="22"/>
          <w:szCs w:val="22"/>
        </w:rPr>
        <w:t>Launching national or regional initiatives to encourage entrepreneurs (for example experienced startup founders) to work more closely with university researchers and contribute their expertise (including but not limited to mentoring of researchers open to entrepreneurial paths).</w:t>
      </w:r>
    </w:p>
    <w:p w14:paraId="4B7B2C46" w14:textId="66B93772" w:rsidR="7AF0B598" w:rsidRPr="00417E18" w:rsidRDefault="7AF0B598">
      <w:pPr>
        <w:spacing w:before="0" w:after="160" w:line="257" w:lineRule="auto"/>
        <w:rPr>
          <w:rFonts w:eastAsia="Calibri" w:cs="Calibri"/>
          <w:noProof/>
          <w:sz w:val="22"/>
          <w:szCs w:val="22"/>
        </w:rPr>
      </w:pPr>
      <w:r w:rsidRPr="00417E18">
        <w:rPr>
          <w:rFonts w:eastAsia="Calibri" w:cs="Calibri"/>
          <w:noProof/>
          <w:sz w:val="22"/>
          <w:szCs w:val="22"/>
        </w:rPr>
        <w:t xml:space="preserve">Another barrier is the difficulties EU startups face in accessing </w:t>
      </w:r>
      <w:r w:rsidRPr="00417E18">
        <w:rPr>
          <w:rFonts w:eastAsia="Calibri" w:cs="Calibri"/>
          <w:b/>
          <w:bCs/>
          <w:noProof/>
          <w:sz w:val="22"/>
          <w:szCs w:val="22"/>
        </w:rPr>
        <w:t>public procurement markets</w:t>
      </w:r>
      <w:r w:rsidRPr="00417E18">
        <w:rPr>
          <w:rFonts w:eastAsia="Calibri" w:cs="Calibri"/>
          <w:noProof/>
          <w:sz w:val="22"/>
          <w:szCs w:val="22"/>
        </w:rPr>
        <w:t xml:space="preserve">, which represent a </w:t>
      </w:r>
      <w:r w:rsidR="00D472B0" w:rsidRPr="006022C0">
        <w:rPr>
          <w:rFonts w:eastAsia="Calibri" w:cs="Calibri"/>
          <w:noProof/>
          <w:sz w:val="22"/>
          <w:szCs w:val="22"/>
        </w:rPr>
        <w:t xml:space="preserve">EUR </w:t>
      </w:r>
      <w:r w:rsidRPr="00417E18">
        <w:rPr>
          <w:rFonts w:eastAsia="Calibri" w:cs="Calibri"/>
          <w:noProof/>
          <w:sz w:val="22"/>
          <w:szCs w:val="22"/>
        </w:rPr>
        <w:t xml:space="preserve">2 trillion annual opportunity. Despite their innovative potential, SMEs and startups win less than 10% of public contracts, often because procurement rules </w:t>
      </w:r>
      <w:r w:rsidR="00003979" w:rsidRPr="0C856F1D">
        <w:rPr>
          <w:rFonts w:eastAsia="Calibri" w:cs="Calibri"/>
          <w:noProof/>
          <w:sz w:val="22"/>
          <w:szCs w:val="22"/>
        </w:rPr>
        <w:t xml:space="preserve">and tender procedures </w:t>
      </w:r>
      <w:r w:rsidRPr="00417E18">
        <w:rPr>
          <w:rFonts w:eastAsia="Calibri" w:cs="Calibri"/>
          <w:noProof/>
          <w:sz w:val="22"/>
          <w:szCs w:val="22"/>
        </w:rPr>
        <w:t xml:space="preserve">are designed </w:t>
      </w:r>
      <w:r w:rsidR="0022712D" w:rsidRPr="0C856F1D">
        <w:rPr>
          <w:rFonts w:eastAsia="Calibri" w:cs="Calibri"/>
          <w:noProof/>
          <w:sz w:val="22"/>
          <w:szCs w:val="22"/>
        </w:rPr>
        <w:t xml:space="preserve">in ways that favour </w:t>
      </w:r>
      <w:r w:rsidRPr="00417E18">
        <w:rPr>
          <w:rFonts w:eastAsia="Calibri" w:cs="Calibri"/>
          <w:noProof/>
          <w:sz w:val="22"/>
          <w:szCs w:val="22"/>
        </w:rPr>
        <w:t>large incumbents</w:t>
      </w:r>
      <w:r w:rsidRPr="07868930">
        <w:rPr>
          <w:rFonts w:eastAsia="Calibri" w:cs="Calibri"/>
          <w:noProof/>
          <w:sz w:val="22"/>
          <w:szCs w:val="22"/>
        </w:rPr>
        <w:t xml:space="preserve">. </w:t>
      </w:r>
      <w:r w:rsidR="0022712D" w:rsidRPr="07868930">
        <w:rPr>
          <w:rFonts w:eastAsia="Calibri" w:cs="Calibri"/>
          <w:noProof/>
          <w:sz w:val="22"/>
          <w:szCs w:val="22"/>
        </w:rPr>
        <w:t>In</w:t>
      </w:r>
      <w:r w:rsidR="0022712D" w:rsidRPr="0C856F1D">
        <w:rPr>
          <w:rFonts w:eastAsia="Calibri" w:cs="Calibri"/>
          <w:noProof/>
          <w:sz w:val="22"/>
          <w:szCs w:val="22"/>
        </w:rPr>
        <w:t xml:space="preserve"> practice, these </w:t>
      </w:r>
      <w:r w:rsidRPr="00417E18">
        <w:rPr>
          <w:rFonts w:eastAsia="Calibri" w:cs="Calibri"/>
          <w:noProof/>
          <w:sz w:val="22"/>
          <w:szCs w:val="22"/>
        </w:rPr>
        <w:t>processes</w:t>
      </w:r>
      <w:r w:rsidR="0022712D" w:rsidRPr="0C856F1D">
        <w:rPr>
          <w:rFonts w:eastAsia="Calibri" w:cs="Calibri"/>
          <w:noProof/>
          <w:sz w:val="22"/>
          <w:szCs w:val="22"/>
        </w:rPr>
        <w:t xml:space="preserve"> tend</w:t>
      </w:r>
      <w:r w:rsidRPr="00417E18">
        <w:rPr>
          <w:rFonts w:eastAsia="Calibri" w:cs="Calibri"/>
          <w:noProof/>
          <w:sz w:val="22"/>
          <w:szCs w:val="22"/>
        </w:rPr>
        <w:t xml:space="preserve"> to </w:t>
      </w:r>
      <w:r w:rsidR="0022712D" w:rsidRPr="0C856F1D">
        <w:rPr>
          <w:rFonts w:eastAsia="Calibri" w:cs="Calibri"/>
          <w:noProof/>
          <w:sz w:val="22"/>
          <w:szCs w:val="22"/>
        </w:rPr>
        <w:t>reward</w:t>
      </w:r>
      <w:r w:rsidRPr="00417E18">
        <w:rPr>
          <w:rFonts w:eastAsia="Calibri" w:cs="Calibri"/>
          <w:noProof/>
          <w:sz w:val="22"/>
          <w:szCs w:val="22"/>
        </w:rPr>
        <w:t xml:space="preserve"> companies with long track records</w:t>
      </w:r>
      <w:r w:rsidR="0010707E" w:rsidRPr="0C856F1D">
        <w:rPr>
          <w:rFonts w:eastAsia="Calibri" w:cs="Calibri"/>
          <w:noProof/>
          <w:sz w:val="22"/>
          <w:szCs w:val="22"/>
        </w:rPr>
        <w:t xml:space="preserve"> rather than</w:t>
      </w:r>
      <w:r w:rsidRPr="00417E18">
        <w:rPr>
          <w:rFonts w:eastAsia="Calibri" w:cs="Calibri"/>
          <w:noProof/>
          <w:sz w:val="22"/>
          <w:szCs w:val="22"/>
        </w:rPr>
        <w:t xml:space="preserve"> younger</w:t>
      </w:r>
      <w:r w:rsidR="0010707E" w:rsidRPr="0C856F1D">
        <w:rPr>
          <w:rFonts w:eastAsia="Calibri" w:cs="Calibri"/>
          <w:noProof/>
          <w:sz w:val="22"/>
          <w:szCs w:val="22"/>
        </w:rPr>
        <w:t xml:space="preserve"> and</w:t>
      </w:r>
      <w:r w:rsidRPr="00417E18">
        <w:rPr>
          <w:rFonts w:eastAsia="Calibri" w:cs="Calibri"/>
          <w:noProof/>
          <w:sz w:val="22"/>
          <w:szCs w:val="22"/>
        </w:rPr>
        <w:t xml:space="preserve"> more agile firms.</w:t>
      </w:r>
    </w:p>
    <w:tbl>
      <w:tblPr>
        <w:tblStyle w:val="TableGrid"/>
        <w:tblW w:w="0" w:type="auto"/>
        <w:tblLook w:val="06A0" w:firstRow="1" w:lastRow="0" w:firstColumn="1" w:lastColumn="0" w:noHBand="1" w:noVBand="1"/>
      </w:tblPr>
      <w:tblGrid>
        <w:gridCol w:w="9350"/>
      </w:tblGrid>
      <w:tr w:rsidR="39D20677" w:rsidRPr="00417E18" w14:paraId="638C3907" w14:textId="77777777" w:rsidTr="004F7C89">
        <w:trPr>
          <w:trHeight w:val="300"/>
        </w:trPr>
        <w:tc>
          <w:tcPr>
            <w:tcW w:w="9350" w:type="dxa"/>
            <w:shd w:val="clear" w:color="auto" w:fill="D4F1EE"/>
          </w:tcPr>
          <w:p w14:paraId="4D76AFAE" w14:textId="77777777" w:rsidR="006B7C12" w:rsidRPr="00417E18" w:rsidRDefault="006B7C12" w:rsidP="006B7C12">
            <w:pPr>
              <w:rPr>
                <w:b/>
                <w:bCs/>
                <w:noProof/>
              </w:rPr>
            </w:pPr>
            <w:r w:rsidRPr="0E1EC96E">
              <w:rPr>
                <w:b/>
                <w:bCs/>
                <w:noProof/>
              </w:rPr>
              <w:t xml:space="preserve">Recommendation: </w:t>
            </w:r>
          </w:p>
          <w:p w14:paraId="628979F1" w14:textId="3697E63D" w:rsidR="1E5C2939" w:rsidRPr="00417E18" w:rsidRDefault="0B443CB6" w:rsidP="00AF3B8F">
            <w:pPr>
              <w:spacing w:before="60" w:after="120" w:line="257" w:lineRule="auto"/>
              <w:rPr>
                <w:rFonts w:eastAsia="Calibri" w:cs="Calibri"/>
                <w:noProof/>
              </w:rPr>
            </w:pPr>
            <w:r w:rsidRPr="00417E18">
              <w:rPr>
                <w:rFonts w:eastAsia="Calibri" w:cs="Calibri"/>
                <w:noProof/>
              </w:rPr>
              <w:t>Member States should close the European scale-up gap, by:</w:t>
            </w:r>
          </w:p>
          <w:p w14:paraId="5437E5A1" w14:textId="71AD44A2" w:rsidR="0B443CB6" w:rsidRPr="00417E18" w:rsidRDefault="0B443CB6" w:rsidP="00F36E2D">
            <w:pPr>
              <w:pStyle w:val="ListParagraph"/>
              <w:numPr>
                <w:ilvl w:val="0"/>
                <w:numId w:val="26"/>
              </w:numPr>
              <w:spacing w:before="60" w:after="120" w:line="278" w:lineRule="auto"/>
              <w:ind w:left="714" w:hanging="357"/>
              <w:contextualSpacing w:val="0"/>
              <w:rPr>
                <w:rFonts w:eastAsia="Calibri" w:cs="Calibri"/>
                <w:noProof/>
              </w:rPr>
            </w:pPr>
            <w:r w:rsidRPr="00417E18">
              <w:rPr>
                <w:rFonts w:eastAsia="Calibri" w:cs="Calibri"/>
                <w:noProof/>
              </w:rPr>
              <w:t>actively addressing the shortage of European capital for large investment rounds (above EUR 100 million), through public funding allocated to existing or new investment vehicles, including pan-regional funds, with EIB and EIF support, or by joining existing initiatives such as the European Tech Champions Initiative (ETCI 2.0);</w:t>
            </w:r>
          </w:p>
          <w:p w14:paraId="1638FA7C" w14:textId="545DA521" w:rsidR="0B443CB6" w:rsidRPr="00417E18" w:rsidRDefault="0B443CB6" w:rsidP="00F36E2D">
            <w:pPr>
              <w:pStyle w:val="ListParagraph"/>
              <w:numPr>
                <w:ilvl w:val="0"/>
                <w:numId w:val="26"/>
              </w:numPr>
              <w:spacing w:before="60" w:after="120" w:line="278" w:lineRule="auto"/>
              <w:ind w:left="714" w:hanging="357"/>
              <w:contextualSpacing w:val="0"/>
              <w:rPr>
                <w:rFonts w:eastAsia="Calibri" w:cs="Calibri"/>
                <w:noProof/>
              </w:rPr>
            </w:pPr>
            <w:r w:rsidRPr="00417E18">
              <w:rPr>
                <w:rFonts w:eastAsia="Calibri" w:cs="Calibri"/>
                <w:noProof/>
              </w:rPr>
              <w:t>initiating public-private partnerships that offer partial guarantees or shared-risk models to facilitate pension fund investment in start-ups and scale-ups;</w:t>
            </w:r>
          </w:p>
          <w:p w14:paraId="2C2689CF" w14:textId="08B02A42" w:rsidR="39D20677" w:rsidRPr="00642910" w:rsidRDefault="0B443CB6" w:rsidP="00F36E2D">
            <w:pPr>
              <w:pStyle w:val="ListParagraph"/>
              <w:numPr>
                <w:ilvl w:val="0"/>
                <w:numId w:val="26"/>
              </w:numPr>
              <w:spacing w:before="60" w:after="120" w:line="278" w:lineRule="auto"/>
              <w:ind w:left="714" w:hanging="357"/>
              <w:contextualSpacing w:val="0"/>
              <w:rPr>
                <w:noProof/>
              </w:rPr>
            </w:pPr>
            <w:r w:rsidRPr="00417E18">
              <w:rPr>
                <w:rFonts w:eastAsia="Calibri" w:cs="Calibri"/>
                <w:noProof/>
              </w:rPr>
              <w:t xml:space="preserve">accelerating spinoff creation and tech transfer, by mobilising government co-funding (grants, loan guarantees, equity) for early-stage spin-offs, by encouraging national </w:t>
            </w:r>
            <w:r w:rsidR="00214D8C">
              <w:rPr>
                <w:rFonts w:eastAsia="Calibri" w:cs="Calibri"/>
                <w:noProof/>
              </w:rPr>
              <w:t>leading</w:t>
            </w:r>
            <w:r w:rsidR="00E0493D">
              <w:rPr>
                <w:rFonts w:eastAsia="Calibri" w:cs="Calibri"/>
                <w:noProof/>
              </w:rPr>
              <w:t xml:space="preserve"> companies</w:t>
            </w:r>
            <w:r w:rsidR="00214D8C" w:rsidRPr="00417E18">
              <w:rPr>
                <w:rFonts w:eastAsia="Calibri" w:cs="Calibri"/>
                <w:noProof/>
              </w:rPr>
              <w:t xml:space="preserve"> </w:t>
            </w:r>
            <w:r w:rsidRPr="00417E18">
              <w:rPr>
                <w:rFonts w:eastAsia="Calibri" w:cs="Calibri"/>
                <w:noProof/>
              </w:rPr>
              <w:t>and mid-caps to invest in the spin-off ecosystem (including via tax incentives), and by mobilising experienced entrepreneurs to mentor researchers open to entrepreneurial paths.</w:t>
            </w:r>
          </w:p>
        </w:tc>
      </w:tr>
    </w:tbl>
    <w:p w14:paraId="6962389F" w14:textId="24506F7D" w:rsidR="003A53C2" w:rsidRPr="002341D1" w:rsidRDefault="4DB62358" w:rsidP="00E11929">
      <w:pPr>
        <w:pStyle w:val="Heading2"/>
        <w:numPr>
          <w:ilvl w:val="1"/>
          <w:numId w:val="40"/>
        </w:numPr>
        <w:rPr>
          <w:noProof/>
        </w:rPr>
      </w:pPr>
      <w:bookmarkStart w:id="74" w:name="_Toc226710906"/>
      <w:bookmarkStart w:id="75" w:name="_Toc1965959997"/>
      <w:bookmarkStart w:id="76" w:name="_Toc1238341164"/>
      <w:bookmarkStart w:id="77" w:name="_Toc231830061"/>
      <w:r w:rsidRPr="002341D1">
        <w:rPr>
          <w:noProof/>
        </w:rPr>
        <w:t>Ensuring security for competitive growth</w:t>
      </w:r>
      <w:bookmarkEnd w:id="74"/>
      <w:bookmarkEnd w:id="75"/>
      <w:bookmarkEnd w:id="76"/>
      <w:bookmarkEnd w:id="77"/>
    </w:p>
    <w:p w14:paraId="63FA2D0B" w14:textId="0430B274" w:rsidR="00027DD9" w:rsidRDefault="00027DD9" w:rsidP="3F589F67">
      <w:pPr>
        <w:spacing w:before="0" w:after="120" w:line="257" w:lineRule="auto"/>
        <w:rPr>
          <w:rFonts w:eastAsia="Calibri" w:cs="Calibri"/>
          <w:noProof/>
          <w:sz w:val="22"/>
          <w:szCs w:val="22"/>
        </w:rPr>
      </w:pPr>
      <w:r w:rsidRPr="0C856F1D">
        <w:rPr>
          <w:rFonts w:eastAsia="Calibri" w:cs="Calibri"/>
          <w:noProof/>
          <w:sz w:val="22"/>
          <w:szCs w:val="22"/>
        </w:rPr>
        <w:t xml:space="preserve">The </w:t>
      </w:r>
      <w:r w:rsidR="0DBDF750" w:rsidRPr="0C856F1D">
        <w:rPr>
          <w:rFonts w:eastAsia="Calibri" w:cs="Calibri"/>
          <w:noProof/>
          <w:sz w:val="22"/>
          <w:szCs w:val="22"/>
        </w:rPr>
        <w:t>global</w:t>
      </w:r>
      <w:r w:rsidRPr="00027DD9">
        <w:rPr>
          <w:rFonts w:eastAsia="Calibri" w:cs="Calibri"/>
          <w:noProof/>
          <w:sz w:val="22"/>
          <w:szCs w:val="22"/>
        </w:rPr>
        <w:t xml:space="preserve"> cybersecurity landscape is being reshaped by </w:t>
      </w:r>
      <w:r w:rsidR="00804089">
        <w:rPr>
          <w:rFonts w:eastAsia="Calibri" w:cs="Calibri"/>
          <w:noProof/>
          <w:sz w:val="22"/>
          <w:szCs w:val="22"/>
        </w:rPr>
        <w:t>growing</w:t>
      </w:r>
      <w:r w:rsidRPr="00027DD9">
        <w:rPr>
          <w:rFonts w:eastAsia="Calibri" w:cs="Calibri"/>
          <w:noProof/>
          <w:sz w:val="22"/>
          <w:szCs w:val="22"/>
        </w:rPr>
        <w:t xml:space="preserve"> geopolitical competition and concentrated digital supply chains, which create systemic vulnerabilities across global markets. </w:t>
      </w:r>
      <w:r w:rsidR="00D620A2">
        <w:rPr>
          <w:rFonts w:eastAsia="Calibri" w:cs="Calibri"/>
          <w:noProof/>
          <w:sz w:val="22"/>
          <w:szCs w:val="22"/>
        </w:rPr>
        <w:t>C</w:t>
      </w:r>
      <w:r w:rsidR="00DD23E9">
        <w:rPr>
          <w:rFonts w:eastAsia="Calibri" w:cs="Calibri"/>
          <w:noProof/>
          <w:sz w:val="22"/>
          <w:szCs w:val="22"/>
        </w:rPr>
        <w:t>ybersecurity</w:t>
      </w:r>
      <w:r w:rsidRPr="00027DD9">
        <w:rPr>
          <w:rFonts w:eastAsia="Calibri" w:cs="Calibri"/>
          <w:noProof/>
          <w:sz w:val="22"/>
          <w:szCs w:val="22"/>
        </w:rPr>
        <w:t xml:space="preserve"> is </w:t>
      </w:r>
      <w:r w:rsidR="00F26B1C">
        <w:rPr>
          <w:rFonts w:eastAsia="Calibri" w:cs="Calibri"/>
          <w:noProof/>
          <w:sz w:val="22"/>
          <w:szCs w:val="22"/>
        </w:rPr>
        <w:t>moving</w:t>
      </w:r>
      <w:r w:rsidRPr="00027DD9">
        <w:rPr>
          <w:rFonts w:eastAsia="Calibri" w:cs="Calibri"/>
          <w:noProof/>
          <w:sz w:val="22"/>
          <w:szCs w:val="22"/>
        </w:rPr>
        <w:t xml:space="preserve"> toward AI-enabled attack and defen</w:t>
      </w:r>
      <w:r w:rsidR="003A0D0D">
        <w:rPr>
          <w:rFonts w:eastAsia="Calibri" w:cs="Calibri"/>
          <w:noProof/>
          <w:sz w:val="22"/>
          <w:szCs w:val="22"/>
        </w:rPr>
        <w:t>c</w:t>
      </w:r>
      <w:r w:rsidRPr="00027DD9">
        <w:rPr>
          <w:rFonts w:eastAsia="Calibri" w:cs="Calibri"/>
          <w:noProof/>
          <w:sz w:val="22"/>
          <w:szCs w:val="22"/>
        </w:rPr>
        <w:t>e</w:t>
      </w:r>
      <w:r w:rsidR="003A0D0D">
        <w:rPr>
          <w:rFonts w:eastAsia="Calibri" w:cs="Calibri"/>
          <w:noProof/>
          <w:sz w:val="22"/>
          <w:szCs w:val="22"/>
        </w:rPr>
        <w:t xml:space="preserve"> operations</w:t>
      </w:r>
      <w:r w:rsidRPr="00027DD9">
        <w:rPr>
          <w:rFonts w:eastAsia="Calibri" w:cs="Calibri"/>
          <w:noProof/>
          <w:sz w:val="22"/>
          <w:szCs w:val="22"/>
        </w:rPr>
        <w:t xml:space="preserve">, </w:t>
      </w:r>
      <w:r w:rsidR="001F37E0" w:rsidRPr="001F37E0">
        <w:rPr>
          <w:rFonts w:eastAsia="Calibri" w:cs="Calibri"/>
          <w:noProof/>
          <w:sz w:val="22"/>
          <w:szCs w:val="22"/>
        </w:rPr>
        <w:t>with threat actors increasingly using automation, generative AI, and large-scale exploitation of cloud - edge infrastructures</w:t>
      </w:r>
      <w:r w:rsidRPr="00027DD9">
        <w:rPr>
          <w:rFonts w:eastAsia="Calibri" w:cs="Calibri"/>
          <w:noProof/>
          <w:sz w:val="22"/>
          <w:szCs w:val="22"/>
        </w:rPr>
        <w:t xml:space="preserve">. </w:t>
      </w:r>
      <w:r w:rsidR="1B96D63B" w:rsidRPr="0F534E02">
        <w:rPr>
          <w:rFonts w:eastAsia="Calibri" w:cs="Calibri"/>
          <w:noProof/>
          <w:sz w:val="22"/>
          <w:szCs w:val="22"/>
        </w:rPr>
        <w:t xml:space="preserve"> Meanwhile, advances in quantum computing require an urgent global transition toward Post-Quantum Cryptography.</w:t>
      </w:r>
    </w:p>
    <w:p w14:paraId="0BECB97D" w14:textId="27584B1A" w:rsidR="00027DD9" w:rsidRDefault="00027DD9" w:rsidP="00EB107B">
      <w:pPr>
        <w:spacing w:before="0" w:after="120" w:line="257" w:lineRule="auto"/>
        <w:rPr>
          <w:rFonts w:eastAsia="Calibri" w:cs="Calibri"/>
          <w:noProof/>
          <w:sz w:val="22"/>
          <w:szCs w:val="22"/>
        </w:rPr>
      </w:pPr>
      <w:r w:rsidRPr="00027DD9">
        <w:rPr>
          <w:rFonts w:eastAsia="Calibri" w:cs="Calibri"/>
          <w:noProof/>
          <w:sz w:val="22"/>
          <w:szCs w:val="22"/>
        </w:rPr>
        <w:t>.</w:t>
      </w:r>
    </w:p>
    <w:p w14:paraId="78F816D2" w14:textId="537F0593" w:rsidR="003A53C2" w:rsidRPr="00417E18" w:rsidDel="00933BD9" w:rsidRDefault="65F9129F">
      <w:pPr>
        <w:spacing w:before="0" w:after="120" w:line="257" w:lineRule="auto"/>
        <w:rPr>
          <w:rFonts w:eastAsia="Calibri" w:cs="Calibri"/>
          <w:noProof/>
          <w:sz w:val="22"/>
          <w:szCs w:val="22"/>
        </w:rPr>
      </w:pPr>
      <w:r w:rsidRPr="0C856F1D">
        <w:rPr>
          <w:rFonts w:eastAsia="Calibri" w:cs="Calibri"/>
          <w:noProof/>
          <w:sz w:val="22"/>
          <w:szCs w:val="22"/>
        </w:rPr>
        <w:t>Similarly, the EU is facing a cybersecurity landscape shaped by the weaponisation of AI, ransomware, growing dependence on untrusted suppliers and a chronic shortage of security expertise. Sophisticated adversaries, including both state and non-state actors, are exploiting vulnerabilities in cross-border ICT infrastructures, automated decision systems and emerging technologies. In addition, there is a clear and urgent need to ramp up efforts on Post Quantum Cryptography transition.</w:t>
      </w:r>
    </w:p>
    <w:p w14:paraId="62A30083" w14:textId="393A8AD7" w:rsidR="003A53C2" w:rsidRPr="00417E18" w:rsidDel="00933BD9" w:rsidRDefault="61372E76" w:rsidP="3CDA08CB">
      <w:pPr>
        <w:spacing w:before="0" w:after="120" w:line="257" w:lineRule="auto"/>
        <w:rPr>
          <w:rFonts w:eastAsia="Calibri" w:cs="Calibri"/>
          <w:noProof/>
          <w:sz w:val="22"/>
          <w:szCs w:val="22"/>
        </w:rPr>
      </w:pPr>
      <w:r w:rsidRPr="0C856F1D">
        <w:rPr>
          <w:rFonts w:eastAsia="Calibri" w:cs="Calibri"/>
          <w:noProof/>
          <w:sz w:val="22"/>
          <w:szCs w:val="22"/>
        </w:rPr>
        <w:t>Despite significant progress, Europe remains structurally dependent on non-EU cybersecurity suppliers, and European companies are underrepresented in global cybersecurity leadership. The European market continues to rely predominantly on non-EU industry actors.</w:t>
      </w:r>
    </w:p>
    <w:p w14:paraId="10FBA591" w14:textId="454BDEAB" w:rsidR="00563587" w:rsidRPr="00417E18" w:rsidRDefault="00563587" w:rsidP="07868930">
      <w:pPr>
        <w:spacing w:before="0" w:after="120" w:line="257" w:lineRule="auto"/>
        <w:rPr>
          <w:rFonts w:eastAsia="Calibri" w:cs="Calibri"/>
          <w:noProof/>
          <w:sz w:val="22"/>
          <w:szCs w:val="22"/>
        </w:rPr>
      </w:pPr>
      <w:r w:rsidRPr="00417E18">
        <w:rPr>
          <w:noProof/>
          <w:sz w:val="22"/>
          <w:szCs w:val="22"/>
        </w:rPr>
        <w:t xml:space="preserve">According to the Digital Decade Eurobarometer 2026, 91% of Europeans think the EU should cooperate with Member States to reinforce cybersecurity and protection </w:t>
      </w:r>
      <w:r w:rsidR="00BB606A" w:rsidRPr="07868930">
        <w:rPr>
          <w:noProof/>
          <w:sz w:val="22"/>
          <w:szCs w:val="22"/>
        </w:rPr>
        <w:t>from</w:t>
      </w:r>
      <w:r w:rsidRPr="00417E18">
        <w:rPr>
          <w:noProof/>
          <w:sz w:val="22"/>
          <w:szCs w:val="22"/>
        </w:rPr>
        <w:t xml:space="preserve"> online </w:t>
      </w:r>
      <w:r w:rsidRPr="07868930">
        <w:rPr>
          <w:noProof/>
          <w:sz w:val="22"/>
          <w:szCs w:val="22"/>
        </w:rPr>
        <w:t>threa</w:t>
      </w:r>
      <w:r w:rsidR="00BB606A" w:rsidRPr="07868930">
        <w:rPr>
          <w:noProof/>
          <w:sz w:val="22"/>
          <w:szCs w:val="22"/>
        </w:rPr>
        <w:t>t</w:t>
      </w:r>
      <w:r w:rsidRPr="07868930">
        <w:rPr>
          <w:noProof/>
          <w:sz w:val="22"/>
          <w:szCs w:val="22"/>
        </w:rPr>
        <w:t>s.</w:t>
      </w:r>
      <w:r w:rsidRPr="00417E18">
        <w:rPr>
          <w:noProof/>
          <w:sz w:val="22"/>
          <w:szCs w:val="22"/>
        </w:rPr>
        <w:t xml:space="preserve"> In addition, 86% of respondents think the EU should prioritise investments in digital infrastructure and services that are developed and controlled in Europe, and 58% of them would be willing to switch to an EU-based digital service provider even if it means slightly higher costs, pointing </w:t>
      </w:r>
      <w:r w:rsidR="0052675A">
        <w:rPr>
          <w:noProof/>
          <w:sz w:val="22"/>
          <w:szCs w:val="22"/>
        </w:rPr>
        <w:t xml:space="preserve">to </w:t>
      </w:r>
      <w:r w:rsidRPr="00417E18">
        <w:rPr>
          <w:noProof/>
          <w:sz w:val="22"/>
          <w:szCs w:val="22"/>
        </w:rPr>
        <w:t>the greater security and reliability as the main motivation</w:t>
      </w:r>
      <w:r w:rsidR="00152C8A">
        <w:rPr>
          <w:noProof/>
          <w:sz w:val="22"/>
          <w:szCs w:val="22"/>
        </w:rPr>
        <w:t xml:space="preserve"> for doing so</w:t>
      </w:r>
      <w:r w:rsidRPr="00417E18">
        <w:rPr>
          <w:noProof/>
          <w:sz w:val="22"/>
          <w:szCs w:val="22"/>
        </w:rPr>
        <w:t xml:space="preserve">. </w:t>
      </w:r>
    </w:p>
    <w:p w14:paraId="5F8279A5" w14:textId="15A02F00" w:rsidR="00F515E5" w:rsidRPr="00417E18" w:rsidRDefault="08B1BA6E" w:rsidP="07868930">
      <w:pPr>
        <w:spacing w:before="0" w:after="120" w:line="257" w:lineRule="auto"/>
        <w:rPr>
          <w:rFonts w:cs="Calibri"/>
          <w:noProof/>
          <w:sz w:val="22"/>
          <w:szCs w:val="22"/>
        </w:rPr>
      </w:pPr>
      <w:r w:rsidRPr="00417E18">
        <w:rPr>
          <w:rFonts w:cs="Calibri"/>
          <w:noProof/>
          <w:sz w:val="22"/>
          <w:szCs w:val="22"/>
        </w:rPr>
        <w:t xml:space="preserve">In their National Roadmaps, Member States reported </w:t>
      </w:r>
      <w:r w:rsidR="72C030F6" w:rsidRPr="00417E18">
        <w:rPr>
          <w:rFonts w:cs="Calibri"/>
          <w:noProof/>
          <w:sz w:val="22"/>
          <w:szCs w:val="22"/>
        </w:rPr>
        <w:t>39 m</w:t>
      </w:r>
      <w:r w:rsidRPr="00417E18">
        <w:rPr>
          <w:rFonts w:cs="Calibri"/>
          <w:noProof/>
          <w:sz w:val="22"/>
          <w:szCs w:val="22"/>
        </w:rPr>
        <w:t>easures contributing to increased cybersecurity. Almost half of these measures are dedicated exclusively to cybersecurity, with a total budget of EUR 0.</w:t>
      </w:r>
      <w:r w:rsidR="1168A7DD" w:rsidRPr="00417E18">
        <w:rPr>
          <w:rFonts w:cs="Calibri"/>
          <w:noProof/>
          <w:sz w:val="22"/>
          <w:szCs w:val="22"/>
        </w:rPr>
        <w:t>79</w:t>
      </w:r>
      <w:r w:rsidRPr="00417E18">
        <w:rPr>
          <w:rFonts w:cs="Calibri"/>
          <w:noProof/>
          <w:sz w:val="22"/>
          <w:szCs w:val="22"/>
        </w:rPr>
        <w:t xml:space="preserve"> billion. The other measures have a broader scope, aiming to support several targets across all areas, with a total budget of EUR 6</w:t>
      </w:r>
      <w:r w:rsidR="09F6B4A5" w:rsidRPr="00417E18">
        <w:rPr>
          <w:rFonts w:cs="Calibri"/>
          <w:noProof/>
          <w:sz w:val="22"/>
          <w:szCs w:val="22"/>
        </w:rPr>
        <w:t>.8</w:t>
      </w:r>
      <w:r w:rsidRPr="00417E18">
        <w:rPr>
          <w:rFonts w:cs="Calibri"/>
          <w:noProof/>
          <w:sz w:val="22"/>
          <w:szCs w:val="22"/>
        </w:rPr>
        <w:t xml:space="preserve"> billion. These initiatives often involve developing national cybersecurity strategies, establishing cybersecurity centres, boosting cybersecurity skills and strengthening cybersecurity capacities in businesses, public services and digital infrastructure. This focus is also reflected in the Member States’ roadmap adjustments.</w:t>
      </w:r>
    </w:p>
    <w:p w14:paraId="7EFFEB4F" w14:textId="27E58AE1" w:rsidR="00F515E5" w:rsidRPr="00417E18" w:rsidRDefault="72E28555" w:rsidP="00424F3B">
      <w:pPr>
        <w:spacing w:before="0"/>
        <w:rPr>
          <w:rFonts w:eastAsia="Calibri" w:cs="Calibri"/>
          <w:noProof/>
          <w:sz w:val="22"/>
          <w:szCs w:val="22"/>
        </w:rPr>
      </w:pPr>
      <w:r w:rsidRPr="00417E18">
        <w:rPr>
          <w:rFonts w:eastAsia="Calibri" w:cs="Calibri"/>
          <w:noProof/>
          <w:sz w:val="22"/>
          <w:szCs w:val="22"/>
        </w:rPr>
        <w:t xml:space="preserve">As geopolitical and economic tensions continue to intensify, cyber threats against the EU have further evolved, with espionage, pre-positioning, and disruptive operations increasingly integrated into state strategies. </w:t>
      </w:r>
      <w:r w:rsidRPr="00417E18">
        <w:rPr>
          <w:rFonts w:eastAsia="Calibri" w:cs="Calibri"/>
          <w:b/>
          <w:noProof/>
          <w:sz w:val="22"/>
          <w:szCs w:val="22"/>
        </w:rPr>
        <w:t>Cyberespionage targeting EU Member States and EU institutions remains persistent and continuous, with threat actors maintaining long-term access to networks, particularly in government, defence, and critical infrastructure sectors</w:t>
      </w:r>
      <w:r w:rsidRPr="00417E18">
        <w:rPr>
          <w:rFonts w:eastAsia="Calibri" w:cs="Calibri"/>
          <w:noProof/>
          <w:sz w:val="22"/>
          <w:szCs w:val="22"/>
        </w:rPr>
        <w:t xml:space="preserve">. </w:t>
      </w:r>
      <w:r w:rsidR="00D620A2">
        <w:rPr>
          <w:rFonts w:eastAsia="Calibri" w:cs="Calibri"/>
          <w:noProof/>
          <w:sz w:val="22"/>
          <w:szCs w:val="22"/>
        </w:rPr>
        <w:t>T</w:t>
      </w:r>
      <w:r w:rsidRPr="00417E18">
        <w:rPr>
          <w:rFonts w:eastAsia="Calibri" w:cs="Calibri"/>
          <w:noProof/>
          <w:sz w:val="22"/>
          <w:szCs w:val="22"/>
        </w:rPr>
        <w:t>he convergence between state-sponsored actors and cybercriminal ecosystems has become more pronounced, with states leveraging criminal tools, access brokers, and shared infrastructures to enhance deniability and operational reach.</w:t>
      </w:r>
    </w:p>
    <w:p w14:paraId="43E5151E" w14:textId="42580725" w:rsidR="00F515E5" w:rsidRPr="00417E18" w:rsidRDefault="72E28555" w:rsidP="00424F3B">
      <w:pPr>
        <w:spacing w:before="0"/>
        <w:rPr>
          <w:rFonts w:eastAsia="Calibri" w:cs="Calibri"/>
          <w:noProof/>
          <w:sz w:val="22"/>
          <w:szCs w:val="22"/>
        </w:rPr>
      </w:pPr>
      <w:r w:rsidRPr="00417E18">
        <w:rPr>
          <w:rFonts w:eastAsia="Calibri" w:cs="Calibri"/>
          <w:b/>
          <w:noProof/>
          <w:sz w:val="22"/>
          <w:szCs w:val="22"/>
        </w:rPr>
        <w:t xml:space="preserve">Within the cyber threat landscape, ransomware remains one of the most impactful threats, but its nature has continued to </w:t>
      </w:r>
      <w:r w:rsidR="007532B9" w:rsidRPr="07868930">
        <w:rPr>
          <w:rFonts w:eastAsia="Calibri" w:cs="Calibri"/>
          <w:b/>
          <w:bCs/>
          <w:noProof/>
          <w:sz w:val="22"/>
          <w:szCs w:val="22"/>
        </w:rPr>
        <w:t>evolve</w:t>
      </w:r>
      <w:r w:rsidRPr="07868930">
        <w:rPr>
          <w:rFonts w:eastAsia="Calibri" w:cs="Calibri"/>
          <w:b/>
          <w:bCs/>
          <w:noProof/>
          <w:sz w:val="22"/>
          <w:szCs w:val="22"/>
        </w:rPr>
        <w:t>.</w:t>
      </w:r>
      <w:r w:rsidRPr="00417E18">
        <w:rPr>
          <w:rFonts w:eastAsia="Calibri" w:cs="Calibri"/>
          <w:noProof/>
          <w:sz w:val="22"/>
          <w:szCs w:val="22"/>
        </w:rPr>
        <w:t xml:space="preserve"> Attacks are now predominantly focused on data exfiltration and multi-layered extortion, rather than encryption alone</w:t>
      </w:r>
      <w:r w:rsidR="00C1045F" w:rsidRPr="07868930">
        <w:rPr>
          <w:rFonts w:eastAsia="Calibri" w:cs="Calibri"/>
          <w:noProof/>
          <w:sz w:val="22"/>
          <w:szCs w:val="22"/>
        </w:rPr>
        <w:t>.</w:t>
      </w:r>
      <w:r w:rsidRPr="00417E18">
        <w:rPr>
          <w:rFonts w:eastAsia="Calibri" w:cs="Calibri"/>
          <w:noProof/>
          <w:sz w:val="22"/>
          <w:szCs w:val="22"/>
        </w:rPr>
        <w:t xml:space="preserve"> SMEs </w:t>
      </w:r>
      <w:r w:rsidR="00D41EB2" w:rsidRPr="0C856F1D">
        <w:rPr>
          <w:rFonts w:eastAsia="Calibri" w:cs="Calibri"/>
          <w:noProof/>
          <w:sz w:val="22"/>
          <w:szCs w:val="22"/>
        </w:rPr>
        <w:t>are</w:t>
      </w:r>
      <w:r w:rsidRPr="00417E18">
        <w:rPr>
          <w:rFonts w:eastAsia="Calibri" w:cs="Calibri"/>
          <w:noProof/>
          <w:sz w:val="22"/>
          <w:szCs w:val="22"/>
        </w:rPr>
        <w:t xml:space="preserve"> increasingly targeted due to weaker security postures. While law enforcement actions disrupted major groups, the ecosystem has become more fragmented and adaptive, with a proliferation of new ransomware actors and rebranded operations. Critical sectors</w:t>
      </w:r>
      <w:r w:rsidR="00071444" w:rsidRPr="00417E18">
        <w:rPr>
          <w:rFonts w:eastAsia="Calibri" w:cs="Calibri"/>
          <w:noProof/>
          <w:sz w:val="22"/>
          <w:szCs w:val="22"/>
        </w:rPr>
        <w:t xml:space="preserve"> - </w:t>
      </w:r>
      <w:r w:rsidRPr="00417E18">
        <w:rPr>
          <w:rFonts w:eastAsia="Calibri" w:cs="Calibri"/>
          <w:noProof/>
          <w:sz w:val="22"/>
          <w:szCs w:val="22"/>
        </w:rPr>
        <w:t>including healthcare, transport, and public administration</w:t>
      </w:r>
      <w:r w:rsidR="00071444" w:rsidRPr="00417E18">
        <w:rPr>
          <w:rFonts w:eastAsia="Calibri" w:cs="Calibri"/>
          <w:noProof/>
          <w:sz w:val="22"/>
          <w:szCs w:val="22"/>
        </w:rPr>
        <w:t xml:space="preserve"> - </w:t>
      </w:r>
      <w:r w:rsidRPr="00417E18">
        <w:rPr>
          <w:rFonts w:eastAsia="Calibri" w:cs="Calibri"/>
          <w:noProof/>
          <w:sz w:val="22"/>
          <w:szCs w:val="22"/>
        </w:rPr>
        <w:t>continue to be heavily affected, with ransomware incidents maintaining a high share of impactful disruptions across the EU.</w:t>
      </w:r>
    </w:p>
    <w:p w14:paraId="7CC589F1" w14:textId="5CED28E4" w:rsidR="00F515E5" w:rsidRPr="00417E18" w:rsidRDefault="72E28555" w:rsidP="00424F3B">
      <w:pPr>
        <w:spacing w:before="0"/>
        <w:rPr>
          <w:rFonts w:eastAsia="Calibri" w:cs="Calibri"/>
          <w:noProof/>
          <w:sz w:val="22"/>
          <w:szCs w:val="22"/>
        </w:rPr>
      </w:pPr>
      <w:r w:rsidRPr="00417E18">
        <w:rPr>
          <w:rFonts w:eastAsia="Calibri" w:cs="Calibri"/>
          <w:b/>
          <w:bCs/>
          <w:noProof/>
          <w:sz w:val="22"/>
          <w:szCs w:val="22"/>
        </w:rPr>
        <w:t>Supply chain attacks remain a key systemic risk</w:t>
      </w:r>
      <w:r w:rsidRPr="00417E18">
        <w:rPr>
          <w:rFonts w:eastAsia="Calibri" w:cs="Calibri"/>
          <w:noProof/>
          <w:sz w:val="22"/>
          <w:szCs w:val="22"/>
        </w:rPr>
        <w:t xml:space="preserve">, as attackers exploit dependencies on third-party providers and widely used software components to scale impact across multiple organisations. This risk is compounded by continued reliance on non-EU vendors and complex digital ecosystems, increasing exposure to vulnerabilities and external influence. </w:t>
      </w:r>
      <w:r w:rsidR="00D620A2">
        <w:rPr>
          <w:rFonts w:eastAsia="Calibri" w:cs="Calibri"/>
          <w:noProof/>
          <w:sz w:val="22"/>
          <w:szCs w:val="22"/>
        </w:rPr>
        <w:t>T</w:t>
      </w:r>
      <w:r w:rsidRPr="00417E18">
        <w:rPr>
          <w:rFonts w:eastAsia="Calibri" w:cs="Calibri"/>
          <w:noProof/>
          <w:sz w:val="22"/>
          <w:szCs w:val="22"/>
        </w:rPr>
        <w:t>hreat activity targeting cloud environments, managed services, and open</w:t>
      </w:r>
      <w:r w:rsidR="00E93584">
        <w:rPr>
          <w:rFonts w:eastAsia="Calibri" w:cs="Calibri"/>
          <w:noProof/>
          <w:sz w:val="22"/>
          <w:szCs w:val="22"/>
        </w:rPr>
        <w:t>-</w:t>
      </w:r>
      <w:r w:rsidRPr="00417E18">
        <w:rPr>
          <w:rFonts w:eastAsia="Calibri" w:cs="Calibri"/>
          <w:noProof/>
          <w:sz w:val="22"/>
          <w:szCs w:val="22"/>
        </w:rPr>
        <w:t xml:space="preserve">source software has expanded, reinforcing the potential for cascading effects. </w:t>
      </w:r>
      <w:r w:rsidR="03692F3C" w:rsidRPr="0C856F1D">
        <w:rPr>
          <w:rFonts w:eastAsia="Calibri" w:cs="Calibri"/>
          <w:noProof/>
          <w:sz w:val="22"/>
          <w:szCs w:val="22"/>
        </w:rPr>
        <w:t>Together, these developments confirm a shift from isolated cyber incidents to a more interconnected, systemic, and strategically driven threat landscape.</w:t>
      </w:r>
      <w:r w:rsidR="03692F3C" w:rsidRPr="0C856F1D">
        <w:rPr>
          <w:rFonts w:eastAsia="Calibri" w:cs="Calibri"/>
          <w:b/>
          <w:bCs/>
          <w:noProof/>
          <w:sz w:val="22"/>
          <w:szCs w:val="22"/>
        </w:rPr>
        <w:t xml:space="preserve"> </w:t>
      </w:r>
      <w:r w:rsidRPr="00417E18">
        <w:rPr>
          <w:rFonts w:eastAsia="Calibri" w:cs="Calibri"/>
          <w:b/>
          <w:bCs/>
          <w:noProof/>
          <w:sz w:val="22"/>
          <w:szCs w:val="22"/>
        </w:rPr>
        <w:t>Broader trends also point to growing pressure on cyber resilience, including a persistent cybersecurity skills gap</w:t>
      </w:r>
      <w:r w:rsidR="00071444" w:rsidRPr="00417E18">
        <w:rPr>
          <w:rFonts w:eastAsia="Calibri" w:cs="Calibri"/>
          <w:noProof/>
          <w:sz w:val="22"/>
          <w:szCs w:val="22"/>
        </w:rPr>
        <w:t xml:space="preserve"> - </w:t>
      </w:r>
      <w:r w:rsidRPr="00417E18">
        <w:rPr>
          <w:rFonts w:eastAsia="Calibri" w:cs="Calibri"/>
          <w:noProof/>
          <w:sz w:val="22"/>
          <w:szCs w:val="22"/>
        </w:rPr>
        <w:t>still estimated in the hundreds of thousands across the EU</w:t>
      </w:r>
      <w:r w:rsidR="00071444" w:rsidRPr="00417E18">
        <w:rPr>
          <w:rFonts w:eastAsia="Calibri" w:cs="Calibri"/>
          <w:noProof/>
          <w:sz w:val="22"/>
          <w:szCs w:val="22"/>
        </w:rPr>
        <w:t xml:space="preserve"> - </w:t>
      </w:r>
      <w:r w:rsidRPr="00417E18">
        <w:rPr>
          <w:rFonts w:eastAsia="Calibri" w:cs="Calibri"/>
          <w:noProof/>
          <w:sz w:val="22"/>
          <w:szCs w:val="22"/>
        </w:rPr>
        <w:t xml:space="preserve">and ongoing challenges in public awareness and incident reporting. </w:t>
      </w:r>
    </w:p>
    <w:p w14:paraId="5F5E4D82" w14:textId="23595AC7" w:rsidR="00F515E5" w:rsidRPr="00417E18" w:rsidRDefault="72E28555" w:rsidP="00424F3B">
      <w:pPr>
        <w:spacing w:before="0"/>
        <w:rPr>
          <w:rFonts w:eastAsia="Calibri" w:cs="Calibri"/>
          <w:noProof/>
          <w:sz w:val="22"/>
          <w:szCs w:val="22"/>
        </w:rPr>
      </w:pPr>
      <w:r w:rsidRPr="00417E18">
        <w:rPr>
          <w:rFonts w:eastAsia="Calibri" w:cs="Calibri"/>
          <w:b/>
          <w:noProof/>
          <w:sz w:val="22"/>
          <w:szCs w:val="22"/>
        </w:rPr>
        <w:t xml:space="preserve">At EU level, several laws and initiatives </w:t>
      </w:r>
      <w:r w:rsidR="00854D95" w:rsidRPr="0C856F1D">
        <w:rPr>
          <w:rFonts w:eastAsia="Calibri" w:cs="Calibri"/>
          <w:b/>
          <w:bCs/>
          <w:noProof/>
          <w:sz w:val="22"/>
          <w:szCs w:val="22"/>
        </w:rPr>
        <w:t>are in place</w:t>
      </w:r>
      <w:r w:rsidRPr="00417E18">
        <w:rPr>
          <w:rFonts w:eastAsia="Calibri" w:cs="Calibri"/>
          <w:b/>
          <w:noProof/>
          <w:sz w:val="22"/>
          <w:szCs w:val="22"/>
        </w:rPr>
        <w:t xml:space="preserve"> to address some of these challenges, mitigate their impacts, or strengthen the level of cybersecurity across the Union. </w:t>
      </w:r>
      <w:r w:rsidRPr="00417E18">
        <w:rPr>
          <w:rFonts w:eastAsia="Calibri" w:cs="Calibri"/>
          <w:noProof/>
          <w:sz w:val="22"/>
          <w:szCs w:val="22"/>
        </w:rPr>
        <w:t>The proposal for a</w:t>
      </w:r>
      <w:r w:rsidRPr="00417E18">
        <w:rPr>
          <w:rFonts w:eastAsia="Calibri" w:cs="Calibri"/>
          <w:b/>
          <w:noProof/>
          <w:sz w:val="22"/>
          <w:szCs w:val="22"/>
        </w:rPr>
        <w:t xml:space="preserve"> Cybersecurity Act 2</w:t>
      </w:r>
      <w:r w:rsidRPr="00417E18">
        <w:rPr>
          <w:rFonts w:eastAsia="Calibri" w:cs="Calibri"/>
          <w:noProof/>
          <w:sz w:val="22"/>
          <w:szCs w:val="22"/>
        </w:rPr>
        <w:t xml:space="preserve"> </w:t>
      </w:r>
      <w:r w:rsidRPr="07868930">
        <w:rPr>
          <w:rFonts w:eastAsia="Calibri" w:cs="Calibri"/>
          <w:noProof/>
          <w:sz w:val="22"/>
          <w:szCs w:val="22"/>
        </w:rPr>
        <w:t>(</w:t>
      </w:r>
      <w:r w:rsidRPr="00417E18">
        <w:rPr>
          <w:rFonts w:eastAsia="Calibri" w:cs="Calibri"/>
          <w:noProof/>
          <w:sz w:val="22"/>
          <w:szCs w:val="22"/>
        </w:rPr>
        <w:t>CSA2 proposal</w:t>
      </w:r>
      <w:r w:rsidRPr="07868930">
        <w:rPr>
          <w:rFonts w:eastAsia="Calibri" w:cs="Calibri"/>
          <w:noProof/>
          <w:sz w:val="22"/>
          <w:szCs w:val="22"/>
        </w:rPr>
        <w:t>),</w:t>
      </w:r>
      <w:r w:rsidRPr="00417E18">
        <w:rPr>
          <w:rFonts w:eastAsia="Calibri" w:cs="Calibri"/>
          <w:noProof/>
          <w:sz w:val="22"/>
          <w:szCs w:val="22"/>
        </w:rPr>
        <w:t xml:space="preserve"> adopted on 20 January 2026, clarifies and strengthens the mandate of the European Union Agency for Cybersecurity (ENISA); improves the European Cybersecurity Certification Framework (ECCF) and addresses ICT supply chain security challenges. Specifically, with the trusted ICT supply chain framework, </w:t>
      </w:r>
      <w:r w:rsidR="0095678D" w:rsidRPr="07868930">
        <w:rPr>
          <w:rFonts w:eastAsia="Calibri" w:cs="Calibri"/>
          <w:noProof/>
          <w:sz w:val="22"/>
          <w:szCs w:val="22"/>
        </w:rPr>
        <w:t>the</w:t>
      </w:r>
      <w:r w:rsidR="0095678D">
        <w:rPr>
          <w:rFonts w:eastAsia="Calibri" w:cs="Calibri"/>
          <w:noProof/>
          <w:sz w:val="22"/>
          <w:szCs w:val="22"/>
        </w:rPr>
        <w:t xml:space="preserve"> proposal aims</w:t>
      </w:r>
      <w:r w:rsidRPr="00417E18">
        <w:rPr>
          <w:rFonts w:eastAsia="Calibri" w:cs="Calibri"/>
          <w:noProof/>
          <w:sz w:val="22"/>
          <w:szCs w:val="22"/>
        </w:rPr>
        <w:t xml:space="preserve"> at de-risking the Union’s critical ICT supply chains, starting with the electronic communications sector. Anchored in the ICT supply chain framework, the new ECCF will deliver trust for critical ICT technologies such as 5G and cloud.</w:t>
      </w:r>
    </w:p>
    <w:p w14:paraId="5D50D3C8" w14:textId="236BA6E0" w:rsidR="00F515E5" w:rsidRPr="00417E18" w:rsidRDefault="00854D95" w:rsidP="00424F3B">
      <w:pPr>
        <w:spacing w:before="0"/>
        <w:rPr>
          <w:rFonts w:eastAsia="Calibri" w:cs="Calibri"/>
          <w:noProof/>
          <w:sz w:val="22"/>
          <w:szCs w:val="22"/>
        </w:rPr>
      </w:pPr>
      <w:r w:rsidRPr="07868930">
        <w:rPr>
          <w:rFonts w:eastAsia="Calibri" w:cs="Calibri"/>
          <w:noProof/>
          <w:sz w:val="22"/>
          <w:szCs w:val="22"/>
        </w:rPr>
        <w:t>T</w:t>
      </w:r>
      <w:r w:rsidR="72E28555" w:rsidRPr="07868930">
        <w:rPr>
          <w:rFonts w:eastAsia="Calibri" w:cs="Calibri"/>
          <w:noProof/>
          <w:sz w:val="22"/>
          <w:szCs w:val="22"/>
        </w:rPr>
        <w:t>he</w:t>
      </w:r>
      <w:r w:rsidR="72E28555" w:rsidRPr="00417E18">
        <w:rPr>
          <w:rFonts w:eastAsia="Calibri" w:cs="Calibri"/>
          <w:noProof/>
          <w:sz w:val="22"/>
          <w:szCs w:val="22"/>
        </w:rPr>
        <w:t xml:space="preserve"> CSA2 proposal </w:t>
      </w:r>
      <w:r w:rsidRPr="0C856F1D">
        <w:rPr>
          <w:rFonts w:eastAsia="Calibri" w:cs="Calibri"/>
          <w:noProof/>
          <w:sz w:val="22"/>
          <w:szCs w:val="22"/>
        </w:rPr>
        <w:t>also</w:t>
      </w:r>
      <w:r w:rsidR="72E28555" w:rsidRPr="00417E18">
        <w:rPr>
          <w:rFonts w:eastAsia="Calibri" w:cs="Calibri"/>
          <w:noProof/>
          <w:sz w:val="22"/>
          <w:szCs w:val="22"/>
        </w:rPr>
        <w:t xml:space="preserve"> aims </w:t>
      </w:r>
      <w:r w:rsidRPr="0C856F1D">
        <w:rPr>
          <w:rFonts w:eastAsia="Calibri" w:cs="Calibri"/>
          <w:noProof/>
          <w:sz w:val="22"/>
          <w:szCs w:val="22"/>
        </w:rPr>
        <w:t>to establish</w:t>
      </w:r>
      <w:r w:rsidR="72E28555" w:rsidRPr="00417E18">
        <w:rPr>
          <w:rFonts w:eastAsia="Calibri" w:cs="Calibri"/>
          <w:noProof/>
          <w:sz w:val="22"/>
          <w:szCs w:val="22"/>
        </w:rPr>
        <w:t xml:space="preserve"> a mechanism to validate the skills and experience acquired by cybersecurity professionals against a common set of criteria, defined at European level, and implemented at national level. By developing a mechanism of European individual cybersecurity skills attestations, it will facilitate skills portability and </w:t>
      </w:r>
      <w:r w:rsidR="00513BEF" w:rsidRPr="0C856F1D">
        <w:rPr>
          <w:rFonts w:eastAsia="Calibri" w:cs="Calibri"/>
          <w:noProof/>
          <w:sz w:val="22"/>
          <w:szCs w:val="22"/>
        </w:rPr>
        <w:t>support</w:t>
      </w:r>
      <w:r w:rsidR="72E28555" w:rsidRPr="00417E18">
        <w:rPr>
          <w:rFonts w:eastAsia="Calibri" w:cs="Calibri"/>
          <w:noProof/>
          <w:sz w:val="22"/>
          <w:szCs w:val="22"/>
        </w:rPr>
        <w:t xml:space="preserve"> the single market by supporting the emergence of new providers. The CSA2 proposal will have positive economic impacts by supporting cybersecurity professionals’ mobility, reducing labour and skills shortages in cybersecurity. It will create a market of cybersecurity attestations </w:t>
      </w:r>
      <w:r w:rsidR="00F70B39">
        <w:rPr>
          <w:rFonts w:eastAsia="Calibri" w:cs="Calibri"/>
          <w:noProof/>
          <w:sz w:val="22"/>
          <w:szCs w:val="22"/>
        </w:rPr>
        <w:t xml:space="preserve">that are </w:t>
      </w:r>
      <w:r w:rsidR="72E28555" w:rsidRPr="00417E18">
        <w:rPr>
          <w:rFonts w:eastAsia="Calibri" w:cs="Calibri"/>
          <w:noProof/>
          <w:sz w:val="22"/>
          <w:szCs w:val="22"/>
        </w:rPr>
        <w:t>easy to understand for employers and learners, tailored to the European Union labour market.</w:t>
      </w:r>
    </w:p>
    <w:p w14:paraId="20D2AC8C" w14:textId="63A01DE3" w:rsidR="00F515E5" w:rsidRPr="00417E18" w:rsidRDefault="72E28555" w:rsidP="00424F3B">
      <w:pPr>
        <w:spacing w:before="0"/>
        <w:rPr>
          <w:rFonts w:eastAsia="Calibri" w:cs="Calibri"/>
          <w:noProof/>
          <w:sz w:val="22"/>
          <w:szCs w:val="22"/>
        </w:rPr>
      </w:pPr>
      <w:r w:rsidRPr="00417E18">
        <w:rPr>
          <w:rFonts w:eastAsia="Calibri" w:cs="Calibri"/>
          <w:noProof/>
          <w:sz w:val="22"/>
          <w:szCs w:val="22"/>
        </w:rPr>
        <w:t xml:space="preserve">The </w:t>
      </w:r>
      <w:r w:rsidRPr="00417E18">
        <w:rPr>
          <w:rFonts w:eastAsia="Calibri" w:cs="Calibri"/>
          <w:b/>
          <w:noProof/>
          <w:sz w:val="22"/>
          <w:szCs w:val="22"/>
        </w:rPr>
        <w:t>NIS2 Directive strengthens the cyber resilience of critical sectors in the EU by requiring essential and important entities in these sectors to take cybersecurity risk-management measures and to report significant incidents.</w:t>
      </w:r>
      <w:r w:rsidRPr="00417E18">
        <w:rPr>
          <w:rFonts w:eastAsia="Calibri" w:cs="Calibri"/>
          <w:noProof/>
          <w:sz w:val="22"/>
          <w:szCs w:val="22"/>
        </w:rPr>
        <w:t xml:space="preserve"> By ensuring organisational measures, such as supply chain security measures, the Directive improves the cybersecurity baseline </w:t>
      </w:r>
      <w:r w:rsidR="00513BEF" w:rsidRPr="0C856F1D">
        <w:rPr>
          <w:rFonts w:eastAsia="Calibri" w:cs="Calibri"/>
          <w:noProof/>
          <w:sz w:val="22"/>
          <w:szCs w:val="22"/>
        </w:rPr>
        <w:t xml:space="preserve">and supports </w:t>
      </w:r>
      <w:r w:rsidRPr="0C856F1D">
        <w:rPr>
          <w:rFonts w:eastAsia="Calibri" w:cs="Calibri"/>
          <w:noProof/>
          <w:sz w:val="22"/>
          <w:szCs w:val="22"/>
        </w:rPr>
        <w:t xml:space="preserve">the </w:t>
      </w:r>
      <w:r w:rsidRPr="00417E18">
        <w:rPr>
          <w:rFonts w:eastAsia="Calibri" w:cs="Calibri"/>
          <w:noProof/>
          <w:sz w:val="22"/>
          <w:szCs w:val="22"/>
        </w:rPr>
        <w:t xml:space="preserve">continuity of services </w:t>
      </w:r>
      <w:r w:rsidR="00513BEF" w:rsidRPr="0C856F1D">
        <w:rPr>
          <w:rFonts w:eastAsia="Calibri" w:cs="Calibri"/>
          <w:noProof/>
          <w:sz w:val="22"/>
          <w:szCs w:val="22"/>
        </w:rPr>
        <w:t xml:space="preserve">that are </w:t>
      </w:r>
      <w:r w:rsidRPr="00417E18">
        <w:rPr>
          <w:rFonts w:eastAsia="Calibri" w:cs="Calibri"/>
          <w:noProof/>
          <w:sz w:val="22"/>
          <w:szCs w:val="22"/>
        </w:rPr>
        <w:t xml:space="preserve">essential for </w:t>
      </w:r>
      <w:r w:rsidR="00513BEF" w:rsidRPr="0C856F1D">
        <w:rPr>
          <w:rFonts w:eastAsia="Calibri" w:cs="Calibri"/>
          <w:noProof/>
          <w:sz w:val="22"/>
          <w:szCs w:val="22"/>
        </w:rPr>
        <w:t xml:space="preserve">the </w:t>
      </w:r>
      <w:r w:rsidRPr="00417E18">
        <w:rPr>
          <w:rFonts w:eastAsia="Calibri" w:cs="Calibri"/>
          <w:noProof/>
          <w:sz w:val="22"/>
          <w:szCs w:val="22"/>
        </w:rPr>
        <w:t xml:space="preserve">society. Moreover, the Directive </w:t>
      </w:r>
      <w:r w:rsidR="00D923A8" w:rsidRPr="0C856F1D">
        <w:rPr>
          <w:rFonts w:eastAsia="Calibri" w:cs="Calibri"/>
          <w:noProof/>
          <w:sz w:val="22"/>
          <w:szCs w:val="22"/>
        </w:rPr>
        <w:t>requires</w:t>
      </w:r>
      <w:r w:rsidRPr="00417E18">
        <w:rPr>
          <w:rFonts w:eastAsia="Calibri" w:cs="Calibri"/>
          <w:noProof/>
          <w:sz w:val="22"/>
          <w:szCs w:val="22"/>
        </w:rPr>
        <w:t xml:space="preserve"> Member States put in place national cybersecurity strategies and coordination structures, supporting Member States’ overall cyber preparedness. At European level, the Directive creates cooperation networks (NIS Cooperation Group, CSIRTs Network and EU-CyCLONe), with the objective of promoting trust</w:t>
      </w:r>
      <w:r w:rsidR="7CB54E1A" w:rsidRPr="0C856F1D">
        <w:rPr>
          <w:rFonts w:eastAsia="Calibri" w:cs="Calibri"/>
          <w:noProof/>
          <w:sz w:val="22"/>
          <w:szCs w:val="22"/>
        </w:rPr>
        <w:t>,</w:t>
      </w:r>
      <w:r w:rsidRPr="00417E18">
        <w:rPr>
          <w:rFonts w:eastAsia="Calibri" w:cs="Calibri"/>
          <w:noProof/>
          <w:sz w:val="22"/>
          <w:szCs w:val="22"/>
        </w:rPr>
        <w:t xml:space="preserve"> confidence </w:t>
      </w:r>
      <w:r w:rsidR="519AF381" w:rsidRPr="0C856F1D">
        <w:rPr>
          <w:rFonts w:eastAsia="Calibri" w:cs="Calibri"/>
          <w:noProof/>
          <w:sz w:val="22"/>
          <w:szCs w:val="22"/>
        </w:rPr>
        <w:t xml:space="preserve">and cooperation </w:t>
      </w:r>
      <w:r w:rsidRPr="00417E18">
        <w:rPr>
          <w:rFonts w:eastAsia="Calibri" w:cs="Calibri"/>
          <w:noProof/>
          <w:sz w:val="22"/>
          <w:szCs w:val="22"/>
        </w:rPr>
        <w:t>between Member States. By creating an overarching framework for cybersecurity in critical sectors, the NIS2 Directive also supports the preparation of critical infrastructure sectors against emerging cybersecurity threats, such as cryptographically relevant quantum computers (CRQC).</w:t>
      </w:r>
    </w:p>
    <w:p w14:paraId="64D3F686" w14:textId="4BFC21CC" w:rsidR="00F515E5" w:rsidRPr="00417E18" w:rsidRDefault="72E28555" w:rsidP="00424F3B">
      <w:pPr>
        <w:spacing w:before="0"/>
        <w:rPr>
          <w:rFonts w:eastAsia="Calibri" w:cs="Calibri"/>
          <w:noProof/>
          <w:sz w:val="22"/>
          <w:szCs w:val="22"/>
        </w:rPr>
      </w:pPr>
      <w:r w:rsidRPr="00417E18">
        <w:rPr>
          <w:rFonts w:eastAsia="Calibri" w:cs="Calibri"/>
          <w:b/>
          <w:bCs/>
          <w:noProof/>
          <w:sz w:val="22"/>
          <w:szCs w:val="22"/>
        </w:rPr>
        <w:t xml:space="preserve">Concerning the cybersecurity of specific critical sectors, the Commission has continued the implementation of the Action Plan on the cybersecurity of hospitals and healthcare providers, in cooperation with ENISA, the </w:t>
      </w:r>
      <w:r w:rsidRPr="0C856F1D">
        <w:rPr>
          <w:rFonts w:eastAsia="Calibri" w:cs="Calibri"/>
          <w:b/>
          <w:bCs/>
          <w:noProof/>
          <w:sz w:val="22"/>
          <w:szCs w:val="22"/>
        </w:rPr>
        <w:t>E</w:t>
      </w:r>
      <w:r w:rsidR="210EDFD7" w:rsidRPr="0C856F1D">
        <w:rPr>
          <w:rFonts w:eastAsia="Calibri" w:cs="Calibri"/>
          <w:b/>
          <w:bCs/>
          <w:noProof/>
          <w:sz w:val="22"/>
          <w:szCs w:val="22"/>
        </w:rPr>
        <w:t xml:space="preserve">uropean </w:t>
      </w:r>
      <w:r w:rsidRPr="0C856F1D">
        <w:rPr>
          <w:rFonts w:eastAsia="Calibri" w:cs="Calibri"/>
          <w:b/>
          <w:bCs/>
          <w:noProof/>
          <w:sz w:val="22"/>
          <w:szCs w:val="22"/>
        </w:rPr>
        <w:t>C</w:t>
      </w:r>
      <w:r w:rsidR="6FCD937A" w:rsidRPr="0C856F1D">
        <w:rPr>
          <w:rFonts w:eastAsia="Calibri" w:cs="Calibri"/>
          <w:b/>
          <w:bCs/>
          <w:noProof/>
          <w:sz w:val="22"/>
          <w:szCs w:val="22"/>
        </w:rPr>
        <w:t xml:space="preserve">ybersecurity </w:t>
      </w:r>
      <w:r w:rsidRPr="0C856F1D">
        <w:rPr>
          <w:rFonts w:eastAsia="Calibri" w:cs="Calibri"/>
          <w:b/>
          <w:bCs/>
          <w:noProof/>
          <w:sz w:val="22"/>
          <w:szCs w:val="22"/>
        </w:rPr>
        <w:t>C</w:t>
      </w:r>
      <w:r w:rsidR="2476FB5C" w:rsidRPr="0C856F1D">
        <w:rPr>
          <w:rFonts w:eastAsia="Calibri" w:cs="Calibri"/>
          <w:b/>
          <w:bCs/>
          <w:noProof/>
          <w:sz w:val="22"/>
          <w:szCs w:val="22"/>
        </w:rPr>
        <w:t xml:space="preserve">ompetence </w:t>
      </w:r>
      <w:r w:rsidRPr="0C856F1D">
        <w:rPr>
          <w:rFonts w:eastAsia="Calibri" w:cs="Calibri"/>
          <w:b/>
          <w:bCs/>
          <w:noProof/>
          <w:sz w:val="22"/>
          <w:szCs w:val="22"/>
        </w:rPr>
        <w:t>C</w:t>
      </w:r>
      <w:r w:rsidR="3288F340" w:rsidRPr="0C856F1D">
        <w:rPr>
          <w:rFonts w:eastAsia="Calibri" w:cs="Calibri"/>
          <w:b/>
          <w:bCs/>
          <w:noProof/>
          <w:sz w:val="22"/>
          <w:szCs w:val="22"/>
        </w:rPr>
        <w:t>entre (</w:t>
      </w:r>
      <w:r w:rsidRPr="00417E18">
        <w:rPr>
          <w:rFonts w:eastAsia="Calibri" w:cs="Calibri"/>
          <w:b/>
          <w:bCs/>
          <w:noProof/>
          <w:sz w:val="22"/>
          <w:szCs w:val="22"/>
        </w:rPr>
        <w:t>ECCC</w:t>
      </w:r>
      <w:r w:rsidR="3288F340" w:rsidRPr="0C856F1D">
        <w:rPr>
          <w:rFonts w:eastAsia="Calibri" w:cs="Calibri"/>
          <w:b/>
          <w:bCs/>
          <w:noProof/>
          <w:sz w:val="22"/>
          <w:szCs w:val="22"/>
        </w:rPr>
        <w:t>)</w:t>
      </w:r>
      <w:r w:rsidRPr="00417E18">
        <w:rPr>
          <w:rFonts w:eastAsia="Calibri" w:cs="Calibri"/>
          <w:b/>
          <w:bCs/>
          <w:noProof/>
          <w:sz w:val="22"/>
          <w:szCs w:val="22"/>
        </w:rPr>
        <w:t xml:space="preserve"> and Member States. </w:t>
      </w:r>
      <w:r w:rsidR="005D38BE" w:rsidRPr="07868930">
        <w:rPr>
          <w:rFonts w:eastAsia="Calibri" w:cs="Calibri"/>
          <w:noProof/>
          <w:sz w:val="22"/>
          <w:szCs w:val="22"/>
        </w:rPr>
        <w:t>T</w:t>
      </w:r>
      <w:r w:rsidRPr="07868930">
        <w:rPr>
          <w:rFonts w:eastAsia="Calibri" w:cs="Calibri"/>
          <w:noProof/>
          <w:sz w:val="22"/>
          <w:szCs w:val="22"/>
        </w:rPr>
        <w:t>he</w:t>
      </w:r>
      <w:r w:rsidRPr="00417E18">
        <w:rPr>
          <w:rFonts w:eastAsia="Calibri" w:cs="Calibri"/>
          <w:noProof/>
          <w:sz w:val="22"/>
          <w:szCs w:val="22"/>
        </w:rPr>
        <w:t xml:space="preserve"> ECCC launched a call for proposals, allocating EUR 30 million to reinforce cybersecurity capacities in hospitals and healthcare providers, while ENISA issued guidance on cybersecurity practices in September 2025. ENISA has set up a cybersecurity support centre for hospitals and healthcare providers, financed under a Contribution Agreement through the Digital Europe Programme. Building on these and other relevant actions, the Commission will put forward recommendations to further refine the Action Plan.</w:t>
      </w:r>
    </w:p>
    <w:p w14:paraId="17C40815" w14:textId="128033BB" w:rsidR="00F515E5" w:rsidRPr="00417E18" w:rsidRDefault="72E28555" w:rsidP="00424F3B">
      <w:pPr>
        <w:spacing w:before="0"/>
        <w:rPr>
          <w:rFonts w:eastAsia="Calibri" w:cs="Calibri"/>
          <w:strike/>
          <w:noProof/>
          <w:sz w:val="22"/>
          <w:szCs w:val="22"/>
        </w:rPr>
      </w:pPr>
      <w:r w:rsidRPr="00417E18">
        <w:rPr>
          <w:rFonts w:eastAsia="Calibri" w:cs="Calibri"/>
          <w:b/>
          <w:bCs/>
          <w:noProof/>
          <w:sz w:val="22"/>
          <w:szCs w:val="22"/>
        </w:rPr>
        <w:t xml:space="preserve">As regards </w:t>
      </w:r>
      <w:r w:rsidR="5E1318D0" w:rsidRPr="0C856F1D">
        <w:rPr>
          <w:rFonts w:eastAsia="Calibri" w:cs="Calibri"/>
          <w:b/>
          <w:bCs/>
          <w:noProof/>
          <w:sz w:val="22"/>
          <w:szCs w:val="22"/>
        </w:rPr>
        <w:t>the</w:t>
      </w:r>
      <w:r w:rsidRPr="00417E18">
        <w:rPr>
          <w:rFonts w:eastAsia="Calibri" w:cs="Calibri"/>
          <w:b/>
          <w:bCs/>
          <w:noProof/>
          <w:sz w:val="22"/>
          <w:szCs w:val="22"/>
        </w:rPr>
        <w:t xml:space="preserve"> security of products with digital elements, the implementation of the Cyber Resilience Act </w:t>
      </w:r>
      <w:r w:rsidRPr="00417E18">
        <w:rPr>
          <w:rFonts w:eastAsia="Calibri" w:cs="Calibri"/>
          <w:noProof/>
          <w:sz w:val="22"/>
          <w:szCs w:val="22"/>
        </w:rPr>
        <w:t xml:space="preserve">(CRA) </w:t>
      </w:r>
      <w:r w:rsidRPr="00417E18">
        <w:rPr>
          <w:rFonts w:eastAsia="Calibri" w:cs="Calibri"/>
          <w:b/>
          <w:bCs/>
          <w:noProof/>
          <w:sz w:val="22"/>
          <w:szCs w:val="22"/>
        </w:rPr>
        <w:t xml:space="preserve">will </w:t>
      </w:r>
      <w:r w:rsidR="7D64A3A0" w:rsidRPr="07868930">
        <w:rPr>
          <w:rFonts w:eastAsia="Calibri" w:cs="Calibri"/>
          <w:b/>
          <w:bCs/>
          <w:noProof/>
          <w:sz w:val="22"/>
          <w:szCs w:val="22"/>
        </w:rPr>
        <w:t>address</w:t>
      </w:r>
      <w:r w:rsidRPr="07868930">
        <w:rPr>
          <w:rFonts w:eastAsia="Calibri" w:cs="Calibri"/>
          <w:b/>
          <w:noProof/>
          <w:sz w:val="22"/>
          <w:szCs w:val="22"/>
        </w:rPr>
        <w:t xml:space="preserve"> insecure</w:t>
      </w:r>
      <w:r w:rsidRPr="00417E18">
        <w:rPr>
          <w:rFonts w:eastAsia="Calibri" w:cs="Calibri"/>
          <w:noProof/>
          <w:sz w:val="22"/>
          <w:szCs w:val="22"/>
        </w:rPr>
        <w:t xml:space="preserve"> hardware and software products circulating in the internal market and </w:t>
      </w:r>
      <w:r w:rsidR="0706963E" w:rsidRPr="0C856F1D">
        <w:rPr>
          <w:rFonts w:eastAsia="Calibri" w:cs="Calibri"/>
          <w:b/>
          <w:bCs/>
          <w:noProof/>
          <w:sz w:val="22"/>
          <w:szCs w:val="22"/>
        </w:rPr>
        <w:t xml:space="preserve">being integrated </w:t>
      </w:r>
      <w:r w:rsidR="0706963E" w:rsidRPr="0C856F1D">
        <w:rPr>
          <w:rFonts w:eastAsia="Calibri" w:cs="Calibri"/>
          <w:noProof/>
          <w:sz w:val="22"/>
          <w:szCs w:val="22"/>
        </w:rPr>
        <w:t xml:space="preserve">in </w:t>
      </w:r>
      <w:r w:rsidRPr="00417E18">
        <w:rPr>
          <w:rFonts w:eastAsia="Calibri" w:cs="Calibri"/>
          <w:noProof/>
          <w:sz w:val="22"/>
          <w:szCs w:val="22"/>
        </w:rPr>
        <w:t>ICT supply chains across sectors. Products lacking embedded cybersecurity requirements expand the risk surface of SMEs and critical infrastructure as they present exploitable vulnerabilities</w:t>
      </w:r>
      <w:r w:rsidR="3A4B66EF" w:rsidRPr="0C856F1D">
        <w:rPr>
          <w:rFonts w:eastAsia="Calibri" w:cs="Calibri"/>
          <w:noProof/>
          <w:sz w:val="22"/>
          <w:szCs w:val="22"/>
        </w:rPr>
        <w:t>,</w:t>
      </w:r>
      <w:r w:rsidRPr="00417E18">
        <w:rPr>
          <w:rFonts w:eastAsia="Calibri" w:cs="Calibri"/>
          <w:noProof/>
          <w:sz w:val="22"/>
          <w:szCs w:val="22"/>
        </w:rPr>
        <w:t xml:space="preserve"> creating risks of cascading disruptions and threats to the European economy and society, as showcased by the recent Collins Aerospace incident</w:t>
      </w:r>
      <w:r w:rsidR="00B30965">
        <w:rPr>
          <w:rFonts w:eastAsia="Calibri" w:cs="Calibri"/>
          <w:noProof/>
          <w:sz w:val="22"/>
          <w:szCs w:val="22"/>
        </w:rPr>
        <w:t xml:space="preserve"> targeting airline check-in and boarding software</w:t>
      </w:r>
      <w:r w:rsidRPr="00417E18">
        <w:rPr>
          <w:rFonts w:eastAsia="Calibri" w:cs="Calibri"/>
          <w:noProof/>
          <w:sz w:val="22"/>
          <w:szCs w:val="22"/>
        </w:rPr>
        <w:t xml:space="preserve">. </w:t>
      </w:r>
      <w:r w:rsidRPr="00417E18">
        <w:rPr>
          <w:rFonts w:eastAsia="Calibri" w:cs="Calibri"/>
          <w:b/>
          <w:bCs/>
          <w:noProof/>
          <w:sz w:val="22"/>
          <w:szCs w:val="22"/>
        </w:rPr>
        <w:t xml:space="preserve">Enforcing mandatory security-by-design and lifecycle obligations will </w:t>
      </w:r>
      <w:r w:rsidRPr="0C856F1D">
        <w:rPr>
          <w:rFonts w:eastAsia="Calibri" w:cs="Calibri"/>
          <w:b/>
          <w:bCs/>
          <w:noProof/>
          <w:sz w:val="22"/>
          <w:szCs w:val="22"/>
        </w:rPr>
        <w:t>improv</w:t>
      </w:r>
      <w:r w:rsidR="785DDEBA" w:rsidRPr="0C856F1D">
        <w:rPr>
          <w:rFonts w:eastAsia="Calibri" w:cs="Calibri"/>
          <w:b/>
          <w:bCs/>
          <w:noProof/>
          <w:sz w:val="22"/>
          <w:szCs w:val="22"/>
        </w:rPr>
        <w:t>e</w:t>
      </w:r>
      <w:r w:rsidRPr="00417E18">
        <w:rPr>
          <w:rFonts w:eastAsia="Calibri" w:cs="Calibri"/>
          <w:b/>
          <w:bCs/>
          <w:noProof/>
          <w:sz w:val="22"/>
          <w:szCs w:val="22"/>
        </w:rPr>
        <w:t xml:space="preserve"> Europe’s cyber resilience and </w:t>
      </w:r>
      <w:r w:rsidRPr="07868930">
        <w:rPr>
          <w:rFonts w:eastAsia="Calibri" w:cs="Calibri"/>
          <w:b/>
          <w:bCs/>
          <w:noProof/>
          <w:sz w:val="22"/>
          <w:szCs w:val="22"/>
        </w:rPr>
        <w:t>mak</w:t>
      </w:r>
      <w:r w:rsidR="0AD879EE" w:rsidRPr="07868930">
        <w:rPr>
          <w:rFonts w:eastAsia="Calibri" w:cs="Calibri"/>
          <w:b/>
          <w:bCs/>
          <w:noProof/>
          <w:sz w:val="22"/>
          <w:szCs w:val="22"/>
        </w:rPr>
        <w:t>e</w:t>
      </w:r>
      <w:r w:rsidRPr="00417E18">
        <w:rPr>
          <w:rFonts w:eastAsia="Calibri" w:cs="Calibri"/>
          <w:b/>
          <w:bCs/>
          <w:noProof/>
          <w:sz w:val="22"/>
          <w:szCs w:val="22"/>
        </w:rPr>
        <w:t xml:space="preserve"> cybersecurity a market differentiator rather than an afterthought</w:t>
      </w:r>
      <w:r w:rsidRPr="00417E18">
        <w:rPr>
          <w:rFonts w:eastAsia="Calibri" w:cs="Calibri"/>
          <w:noProof/>
          <w:sz w:val="22"/>
          <w:szCs w:val="22"/>
        </w:rPr>
        <w:t>. Over time, the new EU cybersecurity regulatory framework will strengthen the EU’s cybersecurity overall preparedness, reduce dependencies on high-risk third-country suppliers and position the EU as a global standard-setter in secure digital ecosystems.</w:t>
      </w:r>
    </w:p>
    <w:p w14:paraId="6C80DEB8" w14:textId="061B395E" w:rsidR="00F515E5" w:rsidRPr="00417E18" w:rsidRDefault="72E28555" w:rsidP="00424F3B">
      <w:pPr>
        <w:spacing w:before="0"/>
        <w:rPr>
          <w:rFonts w:eastAsia="Calibri" w:cs="Calibri"/>
          <w:noProof/>
          <w:sz w:val="22"/>
          <w:szCs w:val="22"/>
        </w:rPr>
      </w:pPr>
      <w:r w:rsidRPr="00417E18">
        <w:rPr>
          <w:rFonts w:eastAsia="Calibri" w:cs="Calibri"/>
          <w:noProof/>
          <w:sz w:val="22"/>
          <w:szCs w:val="22"/>
        </w:rPr>
        <w:t xml:space="preserve">Looking ahead, </w:t>
      </w:r>
      <w:r w:rsidRPr="00417E18">
        <w:rPr>
          <w:rFonts w:eastAsia="Calibri" w:cs="Calibri"/>
          <w:b/>
          <w:bCs/>
          <w:noProof/>
          <w:sz w:val="22"/>
          <w:szCs w:val="22"/>
        </w:rPr>
        <w:t xml:space="preserve">future cybersecurity </w:t>
      </w:r>
      <w:r w:rsidRPr="0C856F1D">
        <w:rPr>
          <w:rFonts w:eastAsia="Calibri" w:cs="Calibri"/>
          <w:b/>
          <w:bCs/>
          <w:noProof/>
          <w:sz w:val="22"/>
          <w:szCs w:val="22"/>
        </w:rPr>
        <w:t>investment</w:t>
      </w:r>
      <w:r w:rsidR="00B65A53" w:rsidRPr="0C856F1D">
        <w:rPr>
          <w:rFonts w:eastAsia="Calibri" w:cs="Calibri"/>
          <w:b/>
          <w:bCs/>
          <w:noProof/>
          <w:sz w:val="22"/>
          <w:szCs w:val="22"/>
        </w:rPr>
        <w:t xml:space="preserve"> </w:t>
      </w:r>
      <w:r w:rsidR="00B65A53" w:rsidRPr="07868930">
        <w:rPr>
          <w:rFonts w:eastAsia="Calibri" w:cs="Calibri"/>
          <w:b/>
          <w:bCs/>
          <w:noProof/>
          <w:sz w:val="22"/>
          <w:szCs w:val="22"/>
        </w:rPr>
        <w:t>needs</w:t>
      </w:r>
      <w:r w:rsidR="00B65A53" w:rsidRPr="0C856F1D">
        <w:rPr>
          <w:rFonts w:eastAsia="Calibri" w:cs="Calibri"/>
          <w:b/>
          <w:bCs/>
          <w:noProof/>
          <w:sz w:val="22"/>
          <w:szCs w:val="22"/>
        </w:rPr>
        <w:t xml:space="preserve"> to build on</w:t>
      </w:r>
      <w:r w:rsidRPr="00417E18">
        <w:rPr>
          <w:rFonts w:eastAsia="Calibri" w:cs="Calibri"/>
          <w:b/>
          <w:bCs/>
          <w:noProof/>
          <w:sz w:val="22"/>
          <w:szCs w:val="22"/>
        </w:rPr>
        <w:t xml:space="preserve"> what has already been achieved and focus on areas where strategic gaps remain.</w:t>
      </w:r>
      <w:r w:rsidRPr="00417E18">
        <w:rPr>
          <w:rFonts w:eastAsia="Calibri" w:cs="Calibri"/>
          <w:noProof/>
          <w:sz w:val="22"/>
          <w:szCs w:val="22"/>
        </w:rPr>
        <w:t xml:space="preserve"> </w:t>
      </w:r>
      <w:r w:rsidR="00F15CB5">
        <w:rPr>
          <w:rFonts w:eastAsia="Calibri" w:cs="Calibri"/>
          <w:noProof/>
          <w:sz w:val="22"/>
          <w:szCs w:val="22"/>
        </w:rPr>
        <w:t>Key priorities relate to</w:t>
      </w:r>
      <w:r w:rsidRPr="00417E18">
        <w:rPr>
          <w:rFonts w:eastAsia="Calibri" w:cs="Calibri"/>
          <w:noProof/>
          <w:sz w:val="22"/>
          <w:szCs w:val="22"/>
        </w:rPr>
        <w:t xml:space="preserve"> Europe’s preparedness, digital sovereignty, support regulatory implementation, and enable resilience in the face of accelerating threats and technological change. These priorities can be structured around </w:t>
      </w:r>
      <w:r w:rsidR="00E123AD" w:rsidRPr="0C856F1D">
        <w:rPr>
          <w:rFonts w:eastAsia="Calibri" w:cs="Calibri"/>
          <w:noProof/>
          <w:sz w:val="22"/>
          <w:szCs w:val="22"/>
        </w:rPr>
        <w:t>three</w:t>
      </w:r>
      <w:r w:rsidRPr="00417E18">
        <w:rPr>
          <w:rFonts w:eastAsia="Calibri" w:cs="Calibri"/>
          <w:noProof/>
          <w:sz w:val="22"/>
          <w:szCs w:val="22"/>
        </w:rPr>
        <w:t xml:space="preserve"> strategic investment pillars:</w:t>
      </w:r>
    </w:p>
    <w:p w14:paraId="17E1443C" w14:textId="79E02AFC" w:rsidR="00F515E5" w:rsidRPr="00417E18" w:rsidRDefault="72E28555" w:rsidP="00F36E2D">
      <w:pPr>
        <w:pStyle w:val="ListParagraph"/>
        <w:numPr>
          <w:ilvl w:val="0"/>
          <w:numId w:val="11"/>
        </w:numPr>
        <w:spacing w:before="0"/>
        <w:rPr>
          <w:rFonts w:eastAsia="Calibri" w:cs="Calibri"/>
          <w:noProof/>
          <w:sz w:val="22"/>
          <w:szCs w:val="22"/>
        </w:rPr>
      </w:pPr>
      <w:r w:rsidRPr="00417E18">
        <w:rPr>
          <w:rFonts w:eastAsia="Calibri" w:cs="Calibri"/>
          <w:noProof/>
          <w:sz w:val="22"/>
          <w:szCs w:val="22"/>
        </w:rPr>
        <w:t xml:space="preserve">Pillar 1 </w:t>
      </w:r>
      <w:r w:rsidR="00944EB1">
        <w:rPr>
          <w:rFonts w:eastAsia="Calibri" w:cs="Calibri"/>
          <w:noProof/>
          <w:sz w:val="22"/>
          <w:szCs w:val="22"/>
        </w:rPr>
        <w:t>-</w:t>
      </w:r>
      <w:r w:rsidRPr="00417E18">
        <w:rPr>
          <w:rFonts w:eastAsia="Calibri" w:cs="Calibri"/>
          <w:noProof/>
          <w:sz w:val="22"/>
          <w:szCs w:val="22"/>
        </w:rPr>
        <w:t xml:space="preserve"> Knowledge &amp; R&amp;I - This pillar strengthens Europe’s technological foundations.</w:t>
      </w:r>
    </w:p>
    <w:p w14:paraId="21AECD72" w14:textId="0C869D61" w:rsidR="00F515E5" w:rsidRPr="00417E18" w:rsidRDefault="72E28555" w:rsidP="00F36E2D">
      <w:pPr>
        <w:pStyle w:val="ListParagraph"/>
        <w:numPr>
          <w:ilvl w:val="0"/>
          <w:numId w:val="11"/>
        </w:numPr>
        <w:spacing w:before="0"/>
        <w:rPr>
          <w:rFonts w:eastAsia="Calibri" w:cs="Calibri"/>
          <w:noProof/>
          <w:sz w:val="22"/>
          <w:szCs w:val="22"/>
        </w:rPr>
      </w:pPr>
      <w:r w:rsidRPr="00417E18">
        <w:rPr>
          <w:rFonts w:eastAsia="Calibri" w:cs="Calibri"/>
          <w:noProof/>
          <w:sz w:val="22"/>
          <w:szCs w:val="22"/>
        </w:rPr>
        <w:t xml:space="preserve">Pillar 2 </w:t>
      </w:r>
      <w:r w:rsidR="00944EB1">
        <w:rPr>
          <w:rFonts w:eastAsia="Calibri" w:cs="Calibri"/>
          <w:noProof/>
          <w:sz w:val="22"/>
          <w:szCs w:val="22"/>
        </w:rPr>
        <w:t>-</w:t>
      </w:r>
      <w:r w:rsidRPr="00417E18">
        <w:rPr>
          <w:rFonts w:eastAsia="Calibri" w:cs="Calibri"/>
          <w:noProof/>
          <w:sz w:val="22"/>
          <w:szCs w:val="22"/>
        </w:rPr>
        <w:t xml:space="preserve"> Industrial scale-up &amp; market uptake “Made in the EU” - This pillar consolidates a competitive European cybersecurity industry.</w:t>
      </w:r>
    </w:p>
    <w:p w14:paraId="34B71A4A" w14:textId="592AB3AD" w:rsidR="00F515E5" w:rsidRPr="00417E18" w:rsidRDefault="72E28555" w:rsidP="00F36E2D">
      <w:pPr>
        <w:pStyle w:val="ListParagraph"/>
        <w:numPr>
          <w:ilvl w:val="0"/>
          <w:numId w:val="11"/>
        </w:numPr>
        <w:spacing w:before="0"/>
        <w:rPr>
          <w:rFonts w:eastAsia="Calibri" w:cs="Calibri"/>
          <w:noProof/>
          <w:sz w:val="22"/>
          <w:szCs w:val="22"/>
        </w:rPr>
      </w:pPr>
      <w:r w:rsidRPr="00417E18">
        <w:rPr>
          <w:rFonts w:eastAsia="Calibri" w:cs="Calibri"/>
          <w:noProof/>
          <w:sz w:val="22"/>
          <w:szCs w:val="22"/>
        </w:rPr>
        <w:t xml:space="preserve">Pillar 3 </w:t>
      </w:r>
      <w:r w:rsidR="00944EB1">
        <w:rPr>
          <w:rFonts w:eastAsia="Calibri" w:cs="Calibri"/>
          <w:noProof/>
          <w:sz w:val="22"/>
          <w:szCs w:val="22"/>
        </w:rPr>
        <w:t>-</w:t>
      </w:r>
      <w:r w:rsidRPr="00417E18">
        <w:rPr>
          <w:rFonts w:eastAsia="Calibri" w:cs="Calibri"/>
          <w:noProof/>
          <w:sz w:val="22"/>
          <w:szCs w:val="22"/>
        </w:rPr>
        <w:t xml:space="preserve"> Resilience of the Digital Market and Infrastructures - This pillar strengthens operational resilience.</w:t>
      </w:r>
    </w:p>
    <w:p w14:paraId="4A84B888" w14:textId="5D7483DE" w:rsidR="00F515E5" w:rsidRPr="00417E18" w:rsidRDefault="72E28555" w:rsidP="00424F3B">
      <w:pPr>
        <w:spacing w:before="0"/>
        <w:rPr>
          <w:rFonts w:eastAsia="Calibri" w:cs="Calibri"/>
          <w:noProof/>
          <w:sz w:val="22"/>
          <w:szCs w:val="22"/>
        </w:rPr>
      </w:pPr>
      <w:r w:rsidRPr="00417E18">
        <w:rPr>
          <w:rFonts w:eastAsia="Calibri" w:cs="Calibri"/>
          <w:b/>
          <w:noProof/>
          <w:sz w:val="22"/>
          <w:szCs w:val="22"/>
        </w:rPr>
        <w:t>Cybersecurity must also be treated as a cross-cutting priority.</w:t>
      </w:r>
      <w:r w:rsidRPr="00417E18">
        <w:rPr>
          <w:rFonts w:eastAsia="Calibri" w:cs="Calibri"/>
          <w:noProof/>
          <w:sz w:val="22"/>
          <w:szCs w:val="22"/>
        </w:rPr>
        <w:t xml:space="preserve"> The resilience of digital infrastructures, public services and sectoral systems depends on ensuring that capabilities developed under dedicated cybersecurity programmes are consistently embedded across all investment areas.</w:t>
      </w:r>
    </w:p>
    <w:tbl>
      <w:tblPr>
        <w:tblStyle w:val="TableGrid"/>
        <w:tblW w:w="0" w:type="auto"/>
        <w:tblLook w:val="06A0" w:firstRow="1" w:lastRow="0" w:firstColumn="1" w:lastColumn="0" w:noHBand="1" w:noVBand="1"/>
      </w:tblPr>
      <w:tblGrid>
        <w:gridCol w:w="9350"/>
      </w:tblGrid>
      <w:tr w:rsidR="275D9CD8" w:rsidRPr="00417E18" w14:paraId="77D78EE1" w14:textId="77777777" w:rsidTr="02C3B4EB">
        <w:trPr>
          <w:trHeight w:val="791"/>
        </w:trPr>
        <w:tc>
          <w:tcPr>
            <w:tcW w:w="9360" w:type="dxa"/>
            <w:shd w:val="clear" w:color="auto" w:fill="D4F1EE"/>
          </w:tcPr>
          <w:p w14:paraId="25A638F8" w14:textId="2242AE74" w:rsidR="773CB1B9" w:rsidRPr="00417E18" w:rsidRDefault="773CB1B9" w:rsidP="00424F3B">
            <w:pPr>
              <w:spacing w:before="0"/>
              <w:rPr>
                <w:b/>
                <w:noProof/>
              </w:rPr>
            </w:pPr>
            <w:r w:rsidRPr="02C3B4EB">
              <w:rPr>
                <w:b/>
                <w:bCs/>
                <w:noProof/>
              </w:rPr>
              <w:t>Recommendation</w:t>
            </w:r>
            <w:r w:rsidR="00B5623E">
              <w:rPr>
                <w:b/>
                <w:bCs/>
                <w:noProof/>
              </w:rPr>
              <w:t>:</w:t>
            </w:r>
          </w:p>
          <w:p w14:paraId="70611465" w14:textId="77643AB4" w:rsidR="275D9CD8" w:rsidRPr="005670C5" w:rsidRDefault="13A5A5D4" w:rsidP="02C3B4EB">
            <w:pPr>
              <w:spacing w:before="60" w:after="120" w:line="278" w:lineRule="auto"/>
              <w:rPr>
                <w:rFonts w:cs="Calibri"/>
                <w:noProof/>
              </w:rPr>
            </w:pPr>
            <w:r w:rsidRPr="02C3B4EB">
              <w:rPr>
                <w:rFonts w:cs="Calibri"/>
                <w:noProof/>
              </w:rPr>
              <w:t>Member States should reinforce cybersecurity in critical sectors and across the digital value chain, by:</w:t>
            </w:r>
          </w:p>
          <w:p w14:paraId="3149D3B7" w14:textId="78690CD8" w:rsidR="275D9CD8" w:rsidRPr="005670C5" w:rsidRDefault="13A5A5D4" w:rsidP="02C3B4EB">
            <w:pPr>
              <w:pStyle w:val="ListParagraph"/>
              <w:numPr>
                <w:ilvl w:val="0"/>
                <w:numId w:val="5"/>
              </w:numPr>
              <w:spacing w:before="60" w:after="120" w:line="278" w:lineRule="auto"/>
              <w:rPr>
                <w:noProof/>
                <w:sz w:val="24"/>
                <w:szCs w:val="24"/>
              </w:rPr>
            </w:pPr>
            <w:r>
              <w:rPr>
                <w:noProof/>
              </w:rPr>
              <w:t xml:space="preserve">taking measures to enhance cybersecurity in critical sectors commensurate to the level of risk, ensuring effective cooperation between relevant national authorities, </w:t>
            </w:r>
            <w:r w:rsidR="0047403E">
              <w:rPr>
                <w:noProof/>
              </w:rPr>
              <w:t xml:space="preserve">as mandated by the NIS2 </w:t>
            </w:r>
            <w:r w:rsidDel="001B63BF">
              <w:rPr>
                <w:noProof/>
              </w:rPr>
              <w:t>Directive</w:t>
            </w:r>
            <w:r>
              <w:rPr>
                <w:noProof/>
              </w:rPr>
              <w:t>, ensuring timely implementation of the Cyber Resilience Act, and engaging with the European Commission and the EU Agency for Cybersecurity (ENISA) on the new challenges posed by the cybersecurity capabilities of the most advanced AI models;</w:t>
            </w:r>
          </w:p>
          <w:p w14:paraId="0313752E" w14:textId="0834CA0C" w:rsidR="275D9CD8" w:rsidRPr="005670C5" w:rsidRDefault="275D9CD8" w:rsidP="02C3B4EB">
            <w:pPr>
              <w:pStyle w:val="ListParagraph"/>
              <w:spacing w:before="60" w:after="120" w:line="278" w:lineRule="auto"/>
              <w:rPr>
                <w:noProof/>
                <w:sz w:val="24"/>
                <w:szCs w:val="24"/>
              </w:rPr>
            </w:pPr>
          </w:p>
          <w:p w14:paraId="50D7AFE3" w14:textId="5A01D733" w:rsidR="275D9CD8" w:rsidRPr="005670C5" w:rsidRDefault="13A5A5D4" w:rsidP="02C3B4EB">
            <w:pPr>
              <w:pStyle w:val="ListParagraph"/>
              <w:numPr>
                <w:ilvl w:val="0"/>
                <w:numId w:val="5"/>
              </w:numPr>
              <w:spacing w:before="60" w:after="120" w:line="278" w:lineRule="auto"/>
              <w:rPr>
                <w:noProof/>
                <w:sz w:val="24"/>
                <w:szCs w:val="24"/>
              </w:rPr>
            </w:pPr>
            <w:r>
              <w:rPr>
                <w:noProof/>
              </w:rPr>
              <w:t>de-risking ICT supply chains based on Union-level coordinated security risk assessments, mitigating dependencies and phasing out high-risk suppliers from key ICT assets in critical infrastructure, including in electronic communications networks;</w:t>
            </w:r>
          </w:p>
          <w:p w14:paraId="00C45F00" w14:textId="31538698" w:rsidR="275D9CD8" w:rsidRPr="005670C5" w:rsidRDefault="275D9CD8" w:rsidP="02C3B4EB">
            <w:pPr>
              <w:pStyle w:val="ListParagraph"/>
              <w:spacing w:before="60" w:after="120" w:line="278" w:lineRule="auto"/>
              <w:rPr>
                <w:noProof/>
                <w:sz w:val="24"/>
                <w:szCs w:val="24"/>
              </w:rPr>
            </w:pPr>
          </w:p>
          <w:p w14:paraId="46F722EF" w14:textId="1E1706AE" w:rsidR="275D9CD8" w:rsidRPr="005670C5" w:rsidRDefault="13A5A5D4" w:rsidP="02C3B4EB">
            <w:pPr>
              <w:pStyle w:val="ListParagraph"/>
              <w:numPr>
                <w:ilvl w:val="0"/>
                <w:numId w:val="5"/>
              </w:numPr>
              <w:spacing w:before="60" w:after="120" w:line="278" w:lineRule="auto"/>
              <w:rPr>
                <w:noProof/>
                <w:sz w:val="24"/>
                <w:szCs w:val="24"/>
              </w:rPr>
            </w:pPr>
            <w:r>
              <w:rPr>
                <w:noProof/>
              </w:rPr>
              <w:t>establishing structured multi-annual national funding mechanisms for cybersecurity, aligned with EU-level strategic priorities, to ensure the scale and continuity of investment required. Member States should allocate stable national funding envelopes dedicated to actions, such as the uptake of trusted European cybersecurity capabilities, the deployment of cybersecurity infrastructures, and the development of advanced cybersecurity solutions including dual-use, facilitating their access to later-stage capital. This coordinated investment effort should maximise the impact of Union programmes, reduce fragmentation, and provide the necessary critical mass to achieve strategic autonomy in key cybersecurity technologies. Similarly, strategic EU investment in AI cybersecurity capabilities and acceleration of adoption across strategic sectors will be critical to avoid a cyber offence-defence asymmetry in the near future;</w:t>
            </w:r>
          </w:p>
          <w:p w14:paraId="057942E5" w14:textId="5E3338D9" w:rsidR="275D9CD8" w:rsidRPr="005670C5" w:rsidRDefault="275D9CD8" w:rsidP="02C3B4EB">
            <w:pPr>
              <w:pStyle w:val="ListParagraph"/>
              <w:spacing w:before="60" w:after="120" w:line="278" w:lineRule="auto"/>
              <w:rPr>
                <w:noProof/>
                <w:sz w:val="24"/>
                <w:szCs w:val="24"/>
              </w:rPr>
            </w:pPr>
          </w:p>
          <w:p w14:paraId="55804A8C" w14:textId="3CA95564" w:rsidR="275D9CD8" w:rsidRPr="005670C5" w:rsidRDefault="13A5A5D4" w:rsidP="02C3B4EB">
            <w:pPr>
              <w:pStyle w:val="ListParagraph"/>
              <w:numPr>
                <w:ilvl w:val="0"/>
                <w:numId w:val="5"/>
              </w:numPr>
              <w:spacing w:before="60" w:after="120" w:line="278" w:lineRule="auto"/>
              <w:rPr>
                <w:noProof/>
                <w:sz w:val="24"/>
                <w:szCs w:val="24"/>
              </w:rPr>
            </w:pPr>
            <w:r>
              <w:rPr>
                <w:noProof/>
              </w:rPr>
              <w:t>continuing to develop the cybersecurity workforce by investing in skills on EU cross-border projects, and making use of the European Cybersecurity Skills Framework</w:t>
            </w:r>
            <w:r w:rsidR="00E93584">
              <w:rPr>
                <w:noProof/>
              </w:rPr>
              <w:t>;</w:t>
            </w:r>
          </w:p>
          <w:p w14:paraId="0945B5A0" w14:textId="376FB464" w:rsidR="275D9CD8" w:rsidRPr="005670C5" w:rsidRDefault="275D9CD8" w:rsidP="02C3B4EB">
            <w:pPr>
              <w:pStyle w:val="ListParagraph"/>
              <w:spacing w:before="60" w:after="120" w:line="278" w:lineRule="auto"/>
              <w:rPr>
                <w:noProof/>
                <w:sz w:val="24"/>
                <w:szCs w:val="24"/>
              </w:rPr>
            </w:pPr>
          </w:p>
          <w:p w14:paraId="13E7E8BA" w14:textId="62BA4398" w:rsidR="275D9CD8" w:rsidRPr="005670C5" w:rsidRDefault="13A5A5D4" w:rsidP="02C3B4EB">
            <w:pPr>
              <w:pStyle w:val="ListParagraph"/>
              <w:numPr>
                <w:ilvl w:val="0"/>
                <w:numId w:val="5"/>
              </w:numPr>
              <w:spacing w:before="60" w:after="120" w:line="278" w:lineRule="auto"/>
              <w:rPr>
                <w:noProof/>
                <w:sz w:val="24"/>
                <w:szCs w:val="24"/>
              </w:rPr>
            </w:pPr>
            <w:r>
              <w:rPr>
                <w:noProof/>
              </w:rPr>
              <w:t xml:space="preserve">putting in place measures to support the transition to </w:t>
            </w:r>
            <w:r w:rsidR="4546688F">
              <w:rPr>
                <w:noProof/>
              </w:rPr>
              <w:t>P</w:t>
            </w:r>
            <w:r w:rsidR="6C2373D7">
              <w:rPr>
                <w:noProof/>
              </w:rPr>
              <w:t>ost</w:t>
            </w:r>
            <w:r w:rsidR="2EF8C48C">
              <w:rPr>
                <w:noProof/>
              </w:rPr>
              <w:t xml:space="preserve"> </w:t>
            </w:r>
            <w:r w:rsidR="6C2373D7">
              <w:rPr>
                <w:noProof/>
              </w:rPr>
              <w:t>-</w:t>
            </w:r>
            <w:r w:rsidR="66059C41">
              <w:rPr>
                <w:noProof/>
              </w:rPr>
              <w:t>Q</w:t>
            </w:r>
            <w:r w:rsidR="6C2373D7">
              <w:rPr>
                <w:noProof/>
              </w:rPr>
              <w:t xml:space="preserve">uantum </w:t>
            </w:r>
            <w:r w:rsidR="03D1CCE2">
              <w:rPr>
                <w:noProof/>
              </w:rPr>
              <w:t>C</w:t>
            </w:r>
            <w:r>
              <w:rPr>
                <w:noProof/>
              </w:rPr>
              <w:t>ryptography in accordance with the timeline set in the Coordinated Implementation Roadmap for the Transition to Post</w:t>
            </w:r>
            <w:r w:rsidR="46AFF634">
              <w:rPr>
                <w:noProof/>
              </w:rPr>
              <w:t xml:space="preserve"> </w:t>
            </w:r>
            <w:r>
              <w:rPr>
                <w:noProof/>
              </w:rPr>
              <w:t>Quantum Cryptography adopted in June 2025</w:t>
            </w:r>
            <w:r w:rsidRPr="4D23A098">
              <w:rPr>
                <w:rFonts w:asciiTheme="minorHAnsi" w:eastAsiaTheme="minorEastAsia" w:hAnsiTheme="minorHAnsi"/>
                <w:noProof/>
                <w:color w:val="000000" w:themeColor="text1"/>
                <w:vertAlign w:val="superscript"/>
                <w:lang w:eastAsia="en-GB"/>
              </w:rPr>
              <w:footnoteReference w:id="68"/>
            </w:r>
            <w:r>
              <w:rPr>
                <w:noProof/>
              </w:rPr>
              <w:t>;</w:t>
            </w:r>
          </w:p>
          <w:p w14:paraId="5260E196" w14:textId="1BAEAD28" w:rsidR="275D9CD8" w:rsidRPr="005670C5" w:rsidRDefault="275D9CD8" w:rsidP="02C3B4EB">
            <w:pPr>
              <w:pStyle w:val="ListParagraph"/>
              <w:spacing w:before="60" w:after="120" w:line="278" w:lineRule="auto"/>
              <w:rPr>
                <w:noProof/>
                <w:sz w:val="24"/>
                <w:szCs w:val="24"/>
              </w:rPr>
            </w:pPr>
          </w:p>
          <w:p w14:paraId="3F6A10D5" w14:textId="7198C35E" w:rsidR="275D9CD8" w:rsidRPr="005670C5" w:rsidRDefault="13A5A5D4" w:rsidP="02C3B4EB">
            <w:pPr>
              <w:pStyle w:val="ListParagraph"/>
              <w:numPr>
                <w:ilvl w:val="0"/>
                <w:numId w:val="5"/>
              </w:numPr>
              <w:spacing w:before="60" w:after="120" w:line="278" w:lineRule="auto"/>
              <w:rPr>
                <w:noProof/>
                <w:sz w:val="24"/>
                <w:szCs w:val="24"/>
              </w:rPr>
            </w:pPr>
            <w:r>
              <w:rPr>
                <w:noProof/>
              </w:rPr>
              <w:t>accelerating the actions foreseen in the Action Plan on cybersecurity of hospitals and healthcare providers, including the distribution of Cybersecurity Vouchers;</w:t>
            </w:r>
          </w:p>
          <w:p w14:paraId="51C2C295" w14:textId="35E44F88" w:rsidR="275D9CD8" w:rsidRPr="005670C5" w:rsidRDefault="275D9CD8" w:rsidP="02C3B4EB">
            <w:pPr>
              <w:pStyle w:val="ListParagraph"/>
              <w:spacing w:before="60" w:after="120" w:line="278" w:lineRule="auto"/>
              <w:rPr>
                <w:noProof/>
                <w:sz w:val="24"/>
                <w:szCs w:val="24"/>
              </w:rPr>
            </w:pPr>
          </w:p>
          <w:p w14:paraId="49609790" w14:textId="51DC40C5" w:rsidR="275D9CD8" w:rsidRPr="005670C5" w:rsidRDefault="13A5A5D4" w:rsidP="02C3B4EB">
            <w:pPr>
              <w:pStyle w:val="ListParagraph"/>
              <w:numPr>
                <w:ilvl w:val="0"/>
                <w:numId w:val="5"/>
              </w:numPr>
              <w:spacing w:before="60" w:after="120" w:line="278" w:lineRule="auto"/>
              <w:rPr>
                <w:noProof/>
                <w:sz w:val="24"/>
                <w:szCs w:val="24"/>
              </w:rPr>
            </w:pPr>
            <w:r>
              <w:rPr>
                <w:noProof/>
              </w:rPr>
              <w:t>establishing robust and timely conformity assessment and supervision capabilities, providing targeted support - particularly to SMEs - to meet cybersecurity requirements, and fostering cross-border information sharing to strengthen product cybersecurity across the single market, notably in the context of the Cyber Resilience Act implementation;</w:t>
            </w:r>
          </w:p>
          <w:p w14:paraId="21CAB622" w14:textId="2C0B178F" w:rsidR="275D9CD8" w:rsidRPr="005670C5" w:rsidRDefault="275D9CD8" w:rsidP="02C3B4EB">
            <w:pPr>
              <w:pStyle w:val="ListParagraph"/>
              <w:spacing w:before="60" w:after="120" w:line="278" w:lineRule="auto"/>
              <w:rPr>
                <w:noProof/>
                <w:sz w:val="24"/>
                <w:szCs w:val="24"/>
              </w:rPr>
            </w:pPr>
          </w:p>
          <w:p w14:paraId="60B6321F" w14:textId="61F37931" w:rsidR="275D9CD8" w:rsidRPr="005670C5" w:rsidRDefault="13A5A5D4" w:rsidP="02C3B4EB">
            <w:pPr>
              <w:pStyle w:val="ListParagraph"/>
              <w:numPr>
                <w:ilvl w:val="0"/>
                <w:numId w:val="5"/>
              </w:numPr>
              <w:spacing w:before="60" w:after="120" w:line="278" w:lineRule="auto"/>
              <w:rPr>
                <w:noProof/>
                <w:sz w:val="24"/>
                <w:szCs w:val="24"/>
              </w:rPr>
            </w:pPr>
            <w:r>
              <w:rPr>
                <w:noProof/>
              </w:rPr>
              <w:t>developing sovereign, interoperable secure communications tools based on open</w:t>
            </w:r>
            <w:r w:rsidR="002F5F94">
              <w:rPr>
                <w:noProof/>
              </w:rPr>
              <w:t>-</w:t>
            </w:r>
            <w:r>
              <w:rPr>
                <w:noProof/>
              </w:rPr>
              <w:t>source protocols in line with the Preparedness Union Strategy, ProtectEU Strategy and the Council Recommendation for a Cyber Crisis Management Blueprint, to reinforce the EU’s autonomy and strengthen the EU’s ability to manage crises and ensure operational resilience.</w:t>
            </w:r>
          </w:p>
        </w:tc>
      </w:tr>
    </w:tbl>
    <w:p w14:paraId="3B917B89" w14:textId="7F053F47" w:rsidR="331E198E" w:rsidRPr="000725B9" w:rsidRDefault="4DB62358" w:rsidP="00E11929">
      <w:pPr>
        <w:pStyle w:val="Heading1"/>
        <w:numPr>
          <w:ilvl w:val="0"/>
          <w:numId w:val="40"/>
        </w:numPr>
        <w:spacing w:before="200"/>
        <w:rPr>
          <w:noProof/>
        </w:rPr>
      </w:pPr>
      <w:bookmarkStart w:id="78" w:name="_Toc226710907"/>
      <w:bookmarkStart w:id="79" w:name="_Toc1286001613"/>
      <w:bookmarkStart w:id="80" w:name="_Toc889346454"/>
      <w:bookmarkStart w:id="81" w:name="_Toc231830062"/>
      <w:r w:rsidRPr="00417E18">
        <w:rPr>
          <w:noProof/>
        </w:rPr>
        <w:t>Protecting and empowering people, reducing burdens and harnessing digitalisation for sustainability</w:t>
      </w:r>
      <w:bookmarkEnd w:id="78"/>
      <w:bookmarkEnd w:id="79"/>
      <w:bookmarkEnd w:id="80"/>
      <w:bookmarkEnd w:id="81"/>
    </w:p>
    <w:p w14:paraId="0ACAF5FE" w14:textId="661F59DD" w:rsidR="00783EDE" w:rsidRPr="00417E18" w:rsidRDefault="004E2425" w:rsidP="1C255B59">
      <w:pPr>
        <w:rPr>
          <w:noProof/>
          <w:sz w:val="22"/>
          <w:szCs w:val="22"/>
        </w:rPr>
      </w:pPr>
      <w:r w:rsidRPr="00417E18">
        <w:rPr>
          <w:noProof/>
          <w:sz w:val="22"/>
          <w:szCs w:val="22"/>
        </w:rPr>
        <w:t xml:space="preserve">Since its adoption in 2023, </w:t>
      </w:r>
      <w:r w:rsidR="00CA65BF" w:rsidRPr="00417E18">
        <w:rPr>
          <w:noProof/>
          <w:sz w:val="22"/>
          <w:szCs w:val="22"/>
        </w:rPr>
        <w:t xml:space="preserve">the European Declaration on Digital Rights and Principles has informed the Digital Decade Policy Programme, </w:t>
      </w:r>
      <w:r w:rsidR="00B12A9A" w:rsidRPr="07868930">
        <w:rPr>
          <w:noProof/>
          <w:sz w:val="22"/>
          <w:szCs w:val="22"/>
        </w:rPr>
        <w:t>serving</w:t>
      </w:r>
      <w:r w:rsidR="00D849B1" w:rsidRPr="00417E18">
        <w:rPr>
          <w:noProof/>
          <w:sz w:val="22"/>
          <w:szCs w:val="22"/>
        </w:rPr>
        <w:t xml:space="preserve"> as an anchor of the </w:t>
      </w:r>
      <w:r w:rsidR="00556C4C" w:rsidRPr="00417E18">
        <w:rPr>
          <w:noProof/>
          <w:sz w:val="22"/>
          <w:szCs w:val="22"/>
        </w:rPr>
        <w:t>digital</w:t>
      </w:r>
      <w:r w:rsidR="004064DE" w:rsidRPr="00417E18">
        <w:rPr>
          <w:noProof/>
          <w:sz w:val="22"/>
          <w:szCs w:val="22"/>
        </w:rPr>
        <w:t xml:space="preserve"> transformation of the EU towards </w:t>
      </w:r>
      <w:r w:rsidR="00D86783" w:rsidRPr="00417E18">
        <w:rPr>
          <w:noProof/>
          <w:sz w:val="22"/>
          <w:szCs w:val="22"/>
        </w:rPr>
        <w:t>its</w:t>
      </w:r>
      <w:r w:rsidR="004064DE" w:rsidRPr="00417E18">
        <w:rPr>
          <w:noProof/>
          <w:sz w:val="22"/>
          <w:szCs w:val="22"/>
        </w:rPr>
        <w:t xml:space="preserve"> </w:t>
      </w:r>
      <w:r w:rsidR="001B51A2" w:rsidRPr="00417E18">
        <w:rPr>
          <w:noProof/>
          <w:sz w:val="22"/>
          <w:szCs w:val="22"/>
        </w:rPr>
        <w:t>human-centric vision</w:t>
      </w:r>
      <w:r w:rsidR="00D86783" w:rsidRPr="00417E18">
        <w:rPr>
          <w:noProof/>
          <w:sz w:val="22"/>
          <w:szCs w:val="22"/>
        </w:rPr>
        <w:t>.</w:t>
      </w:r>
      <w:r w:rsidR="004064DE" w:rsidRPr="00417E18">
        <w:rPr>
          <w:noProof/>
          <w:sz w:val="22"/>
          <w:szCs w:val="22"/>
        </w:rPr>
        <w:t xml:space="preserve"> </w:t>
      </w:r>
      <w:r w:rsidR="004D0AAD" w:rsidRPr="00417E18">
        <w:rPr>
          <w:noProof/>
          <w:sz w:val="22"/>
          <w:szCs w:val="22"/>
        </w:rPr>
        <w:t>The principles support the Digital Decade</w:t>
      </w:r>
      <w:r w:rsidR="00CD23F7" w:rsidRPr="00417E18">
        <w:rPr>
          <w:noProof/>
          <w:sz w:val="22"/>
          <w:szCs w:val="22"/>
        </w:rPr>
        <w:t>’s</w:t>
      </w:r>
      <w:r w:rsidR="004D0AAD" w:rsidRPr="00417E18">
        <w:rPr>
          <w:noProof/>
          <w:sz w:val="22"/>
          <w:szCs w:val="22"/>
        </w:rPr>
        <w:t xml:space="preserve"> targets and </w:t>
      </w:r>
      <w:r w:rsidR="003D3FED" w:rsidRPr="00417E18">
        <w:rPr>
          <w:noProof/>
          <w:sz w:val="22"/>
          <w:szCs w:val="22"/>
        </w:rPr>
        <w:t>guide actions</w:t>
      </w:r>
      <w:r w:rsidR="007A2E7B" w:rsidRPr="00417E18">
        <w:rPr>
          <w:noProof/>
          <w:sz w:val="22"/>
          <w:szCs w:val="22"/>
        </w:rPr>
        <w:t xml:space="preserve"> </w:t>
      </w:r>
      <w:r w:rsidR="00817708" w:rsidRPr="07868930">
        <w:rPr>
          <w:noProof/>
          <w:sz w:val="22"/>
          <w:szCs w:val="22"/>
        </w:rPr>
        <w:t>i</w:t>
      </w:r>
      <w:r w:rsidR="002147A6" w:rsidRPr="07868930">
        <w:rPr>
          <w:noProof/>
          <w:sz w:val="22"/>
          <w:szCs w:val="22"/>
        </w:rPr>
        <w:t>n</w:t>
      </w:r>
      <w:r w:rsidR="00817708" w:rsidRPr="07868930">
        <w:rPr>
          <w:noProof/>
          <w:sz w:val="22"/>
          <w:szCs w:val="22"/>
        </w:rPr>
        <w:t xml:space="preserve"> areas such as</w:t>
      </w:r>
      <w:r w:rsidR="00CE66C2" w:rsidRPr="00417E18">
        <w:rPr>
          <w:noProof/>
          <w:sz w:val="22"/>
          <w:szCs w:val="22"/>
        </w:rPr>
        <w:t xml:space="preserve"> </w:t>
      </w:r>
      <w:r w:rsidR="004208C2" w:rsidRPr="00417E18">
        <w:rPr>
          <w:noProof/>
          <w:sz w:val="22"/>
          <w:szCs w:val="22"/>
        </w:rPr>
        <w:t xml:space="preserve">skills development, </w:t>
      </w:r>
      <w:r w:rsidR="00F347A4" w:rsidRPr="00417E18">
        <w:rPr>
          <w:noProof/>
          <w:sz w:val="22"/>
          <w:szCs w:val="22"/>
        </w:rPr>
        <w:t xml:space="preserve">public services, </w:t>
      </w:r>
      <w:r w:rsidR="009744E6" w:rsidRPr="00417E18">
        <w:rPr>
          <w:noProof/>
          <w:sz w:val="22"/>
          <w:szCs w:val="22"/>
        </w:rPr>
        <w:t>solidarity</w:t>
      </w:r>
      <w:r w:rsidR="00E821AF" w:rsidRPr="07868930">
        <w:rPr>
          <w:noProof/>
          <w:sz w:val="22"/>
          <w:szCs w:val="22"/>
        </w:rPr>
        <w:t xml:space="preserve"> and</w:t>
      </w:r>
      <w:r w:rsidR="009744E6" w:rsidRPr="00417E18">
        <w:rPr>
          <w:noProof/>
          <w:sz w:val="22"/>
          <w:szCs w:val="22"/>
        </w:rPr>
        <w:t xml:space="preserve"> digital inclusion.</w:t>
      </w:r>
    </w:p>
    <w:p w14:paraId="544B4DC4" w14:textId="1510956B" w:rsidR="00123BA8" w:rsidRPr="00417E18" w:rsidRDefault="009744E6" w:rsidP="1C255B59">
      <w:pPr>
        <w:rPr>
          <w:noProof/>
          <w:sz w:val="22"/>
          <w:szCs w:val="22"/>
        </w:rPr>
      </w:pPr>
      <w:r w:rsidRPr="00417E18">
        <w:rPr>
          <w:noProof/>
          <w:sz w:val="22"/>
          <w:szCs w:val="22"/>
        </w:rPr>
        <w:t xml:space="preserve">According to the Digital Decade Eurobarometer 2026, </w:t>
      </w:r>
      <w:r w:rsidR="00437540" w:rsidRPr="00417E18">
        <w:rPr>
          <w:noProof/>
          <w:sz w:val="22"/>
          <w:szCs w:val="22"/>
        </w:rPr>
        <w:t xml:space="preserve">51% of respondents consider </w:t>
      </w:r>
      <w:r w:rsidR="00994717" w:rsidRPr="07868930">
        <w:rPr>
          <w:noProof/>
          <w:sz w:val="22"/>
          <w:szCs w:val="22"/>
        </w:rPr>
        <w:t xml:space="preserve">that </w:t>
      </w:r>
      <w:r w:rsidR="00437540" w:rsidRPr="00417E18">
        <w:rPr>
          <w:noProof/>
          <w:sz w:val="22"/>
          <w:szCs w:val="22"/>
        </w:rPr>
        <w:t>the E</w:t>
      </w:r>
      <w:r w:rsidR="008F0A7E" w:rsidRPr="00417E18">
        <w:rPr>
          <w:noProof/>
          <w:sz w:val="22"/>
          <w:szCs w:val="22"/>
        </w:rPr>
        <w:t>U</w:t>
      </w:r>
      <w:r w:rsidR="00437540" w:rsidRPr="00417E18">
        <w:rPr>
          <w:noProof/>
          <w:sz w:val="22"/>
          <w:szCs w:val="22"/>
        </w:rPr>
        <w:t xml:space="preserve"> protects the</w:t>
      </w:r>
      <w:r w:rsidR="008F0A7E" w:rsidRPr="00417E18">
        <w:rPr>
          <w:noProof/>
          <w:sz w:val="22"/>
          <w:szCs w:val="22"/>
        </w:rPr>
        <w:t xml:space="preserve">ir rights </w:t>
      </w:r>
      <w:r w:rsidR="1C25DD16" w:rsidRPr="0C856F1D">
        <w:rPr>
          <w:noProof/>
          <w:sz w:val="22"/>
          <w:szCs w:val="22"/>
        </w:rPr>
        <w:t xml:space="preserve">well </w:t>
      </w:r>
      <w:r w:rsidR="008F0A7E" w:rsidRPr="00417E18">
        <w:rPr>
          <w:noProof/>
          <w:sz w:val="22"/>
          <w:szCs w:val="22"/>
        </w:rPr>
        <w:t>in the digital environment</w:t>
      </w:r>
      <w:r w:rsidR="00E01D69" w:rsidRPr="00417E18">
        <w:rPr>
          <w:noProof/>
          <w:sz w:val="22"/>
          <w:szCs w:val="22"/>
        </w:rPr>
        <w:t xml:space="preserve">. In addition, </w:t>
      </w:r>
      <w:r w:rsidR="00C718E9" w:rsidRPr="00417E18">
        <w:rPr>
          <w:noProof/>
          <w:sz w:val="22"/>
          <w:szCs w:val="22"/>
        </w:rPr>
        <w:t xml:space="preserve">85% of Europeans think </w:t>
      </w:r>
      <w:r w:rsidR="001E3C0C" w:rsidRPr="00417E18">
        <w:rPr>
          <w:noProof/>
          <w:sz w:val="22"/>
          <w:szCs w:val="22"/>
        </w:rPr>
        <w:t>the E</w:t>
      </w:r>
      <w:r w:rsidR="004C7693" w:rsidRPr="00417E18">
        <w:rPr>
          <w:noProof/>
          <w:sz w:val="22"/>
          <w:szCs w:val="22"/>
        </w:rPr>
        <w:t>U</w:t>
      </w:r>
      <w:r w:rsidR="001E3C0C" w:rsidRPr="00417E18">
        <w:rPr>
          <w:noProof/>
          <w:sz w:val="22"/>
          <w:szCs w:val="22"/>
        </w:rPr>
        <w:t xml:space="preserve"> should cooperate with Member States to promote digital education and skills programs, while </w:t>
      </w:r>
      <w:r w:rsidR="004C7693" w:rsidRPr="00417E18">
        <w:rPr>
          <w:noProof/>
          <w:sz w:val="22"/>
          <w:szCs w:val="22"/>
        </w:rPr>
        <w:t xml:space="preserve">84% think </w:t>
      </w:r>
      <w:r w:rsidR="00B14030" w:rsidRPr="00417E18">
        <w:rPr>
          <w:noProof/>
          <w:sz w:val="22"/>
          <w:szCs w:val="22"/>
        </w:rPr>
        <w:t xml:space="preserve">it is important that the EU </w:t>
      </w:r>
      <w:r w:rsidR="143780F9" w:rsidRPr="0C856F1D">
        <w:rPr>
          <w:noProof/>
          <w:sz w:val="22"/>
          <w:szCs w:val="22"/>
        </w:rPr>
        <w:t xml:space="preserve">fulfils </w:t>
      </w:r>
      <w:r w:rsidR="00B14030" w:rsidRPr="00417E18">
        <w:rPr>
          <w:noProof/>
          <w:sz w:val="22"/>
          <w:szCs w:val="22"/>
        </w:rPr>
        <w:t xml:space="preserve">the objective </w:t>
      </w:r>
      <w:r w:rsidR="00FA2ED9" w:rsidRPr="00417E18">
        <w:rPr>
          <w:noProof/>
          <w:sz w:val="22"/>
          <w:szCs w:val="22"/>
        </w:rPr>
        <w:t xml:space="preserve">of </w:t>
      </w:r>
      <w:r w:rsidR="421E01FD" w:rsidRPr="07868930">
        <w:rPr>
          <w:noProof/>
          <w:sz w:val="22"/>
          <w:szCs w:val="22"/>
        </w:rPr>
        <w:t>e</w:t>
      </w:r>
      <w:r w:rsidR="00F3587E" w:rsidRPr="07868930">
        <w:rPr>
          <w:noProof/>
          <w:sz w:val="22"/>
          <w:szCs w:val="22"/>
        </w:rPr>
        <w:t>nsuring</w:t>
      </w:r>
      <w:r w:rsidR="00F3587E" w:rsidRPr="0C856F1D">
        <w:rPr>
          <w:noProof/>
          <w:sz w:val="22"/>
          <w:szCs w:val="22"/>
        </w:rPr>
        <w:t xml:space="preserve"> </w:t>
      </w:r>
      <w:r w:rsidR="7BBAD589" w:rsidRPr="0C856F1D">
        <w:rPr>
          <w:noProof/>
          <w:sz w:val="22"/>
          <w:szCs w:val="22"/>
        </w:rPr>
        <w:t>that</w:t>
      </w:r>
      <w:r w:rsidR="00F3587E" w:rsidRPr="00417E18">
        <w:rPr>
          <w:noProof/>
          <w:sz w:val="22"/>
          <w:szCs w:val="22"/>
        </w:rPr>
        <w:t xml:space="preserve"> all EU citizens have basic digital skills (including AI literacy).</w:t>
      </w:r>
    </w:p>
    <w:p w14:paraId="5739CF81" w14:textId="6B1F25F5" w:rsidR="003A53C2" w:rsidRPr="00417E18" w:rsidRDefault="4DB62358" w:rsidP="00E11929">
      <w:pPr>
        <w:pStyle w:val="Heading2"/>
        <w:numPr>
          <w:ilvl w:val="1"/>
          <w:numId w:val="40"/>
        </w:numPr>
        <w:rPr>
          <w:noProof/>
          <w:sz w:val="28"/>
          <w:szCs w:val="28"/>
        </w:rPr>
      </w:pPr>
      <w:bookmarkStart w:id="82" w:name="_Toc226710908"/>
      <w:bookmarkStart w:id="83" w:name="_Toc464684024"/>
      <w:bookmarkStart w:id="84" w:name="_Toc1968740554"/>
      <w:bookmarkStart w:id="85" w:name="_Toc231830063"/>
      <w:r w:rsidRPr="00417E18">
        <w:rPr>
          <w:noProof/>
          <w:sz w:val="28"/>
          <w:szCs w:val="28"/>
        </w:rPr>
        <w:t>Digital skills for smart society and competitive economy</w:t>
      </w:r>
      <w:bookmarkEnd w:id="82"/>
      <w:bookmarkEnd w:id="83"/>
      <w:bookmarkEnd w:id="84"/>
      <w:bookmarkEnd w:id="85"/>
    </w:p>
    <w:p w14:paraId="2B075E9A" w14:textId="40F3B367" w:rsidR="002F27A1" w:rsidRPr="00417E18" w:rsidRDefault="002F27A1" w:rsidP="002F27A1">
      <w:pPr>
        <w:rPr>
          <w:rFonts w:cs="Calibri"/>
          <w:noProof/>
          <w:sz w:val="22"/>
          <w:szCs w:val="22"/>
        </w:rPr>
      </w:pPr>
      <w:r w:rsidRPr="00417E18">
        <w:rPr>
          <w:rFonts w:cs="Calibri"/>
          <w:b/>
          <w:noProof/>
          <w:sz w:val="22"/>
          <w:szCs w:val="22"/>
        </w:rPr>
        <w:t xml:space="preserve">Empowering citizens and equipping workers with digital skills </w:t>
      </w:r>
      <w:r w:rsidR="45583707" w:rsidRPr="0C856F1D">
        <w:rPr>
          <w:rFonts w:cs="Calibri"/>
          <w:b/>
          <w:bCs/>
          <w:noProof/>
          <w:sz w:val="22"/>
          <w:szCs w:val="22"/>
        </w:rPr>
        <w:t>is</w:t>
      </w:r>
      <w:r w:rsidRPr="00417E18">
        <w:rPr>
          <w:rFonts w:cs="Calibri"/>
          <w:b/>
          <w:noProof/>
          <w:sz w:val="22"/>
          <w:szCs w:val="22"/>
        </w:rPr>
        <w:t xml:space="preserve"> at the core of Europe’s digital transformation, in line with the Declaration on Digital Rights and Principles.</w:t>
      </w:r>
      <w:r w:rsidRPr="00417E18">
        <w:rPr>
          <w:rFonts w:cs="Calibri"/>
          <w:noProof/>
          <w:sz w:val="22"/>
          <w:szCs w:val="22"/>
        </w:rPr>
        <w:t xml:space="preserve"> </w:t>
      </w:r>
      <w:r w:rsidR="001E5CA3" w:rsidRPr="07868930">
        <w:rPr>
          <w:rFonts w:cs="Calibri"/>
          <w:noProof/>
          <w:sz w:val="22"/>
          <w:szCs w:val="22"/>
        </w:rPr>
        <w:t xml:space="preserve">Digital skills are both a social and </w:t>
      </w:r>
      <w:r w:rsidR="00CD428D" w:rsidRPr="07868930">
        <w:rPr>
          <w:rFonts w:cs="Calibri"/>
          <w:noProof/>
          <w:sz w:val="22"/>
          <w:szCs w:val="22"/>
        </w:rPr>
        <w:t xml:space="preserve">an </w:t>
      </w:r>
      <w:r w:rsidR="001E5CA3" w:rsidRPr="07868930">
        <w:rPr>
          <w:rFonts w:cs="Calibri"/>
          <w:noProof/>
          <w:sz w:val="22"/>
          <w:szCs w:val="22"/>
        </w:rPr>
        <w:t xml:space="preserve">economic imperative. </w:t>
      </w:r>
      <w:r w:rsidRPr="00417E18">
        <w:rPr>
          <w:rFonts w:cs="Calibri"/>
          <w:noProof/>
          <w:sz w:val="22"/>
          <w:szCs w:val="22"/>
        </w:rPr>
        <w:t xml:space="preserve">Basic digital skills are essential for </w:t>
      </w:r>
      <w:r w:rsidR="00CD428D" w:rsidRPr="07868930">
        <w:rPr>
          <w:rFonts w:cs="Calibri"/>
          <w:noProof/>
          <w:sz w:val="22"/>
          <w:szCs w:val="22"/>
        </w:rPr>
        <w:t xml:space="preserve">meaningful </w:t>
      </w:r>
      <w:r w:rsidRPr="00417E18">
        <w:rPr>
          <w:rFonts w:cs="Calibri"/>
          <w:noProof/>
          <w:sz w:val="22"/>
          <w:szCs w:val="22"/>
        </w:rPr>
        <w:t>participation</w:t>
      </w:r>
      <w:r w:rsidR="00CD428D" w:rsidRPr="07868930">
        <w:rPr>
          <w:rFonts w:cs="Calibri"/>
          <w:noProof/>
          <w:sz w:val="22"/>
          <w:szCs w:val="22"/>
        </w:rPr>
        <w:t xml:space="preserve"> in society</w:t>
      </w:r>
      <w:r w:rsidRPr="07868930">
        <w:rPr>
          <w:rFonts w:cs="Calibri"/>
          <w:noProof/>
          <w:sz w:val="22"/>
          <w:szCs w:val="22"/>
        </w:rPr>
        <w:t xml:space="preserve">, </w:t>
      </w:r>
      <w:r w:rsidR="008223D8" w:rsidRPr="07868930">
        <w:rPr>
          <w:rFonts w:cs="Calibri"/>
          <w:noProof/>
          <w:sz w:val="22"/>
          <w:szCs w:val="22"/>
        </w:rPr>
        <w:t>access to services,</w:t>
      </w:r>
      <w:r w:rsidRPr="00417E18">
        <w:rPr>
          <w:rFonts w:cs="Calibri"/>
          <w:noProof/>
          <w:sz w:val="22"/>
          <w:szCs w:val="22"/>
        </w:rPr>
        <w:t xml:space="preserve"> inclusion, and democratic resilience, while the availability of highly skilled professionals</w:t>
      </w:r>
      <w:r w:rsidR="7B4B1C0D" w:rsidRPr="00417E18">
        <w:rPr>
          <w:rFonts w:cs="Calibri"/>
          <w:noProof/>
          <w:sz w:val="22"/>
          <w:szCs w:val="22"/>
        </w:rPr>
        <w:t>,</w:t>
      </w:r>
      <w:r w:rsidR="009923BD" w:rsidRPr="00417E18">
        <w:rPr>
          <w:rFonts w:cs="Calibri"/>
          <w:noProof/>
          <w:sz w:val="22"/>
          <w:szCs w:val="22"/>
        </w:rPr>
        <w:t xml:space="preserve"> </w:t>
      </w:r>
      <w:r w:rsidRPr="00417E18">
        <w:rPr>
          <w:rFonts w:cs="Calibri"/>
          <w:noProof/>
          <w:sz w:val="22"/>
          <w:szCs w:val="22"/>
        </w:rPr>
        <w:t>particularly ICT specialists</w:t>
      </w:r>
      <w:r w:rsidR="59B1759D" w:rsidRPr="00417E18">
        <w:rPr>
          <w:rFonts w:cs="Calibri"/>
          <w:noProof/>
          <w:sz w:val="22"/>
          <w:szCs w:val="22"/>
        </w:rPr>
        <w:t xml:space="preserve">, </w:t>
      </w:r>
      <w:r w:rsidRPr="00417E18">
        <w:rPr>
          <w:rFonts w:cs="Calibri"/>
          <w:noProof/>
          <w:sz w:val="22"/>
          <w:szCs w:val="22"/>
        </w:rPr>
        <w:t xml:space="preserve">is critical to Europe’s competitiveness, technological sovereignty, and </w:t>
      </w:r>
      <w:r w:rsidR="006661A9" w:rsidRPr="07868930">
        <w:rPr>
          <w:rFonts w:cs="Calibri"/>
          <w:noProof/>
          <w:sz w:val="22"/>
          <w:szCs w:val="22"/>
        </w:rPr>
        <w:t>capacity to deploy advanced digital technologies</w:t>
      </w:r>
      <w:r w:rsidRPr="00417E18">
        <w:rPr>
          <w:rFonts w:cs="Calibri"/>
          <w:noProof/>
          <w:sz w:val="22"/>
          <w:szCs w:val="22"/>
        </w:rPr>
        <w:t>.</w:t>
      </w:r>
    </w:p>
    <w:p w14:paraId="6E5003DD" w14:textId="6289D733" w:rsidR="00824669" w:rsidRPr="00417E18" w:rsidRDefault="008F56BC" w:rsidP="002F27A1">
      <w:pPr>
        <w:rPr>
          <w:rFonts w:cs="Calibri"/>
          <w:noProof/>
          <w:sz w:val="22"/>
          <w:szCs w:val="22"/>
        </w:rPr>
      </w:pPr>
      <w:r w:rsidRPr="07868930">
        <w:rPr>
          <w:rFonts w:cs="Calibri"/>
          <w:noProof/>
          <w:sz w:val="22"/>
          <w:szCs w:val="22"/>
        </w:rPr>
        <w:t>This section therefore addresses both dimensions. It first examines progress and remaining gaps in basic digital skills across the population, with particular attention to unequal access and evolving needs linked to AI and cybersecurity. It then assesses the EU’s capacity to expand its pool of ICT specialists, a prerequisite for innovation, secure digital infrastructure and the wider uptake of advanced technologies across the economy.</w:t>
      </w:r>
    </w:p>
    <w:p w14:paraId="4E4BC96F" w14:textId="0DE473FF" w:rsidR="009923BD" w:rsidRPr="00417E18" w:rsidRDefault="0CA9968D" w:rsidP="002F27A1">
      <w:pPr>
        <w:rPr>
          <w:rFonts w:cs="Calibri"/>
          <w:noProof/>
          <w:sz w:val="22"/>
          <w:szCs w:val="22"/>
        </w:rPr>
      </w:pPr>
      <w:r w:rsidRPr="00417E18">
        <w:rPr>
          <w:rFonts w:cs="Calibri"/>
          <w:noProof/>
          <w:sz w:val="22"/>
          <w:szCs w:val="22"/>
        </w:rPr>
        <w:t xml:space="preserve">In their National Roadmaps, Member States reported investments of EUR </w:t>
      </w:r>
      <w:r w:rsidR="00465EE2">
        <w:rPr>
          <w:rFonts w:cs="Calibri"/>
          <w:noProof/>
          <w:sz w:val="22"/>
          <w:szCs w:val="22"/>
        </w:rPr>
        <w:t>24</w:t>
      </w:r>
      <w:r w:rsidRPr="00417E18">
        <w:rPr>
          <w:rFonts w:cs="Calibri"/>
          <w:noProof/>
          <w:sz w:val="22"/>
          <w:szCs w:val="22"/>
        </w:rPr>
        <w:t xml:space="preserve"> billion in basic digital skills (</w:t>
      </w:r>
      <w:r w:rsidR="00155FC5">
        <w:rPr>
          <w:rFonts w:cs="Calibri"/>
          <w:noProof/>
          <w:sz w:val="22"/>
          <w:szCs w:val="22"/>
        </w:rPr>
        <w:t>8</w:t>
      </w:r>
      <w:r w:rsidRPr="00417E18">
        <w:rPr>
          <w:rFonts w:cs="Calibri"/>
          <w:noProof/>
          <w:sz w:val="22"/>
          <w:szCs w:val="22"/>
        </w:rPr>
        <w:t>% of the total budget). The 3</w:t>
      </w:r>
      <w:r w:rsidR="616DA116" w:rsidRPr="00417E18">
        <w:rPr>
          <w:rFonts w:cs="Calibri"/>
          <w:noProof/>
          <w:sz w:val="22"/>
          <w:szCs w:val="22"/>
        </w:rPr>
        <w:t>4</w:t>
      </w:r>
      <w:r w:rsidRPr="00417E18">
        <w:rPr>
          <w:rFonts w:cs="Calibri"/>
          <w:noProof/>
          <w:sz w:val="22"/>
          <w:szCs w:val="22"/>
        </w:rPr>
        <w:t>9 measures reported on the roadmaps primarily focus on improving digital skills in formal education and promoting digital inclusion</w:t>
      </w:r>
      <w:r w:rsidR="001B7A04">
        <w:rPr>
          <w:rFonts w:cs="Calibri"/>
          <w:noProof/>
          <w:sz w:val="22"/>
          <w:szCs w:val="22"/>
        </w:rPr>
        <w:t>.</w:t>
      </w:r>
      <w:r w:rsidRPr="00417E18">
        <w:rPr>
          <w:rFonts w:cs="Calibri"/>
          <w:noProof/>
          <w:sz w:val="22"/>
          <w:szCs w:val="22"/>
        </w:rPr>
        <w:t xml:space="preserve"> This emphasis is also evident in Member States’ roadmap adjustments.</w:t>
      </w:r>
    </w:p>
    <w:p w14:paraId="10D58316" w14:textId="2C2CCB6A" w:rsidR="004472A2" w:rsidRPr="00417E18" w:rsidRDefault="004472A2" w:rsidP="002F27A1">
      <w:pPr>
        <w:rPr>
          <w:rFonts w:cs="Calibri"/>
          <w:noProof/>
          <w:sz w:val="22"/>
          <w:szCs w:val="22"/>
        </w:rPr>
      </w:pPr>
      <w:r w:rsidRPr="00417E18">
        <w:rPr>
          <w:rFonts w:cs="Calibri"/>
          <w:noProof/>
          <w:sz w:val="22"/>
          <w:szCs w:val="22"/>
        </w:rPr>
        <w:t>For</w:t>
      </w:r>
      <w:r w:rsidRPr="07868930">
        <w:rPr>
          <w:rFonts w:cs="Calibri"/>
          <w:noProof/>
          <w:sz w:val="22"/>
          <w:szCs w:val="22"/>
        </w:rPr>
        <w:t xml:space="preserve"> </w:t>
      </w:r>
      <w:r w:rsidR="00593A76" w:rsidRPr="07868930">
        <w:rPr>
          <w:rFonts w:cs="Calibri"/>
          <w:noProof/>
          <w:sz w:val="22"/>
          <w:szCs w:val="22"/>
        </w:rPr>
        <w:t>the</w:t>
      </w:r>
      <w:r w:rsidRPr="00417E18">
        <w:rPr>
          <w:rFonts w:cs="Calibri"/>
          <w:noProof/>
          <w:sz w:val="22"/>
          <w:szCs w:val="22"/>
        </w:rPr>
        <w:t xml:space="preserve"> training of ICT specialists, Member States reported </w:t>
      </w:r>
      <w:r w:rsidRPr="07868930">
        <w:rPr>
          <w:rFonts w:cs="Calibri"/>
          <w:noProof/>
          <w:sz w:val="22"/>
          <w:szCs w:val="22"/>
        </w:rPr>
        <w:t>invest</w:t>
      </w:r>
      <w:r w:rsidR="006A35C4" w:rsidRPr="07868930">
        <w:rPr>
          <w:rFonts w:cs="Calibri"/>
          <w:noProof/>
          <w:sz w:val="22"/>
          <w:szCs w:val="22"/>
        </w:rPr>
        <w:t>ments of</w:t>
      </w:r>
      <w:r w:rsidRPr="00417E18">
        <w:rPr>
          <w:rFonts w:cs="Calibri"/>
          <w:noProof/>
          <w:sz w:val="22"/>
          <w:szCs w:val="22"/>
        </w:rPr>
        <w:t xml:space="preserve"> EUR 11.</w:t>
      </w:r>
      <w:r w:rsidR="005252CA" w:rsidRPr="00417E18">
        <w:rPr>
          <w:rFonts w:cs="Calibri"/>
          <w:noProof/>
          <w:sz w:val="22"/>
          <w:szCs w:val="22"/>
        </w:rPr>
        <w:t>9</w:t>
      </w:r>
      <w:r w:rsidRPr="00417E18">
        <w:rPr>
          <w:rFonts w:cs="Calibri"/>
          <w:noProof/>
          <w:sz w:val="22"/>
          <w:szCs w:val="22"/>
        </w:rPr>
        <w:t xml:space="preserve"> billion (</w:t>
      </w:r>
      <w:r w:rsidR="00653209">
        <w:rPr>
          <w:rFonts w:cs="Calibri"/>
          <w:noProof/>
          <w:sz w:val="22"/>
          <w:szCs w:val="22"/>
        </w:rPr>
        <w:t>4.1</w:t>
      </w:r>
      <w:r w:rsidRPr="00417E18">
        <w:rPr>
          <w:rFonts w:cs="Calibri"/>
          <w:noProof/>
          <w:sz w:val="22"/>
          <w:szCs w:val="22"/>
        </w:rPr>
        <w:t>% of the total budget). The 2</w:t>
      </w:r>
      <w:r w:rsidR="00512771" w:rsidRPr="00417E18">
        <w:rPr>
          <w:rFonts w:cs="Calibri"/>
          <w:noProof/>
          <w:sz w:val="22"/>
          <w:szCs w:val="22"/>
        </w:rPr>
        <w:t>08</w:t>
      </w:r>
      <w:r w:rsidRPr="00417E18">
        <w:rPr>
          <w:rFonts w:cs="Calibri"/>
          <w:noProof/>
          <w:sz w:val="22"/>
          <w:szCs w:val="22"/>
        </w:rPr>
        <w:t xml:space="preserve"> measures on ICT </w:t>
      </w:r>
      <w:r w:rsidR="00402DD3" w:rsidRPr="07868930">
        <w:rPr>
          <w:rFonts w:cs="Calibri"/>
          <w:noProof/>
          <w:sz w:val="22"/>
          <w:szCs w:val="22"/>
        </w:rPr>
        <w:t>s</w:t>
      </w:r>
      <w:r w:rsidRPr="07868930">
        <w:rPr>
          <w:rFonts w:cs="Calibri"/>
          <w:noProof/>
          <w:sz w:val="22"/>
          <w:szCs w:val="22"/>
        </w:rPr>
        <w:t>pecialists</w:t>
      </w:r>
      <w:r w:rsidRPr="00417E18">
        <w:rPr>
          <w:rFonts w:cs="Calibri"/>
          <w:noProof/>
          <w:sz w:val="22"/>
          <w:szCs w:val="22"/>
        </w:rPr>
        <w:t xml:space="preserve"> mainly focus on increasing the number of people with advanced and highly </w:t>
      </w:r>
      <w:r w:rsidR="00B03E88" w:rsidRPr="07868930">
        <w:rPr>
          <w:rFonts w:cs="Calibri"/>
          <w:noProof/>
          <w:sz w:val="22"/>
          <w:szCs w:val="22"/>
        </w:rPr>
        <w:t>speciali</w:t>
      </w:r>
      <w:r w:rsidR="006A35C4" w:rsidRPr="07868930">
        <w:rPr>
          <w:rFonts w:cs="Calibri"/>
          <w:noProof/>
          <w:sz w:val="22"/>
          <w:szCs w:val="22"/>
        </w:rPr>
        <w:t>s</w:t>
      </w:r>
      <w:r w:rsidR="00B03E88" w:rsidRPr="07868930">
        <w:rPr>
          <w:rFonts w:cs="Calibri"/>
          <w:noProof/>
          <w:sz w:val="22"/>
          <w:szCs w:val="22"/>
        </w:rPr>
        <w:t>ed</w:t>
      </w:r>
      <w:r w:rsidRPr="00417E18">
        <w:rPr>
          <w:rFonts w:cs="Calibri"/>
          <w:noProof/>
          <w:sz w:val="22"/>
          <w:szCs w:val="22"/>
        </w:rPr>
        <w:t xml:space="preserve"> digital skills, with around one third of these measures targeting individuals in formal education and approximately one quarter focusing on those already in employment. This focus is also reflected in Member States’</w:t>
      </w:r>
      <w:r w:rsidR="00790F33" w:rsidRPr="00417E18">
        <w:rPr>
          <w:rFonts w:cs="Calibri"/>
          <w:noProof/>
          <w:sz w:val="22"/>
          <w:szCs w:val="22"/>
        </w:rPr>
        <w:t xml:space="preserve"> </w:t>
      </w:r>
      <w:r w:rsidR="009923BD" w:rsidRPr="00417E18">
        <w:rPr>
          <w:rFonts w:cs="Calibri"/>
          <w:noProof/>
          <w:sz w:val="22"/>
          <w:szCs w:val="22"/>
        </w:rPr>
        <w:t>roadmap adjustments, which include a sharp increase in measures aimed at boosting advanced digital skills among women.</w:t>
      </w:r>
    </w:p>
    <w:p w14:paraId="5088A51F" w14:textId="31390E4C" w:rsidR="2EF88CB9" w:rsidRDefault="2EF88CB9" w:rsidP="07868930">
      <w:pPr>
        <w:rPr>
          <w:rFonts w:cs="Calibri"/>
          <w:noProof/>
          <w:sz w:val="22"/>
          <w:szCs w:val="22"/>
        </w:rPr>
      </w:pPr>
      <w:r w:rsidRPr="07868930">
        <w:rPr>
          <w:rFonts w:cs="Calibri"/>
          <w:noProof/>
          <w:sz w:val="22"/>
          <w:szCs w:val="22"/>
        </w:rPr>
        <w:t xml:space="preserve">According to the </w:t>
      </w:r>
      <w:r w:rsidR="217A5567" w:rsidRPr="07868930">
        <w:rPr>
          <w:rFonts w:cs="Calibri"/>
          <w:noProof/>
          <w:sz w:val="22"/>
          <w:szCs w:val="22"/>
        </w:rPr>
        <w:t>European Declaration on</w:t>
      </w:r>
      <w:r w:rsidR="12516F19" w:rsidRPr="07868930">
        <w:rPr>
          <w:rFonts w:cs="Calibri"/>
          <w:noProof/>
          <w:sz w:val="22"/>
          <w:szCs w:val="22"/>
        </w:rPr>
        <w:t xml:space="preserve"> Digital </w:t>
      </w:r>
      <w:r w:rsidR="70FAFD3E" w:rsidRPr="07868930">
        <w:rPr>
          <w:rFonts w:cs="Calibri"/>
          <w:noProof/>
          <w:sz w:val="22"/>
          <w:szCs w:val="22"/>
        </w:rPr>
        <w:t xml:space="preserve">Rights and Principles, </w:t>
      </w:r>
      <w:r w:rsidR="6BBC0FF4" w:rsidRPr="07868930">
        <w:rPr>
          <w:rFonts w:cs="Calibri"/>
          <w:noProof/>
          <w:sz w:val="22"/>
          <w:szCs w:val="22"/>
        </w:rPr>
        <w:t xml:space="preserve">the digital transformation should contribute to a fair and inclusive society and economy that leaves nobody behind. It should benefit everyone, achieve gender balance, and include notably </w:t>
      </w:r>
      <w:r w:rsidR="00402DD3" w:rsidRPr="07868930">
        <w:rPr>
          <w:rFonts w:cs="Calibri"/>
          <w:noProof/>
          <w:sz w:val="22"/>
          <w:szCs w:val="22"/>
        </w:rPr>
        <w:t xml:space="preserve">older </w:t>
      </w:r>
      <w:r w:rsidR="6BBC0FF4" w:rsidRPr="07868930">
        <w:rPr>
          <w:rFonts w:cs="Calibri"/>
          <w:noProof/>
          <w:sz w:val="22"/>
          <w:szCs w:val="22"/>
        </w:rPr>
        <w:t xml:space="preserve">people, people living in rural areas, persons with disabilities, or marginalised, vulnerable or disenfranchised people and those who act on their behalf. </w:t>
      </w:r>
      <w:r w:rsidR="00D1206F" w:rsidRPr="07868930">
        <w:rPr>
          <w:rFonts w:cs="Calibri"/>
          <w:noProof/>
          <w:sz w:val="22"/>
          <w:szCs w:val="22"/>
        </w:rPr>
        <w:t>In</w:t>
      </w:r>
      <w:r w:rsidR="6BBC0FF4" w:rsidRPr="07868930">
        <w:rPr>
          <w:rFonts w:cs="Calibri"/>
          <w:noProof/>
          <w:sz w:val="22"/>
          <w:szCs w:val="22"/>
        </w:rPr>
        <w:t xml:space="preserve"> this regard</w:t>
      </w:r>
      <w:r w:rsidR="5CA400B0" w:rsidRPr="07868930">
        <w:rPr>
          <w:rFonts w:cs="Calibri"/>
          <w:noProof/>
          <w:sz w:val="22"/>
          <w:szCs w:val="22"/>
        </w:rPr>
        <w:t xml:space="preserve"> and according to the 2026 Eurobarometer on the Digital Decade,</w:t>
      </w:r>
      <w:r w:rsidR="6BBC0FF4" w:rsidRPr="07868930">
        <w:rPr>
          <w:rFonts w:cs="Calibri"/>
          <w:noProof/>
          <w:sz w:val="22"/>
          <w:szCs w:val="22"/>
        </w:rPr>
        <w:t xml:space="preserve"> </w:t>
      </w:r>
      <w:r w:rsidR="5CA400B0" w:rsidRPr="07868930">
        <w:rPr>
          <w:rFonts w:cs="Calibri"/>
          <w:noProof/>
          <w:sz w:val="22"/>
          <w:szCs w:val="22"/>
        </w:rPr>
        <w:t xml:space="preserve">90% of Europeans think it </w:t>
      </w:r>
      <w:r w:rsidR="00D1206F" w:rsidRPr="07868930">
        <w:rPr>
          <w:rFonts w:cs="Calibri"/>
          <w:noProof/>
          <w:sz w:val="22"/>
          <w:szCs w:val="22"/>
        </w:rPr>
        <w:t>is</w:t>
      </w:r>
      <w:r w:rsidR="5CA400B0" w:rsidRPr="07868930">
        <w:rPr>
          <w:rFonts w:cs="Calibri"/>
          <w:noProof/>
          <w:sz w:val="22"/>
          <w:szCs w:val="22"/>
        </w:rPr>
        <w:t xml:space="preserve"> important for the EU to </w:t>
      </w:r>
      <w:r w:rsidR="49D523D3" w:rsidRPr="07868930">
        <w:rPr>
          <w:rFonts w:cs="Calibri"/>
          <w:noProof/>
          <w:sz w:val="22"/>
          <w:szCs w:val="22"/>
        </w:rPr>
        <w:t>mak</w:t>
      </w:r>
      <w:r w:rsidR="00F72709" w:rsidRPr="07868930">
        <w:rPr>
          <w:rFonts w:cs="Calibri"/>
          <w:noProof/>
          <w:sz w:val="22"/>
          <w:szCs w:val="22"/>
        </w:rPr>
        <w:t>e</w:t>
      </w:r>
      <w:r w:rsidR="49D523D3" w:rsidRPr="07868930">
        <w:rPr>
          <w:rFonts w:cs="Calibri"/>
          <w:noProof/>
          <w:sz w:val="22"/>
          <w:szCs w:val="22"/>
        </w:rPr>
        <w:t xml:space="preserve"> digital tools more accessible for everyone (especially vulnerable groups, older ones, people with disabilities, etc.)</w:t>
      </w:r>
      <w:r w:rsidR="17DBA0B2" w:rsidRPr="07868930">
        <w:rPr>
          <w:rFonts w:cs="Calibri"/>
          <w:noProof/>
          <w:sz w:val="22"/>
          <w:szCs w:val="22"/>
        </w:rPr>
        <w:t xml:space="preserve">. </w:t>
      </w:r>
      <w:r w:rsidR="67582C0A" w:rsidRPr="07868930">
        <w:rPr>
          <w:rFonts w:cs="Calibri"/>
          <w:noProof/>
          <w:sz w:val="22"/>
          <w:szCs w:val="22"/>
        </w:rPr>
        <w:t xml:space="preserve">In addition, </w:t>
      </w:r>
      <w:r w:rsidR="00593A76" w:rsidRPr="07868930">
        <w:rPr>
          <w:rFonts w:cs="Calibri"/>
          <w:noProof/>
          <w:sz w:val="22"/>
          <w:szCs w:val="22"/>
        </w:rPr>
        <w:t xml:space="preserve">according to </w:t>
      </w:r>
      <w:hyperlink r:id="rId40">
        <w:r w:rsidR="67582C0A" w:rsidRPr="00417E18">
          <w:rPr>
            <w:rStyle w:val="Hyperlink"/>
            <w:rFonts w:cs="Calibri"/>
            <w:noProof/>
            <w:sz w:val="22"/>
            <w:szCs w:val="22"/>
          </w:rPr>
          <w:t>Eurostat</w:t>
        </w:r>
      </w:hyperlink>
      <w:r w:rsidR="00593A76">
        <w:rPr>
          <w:noProof/>
        </w:rPr>
        <w:t>,</w:t>
      </w:r>
      <w:r w:rsidR="00593A76" w:rsidRPr="07868930">
        <w:rPr>
          <w:rFonts w:cs="Calibri"/>
          <w:noProof/>
          <w:sz w:val="22"/>
          <w:szCs w:val="22"/>
        </w:rPr>
        <w:t xml:space="preserve"> </w:t>
      </w:r>
      <w:r w:rsidR="67582C0A" w:rsidRPr="07868930">
        <w:rPr>
          <w:rFonts w:cs="Calibri"/>
          <w:noProof/>
          <w:sz w:val="22"/>
          <w:szCs w:val="22"/>
        </w:rPr>
        <w:t xml:space="preserve">24.9% of citizens across Europe use </w:t>
      </w:r>
      <w:r w:rsidR="00402DD3" w:rsidRPr="07868930">
        <w:rPr>
          <w:rFonts w:cs="Calibri"/>
          <w:noProof/>
          <w:sz w:val="22"/>
          <w:szCs w:val="22"/>
        </w:rPr>
        <w:t xml:space="preserve">the </w:t>
      </w:r>
      <w:r w:rsidR="67582C0A" w:rsidRPr="07868930">
        <w:rPr>
          <w:rFonts w:cs="Calibri"/>
          <w:noProof/>
          <w:sz w:val="22"/>
          <w:szCs w:val="22"/>
        </w:rPr>
        <w:t xml:space="preserve">internet for civic </w:t>
      </w:r>
      <w:r w:rsidR="43B449AB" w:rsidRPr="07868930">
        <w:rPr>
          <w:rFonts w:cs="Calibri"/>
          <w:noProof/>
          <w:sz w:val="22"/>
          <w:szCs w:val="22"/>
        </w:rPr>
        <w:t xml:space="preserve">or political </w:t>
      </w:r>
      <w:r w:rsidR="67582C0A" w:rsidRPr="07868930">
        <w:rPr>
          <w:rFonts w:cs="Calibri"/>
          <w:noProof/>
          <w:sz w:val="22"/>
          <w:szCs w:val="22"/>
        </w:rPr>
        <w:t>participation</w:t>
      </w:r>
      <w:r w:rsidR="00593A76" w:rsidRPr="07868930">
        <w:rPr>
          <w:rFonts w:cs="Calibri"/>
          <w:noProof/>
          <w:sz w:val="22"/>
          <w:szCs w:val="22"/>
        </w:rPr>
        <w:t>.</w:t>
      </w:r>
    </w:p>
    <w:p w14:paraId="296138F9" w14:textId="5A616A02" w:rsidR="0ACED2B2" w:rsidRDefault="0ACED2B2" w:rsidP="00E11929">
      <w:pPr>
        <w:pStyle w:val="Heading3"/>
        <w:numPr>
          <w:ilvl w:val="2"/>
          <w:numId w:val="40"/>
        </w:numPr>
        <w:rPr>
          <w:noProof/>
        </w:rPr>
      </w:pPr>
      <w:bookmarkStart w:id="86" w:name="_Toc231830064"/>
      <w:r w:rsidRPr="07868930">
        <w:rPr>
          <w:noProof/>
        </w:rPr>
        <w:t>Basic digital skills</w:t>
      </w:r>
      <w:bookmarkEnd w:id="86"/>
      <w:r w:rsidRPr="07868930">
        <w:rPr>
          <w:noProof/>
        </w:rPr>
        <w:t xml:space="preserve"> </w:t>
      </w:r>
    </w:p>
    <w:p w14:paraId="3DDED3FD" w14:textId="59F65ABD" w:rsidR="003A53C2" w:rsidRPr="00417E18" w:rsidRDefault="008A3C64" w:rsidP="003A53C2">
      <w:pPr>
        <w:pStyle w:val="paragraph"/>
        <w:spacing w:before="0" w:beforeAutospacing="0" w:after="0" w:afterAutospacing="0"/>
        <w:jc w:val="both"/>
        <w:textAlignment w:val="baseline"/>
        <w:rPr>
          <w:rStyle w:val="eop"/>
          <w:rFonts w:ascii="Calibri" w:eastAsiaTheme="majorEastAsia" w:hAnsi="Calibri" w:cs="Calibri"/>
          <w:noProof/>
          <w:sz w:val="22"/>
          <w:szCs w:val="22"/>
        </w:rPr>
      </w:pPr>
      <w:r w:rsidRPr="00417E18">
        <w:rPr>
          <w:rStyle w:val="normaltextrun"/>
          <w:rFonts w:ascii="Calibri" w:eastAsiaTheme="majorEastAsia" w:hAnsi="Calibri" w:cs="Calibri"/>
          <w:b/>
          <w:bCs/>
          <w:noProof/>
          <w:sz w:val="22"/>
          <w:szCs w:val="22"/>
        </w:rPr>
        <w:t>Over the last two years, the level of basic digital skills in the EU</w:t>
      </w:r>
      <w:r w:rsidR="00F120EC" w:rsidRPr="00417E18">
        <w:rPr>
          <w:rStyle w:val="normaltextrun"/>
          <w:rFonts w:ascii="Calibri" w:eastAsiaTheme="majorEastAsia" w:hAnsi="Calibri" w:cs="Calibri"/>
          <w:b/>
          <w:bCs/>
          <w:noProof/>
          <w:sz w:val="22"/>
          <w:szCs w:val="22"/>
        </w:rPr>
        <w:t xml:space="preserve"> has increased significantly</w:t>
      </w:r>
      <w:r w:rsidRPr="00417E18">
        <w:rPr>
          <w:rStyle w:val="normaltextrun"/>
          <w:rFonts w:ascii="Calibri" w:eastAsiaTheme="majorEastAsia" w:hAnsi="Calibri" w:cs="Calibri"/>
          <w:b/>
          <w:bCs/>
          <w:noProof/>
          <w:sz w:val="22"/>
          <w:szCs w:val="22"/>
        </w:rPr>
        <w:t>.</w:t>
      </w:r>
      <w:r w:rsidRPr="00417E18">
        <w:rPr>
          <w:rStyle w:val="normaltextrun"/>
          <w:rFonts w:ascii="Calibri" w:eastAsiaTheme="majorEastAsia" w:hAnsi="Calibri" w:cs="Calibri"/>
          <w:noProof/>
          <w:sz w:val="22"/>
          <w:szCs w:val="22"/>
        </w:rPr>
        <w:t xml:space="preserve"> </w:t>
      </w:r>
      <w:r w:rsidR="003A53C2" w:rsidRPr="00417E18">
        <w:rPr>
          <w:rStyle w:val="normaltextrun"/>
          <w:rFonts w:ascii="Calibri" w:eastAsiaTheme="majorEastAsia" w:hAnsi="Calibri" w:cs="Calibri"/>
          <w:noProof/>
          <w:sz w:val="22"/>
          <w:szCs w:val="22"/>
        </w:rPr>
        <w:t xml:space="preserve">The percentage of people with at least </w:t>
      </w:r>
      <w:r w:rsidR="00822E6B" w:rsidRPr="07868930">
        <w:rPr>
          <w:rStyle w:val="normaltextrun"/>
          <w:rFonts w:ascii="Calibri" w:eastAsiaTheme="majorEastAsia" w:hAnsi="Calibri" w:cs="Calibri"/>
          <w:noProof/>
          <w:sz w:val="22"/>
          <w:szCs w:val="22"/>
        </w:rPr>
        <w:t xml:space="preserve">a </w:t>
      </w:r>
      <w:r w:rsidR="003A53C2" w:rsidRPr="00417E18">
        <w:rPr>
          <w:rStyle w:val="normaltextrun"/>
          <w:rFonts w:ascii="Calibri" w:eastAsiaTheme="majorEastAsia" w:hAnsi="Calibri" w:cs="Calibri"/>
          <w:noProof/>
          <w:sz w:val="22"/>
          <w:szCs w:val="22"/>
        </w:rPr>
        <w:t xml:space="preserve">basic </w:t>
      </w:r>
      <w:r w:rsidR="003A53C2" w:rsidRPr="07868930">
        <w:rPr>
          <w:rStyle w:val="normaltextrun"/>
          <w:rFonts w:ascii="Calibri" w:eastAsiaTheme="majorEastAsia" w:hAnsi="Calibri" w:cs="Calibri"/>
          <w:noProof/>
          <w:sz w:val="22"/>
          <w:szCs w:val="22"/>
        </w:rPr>
        <w:t>level</w:t>
      </w:r>
      <w:r w:rsidR="003A53C2" w:rsidRPr="00417E18">
        <w:rPr>
          <w:rStyle w:val="normaltextrun"/>
          <w:rFonts w:ascii="Calibri" w:eastAsiaTheme="majorEastAsia" w:hAnsi="Calibri" w:cs="Calibri"/>
          <w:noProof/>
          <w:sz w:val="22"/>
          <w:szCs w:val="22"/>
        </w:rPr>
        <w:t> of digital skills rose by 4.8 percentage points, from 55.56% in 2023 to 60.39% in 2025. This represents a </w:t>
      </w:r>
      <w:r w:rsidR="003A53C2" w:rsidRPr="00417E18">
        <w:rPr>
          <w:rStyle w:val="normaltextrun"/>
          <w:rFonts w:ascii="Calibri" w:eastAsiaTheme="majorEastAsia" w:hAnsi="Calibri" w:cs="Calibri"/>
          <w:b/>
          <w:bCs/>
          <w:noProof/>
          <w:sz w:val="22"/>
          <w:szCs w:val="22"/>
        </w:rPr>
        <w:t>year-on-year increase of 4.3%,</w:t>
      </w:r>
      <w:r w:rsidR="0060042F" w:rsidRPr="00417E18">
        <w:rPr>
          <w:rStyle w:val="normaltextrun"/>
          <w:rFonts w:ascii="Calibri" w:eastAsiaTheme="majorEastAsia" w:hAnsi="Calibri" w:cs="Calibri"/>
          <w:b/>
          <w:noProof/>
          <w:sz w:val="22"/>
          <w:szCs w:val="22"/>
        </w:rPr>
        <w:t xml:space="preserve"> </w:t>
      </w:r>
      <w:r w:rsidR="003A53C2" w:rsidRPr="00417E18">
        <w:rPr>
          <w:rStyle w:val="normaltextrun"/>
          <w:rFonts w:ascii="Calibri" w:eastAsiaTheme="majorEastAsia" w:hAnsi="Calibri" w:cs="Calibri"/>
          <w:b/>
          <w:noProof/>
          <w:sz w:val="22"/>
          <w:szCs w:val="22"/>
        </w:rPr>
        <w:t>significantly</w:t>
      </w:r>
      <w:r w:rsidR="003A53C2" w:rsidRPr="00417E18">
        <w:rPr>
          <w:rStyle w:val="normaltextrun"/>
          <w:rFonts w:ascii="Calibri" w:eastAsiaTheme="majorEastAsia" w:hAnsi="Calibri" w:cs="Calibri"/>
          <w:noProof/>
          <w:sz w:val="22"/>
          <w:szCs w:val="22"/>
        </w:rPr>
        <w:t xml:space="preserve"> higher than the yearly growth rate recorded between 2021 and 2023 (1.5%).</w:t>
      </w:r>
      <w:r w:rsidR="003A53C2" w:rsidRPr="00417E18">
        <w:rPr>
          <w:rStyle w:val="eop"/>
          <w:rFonts w:ascii="Calibri" w:eastAsiaTheme="majorEastAsia" w:hAnsi="Calibri" w:cs="Calibri"/>
          <w:noProof/>
          <w:sz w:val="22"/>
          <w:szCs w:val="22"/>
        </w:rPr>
        <w:t> </w:t>
      </w:r>
      <w:r w:rsidR="3B95C49C" w:rsidRPr="00417E18">
        <w:rPr>
          <w:rStyle w:val="eop"/>
          <w:rFonts w:ascii="Calibri" w:eastAsiaTheme="majorEastAsia" w:hAnsi="Calibri" w:cs="Calibri"/>
          <w:noProof/>
          <w:sz w:val="22"/>
          <w:szCs w:val="22"/>
        </w:rPr>
        <w:t>Some M</w:t>
      </w:r>
      <w:r w:rsidR="2B9F4B4B" w:rsidRPr="00417E18">
        <w:rPr>
          <w:rStyle w:val="eop"/>
          <w:rFonts w:ascii="Calibri" w:eastAsiaTheme="majorEastAsia" w:hAnsi="Calibri" w:cs="Calibri"/>
          <w:noProof/>
          <w:sz w:val="22"/>
          <w:szCs w:val="22"/>
        </w:rPr>
        <w:t xml:space="preserve">ember States have made significant </w:t>
      </w:r>
      <w:r w:rsidR="001D3ACE" w:rsidRPr="07868930">
        <w:rPr>
          <w:rStyle w:val="eop"/>
          <w:rFonts w:ascii="Calibri" w:eastAsiaTheme="majorEastAsia" w:hAnsi="Calibri" w:cs="Calibri"/>
          <w:noProof/>
          <w:sz w:val="22"/>
          <w:szCs w:val="22"/>
        </w:rPr>
        <w:t>progress</w:t>
      </w:r>
      <w:r w:rsidR="4EAD0B81" w:rsidRPr="00417E18">
        <w:rPr>
          <w:rStyle w:val="eop"/>
          <w:rFonts w:ascii="Calibri" w:eastAsiaTheme="majorEastAsia" w:hAnsi="Calibri" w:cs="Calibri"/>
          <w:noProof/>
          <w:sz w:val="22"/>
          <w:szCs w:val="22"/>
        </w:rPr>
        <w:t>,</w:t>
      </w:r>
      <w:r w:rsidR="0925BCB9" w:rsidRPr="00417E18">
        <w:rPr>
          <w:rStyle w:val="eop"/>
          <w:rFonts w:ascii="Calibri" w:eastAsiaTheme="majorEastAsia" w:hAnsi="Calibri" w:cs="Calibri"/>
          <w:noProof/>
          <w:sz w:val="22"/>
          <w:szCs w:val="22"/>
        </w:rPr>
        <w:t xml:space="preserve"> with </w:t>
      </w:r>
      <w:r w:rsidR="347B4AFF" w:rsidRPr="00417E18">
        <w:rPr>
          <w:rStyle w:val="eop"/>
          <w:rFonts w:ascii="Calibri" w:eastAsiaTheme="majorEastAsia" w:hAnsi="Calibri" w:cs="Calibri"/>
          <w:noProof/>
          <w:sz w:val="22"/>
          <w:szCs w:val="22"/>
        </w:rPr>
        <w:t xml:space="preserve">year-on-year increases of </w:t>
      </w:r>
      <w:r w:rsidR="0925BCB9" w:rsidRPr="00417E18">
        <w:rPr>
          <w:rStyle w:val="eop"/>
          <w:rFonts w:ascii="Calibri" w:eastAsiaTheme="majorEastAsia" w:hAnsi="Calibri" w:cs="Calibri"/>
          <w:noProof/>
          <w:sz w:val="22"/>
          <w:szCs w:val="22"/>
        </w:rPr>
        <w:t xml:space="preserve">more than </w:t>
      </w:r>
      <w:r w:rsidR="142A07F5" w:rsidRPr="00417E18">
        <w:rPr>
          <w:rStyle w:val="eop"/>
          <w:rFonts w:ascii="Calibri" w:eastAsiaTheme="majorEastAsia" w:hAnsi="Calibri" w:cs="Calibri"/>
          <w:noProof/>
          <w:sz w:val="22"/>
          <w:szCs w:val="22"/>
        </w:rPr>
        <w:t>6%,</w:t>
      </w:r>
      <w:r w:rsidR="2B9F4B4B" w:rsidRPr="00417E18">
        <w:rPr>
          <w:rStyle w:val="eop"/>
          <w:rFonts w:ascii="Calibri" w:eastAsiaTheme="majorEastAsia" w:hAnsi="Calibri" w:cs="Calibri"/>
          <w:noProof/>
          <w:sz w:val="22"/>
          <w:szCs w:val="22"/>
        </w:rPr>
        <w:t xml:space="preserve"> including </w:t>
      </w:r>
      <w:r w:rsidR="3433CE6C" w:rsidRPr="00417E18">
        <w:rPr>
          <w:rStyle w:val="eop"/>
          <w:rFonts w:ascii="Calibri" w:eastAsiaTheme="majorEastAsia" w:hAnsi="Calibri" w:cs="Calibri"/>
          <w:noProof/>
          <w:sz w:val="22"/>
          <w:szCs w:val="22"/>
        </w:rPr>
        <w:t xml:space="preserve">Denmark, </w:t>
      </w:r>
      <w:r w:rsidR="00C92639">
        <w:rPr>
          <w:rStyle w:val="eop"/>
          <w:rFonts w:ascii="Calibri" w:eastAsiaTheme="majorEastAsia" w:hAnsi="Calibri" w:cs="Calibri"/>
          <w:noProof/>
          <w:sz w:val="22"/>
          <w:szCs w:val="22"/>
        </w:rPr>
        <w:t xml:space="preserve">Romania, </w:t>
      </w:r>
      <w:r w:rsidR="3433CE6C" w:rsidRPr="00417E18">
        <w:rPr>
          <w:rStyle w:val="eop"/>
          <w:rFonts w:ascii="Calibri" w:eastAsiaTheme="majorEastAsia" w:hAnsi="Calibri" w:cs="Calibri"/>
          <w:noProof/>
          <w:sz w:val="22"/>
          <w:szCs w:val="22"/>
        </w:rPr>
        <w:t>Ireland, Italy</w:t>
      </w:r>
      <w:r w:rsidR="5C47974B" w:rsidRPr="00417E18">
        <w:rPr>
          <w:rStyle w:val="eop"/>
          <w:rFonts w:ascii="Calibri" w:eastAsiaTheme="majorEastAsia" w:hAnsi="Calibri" w:cs="Calibri"/>
          <w:noProof/>
          <w:sz w:val="22"/>
          <w:szCs w:val="22"/>
        </w:rPr>
        <w:t xml:space="preserve">, </w:t>
      </w:r>
      <w:r w:rsidR="3433CE6C" w:rsidRPr="00417E18">
        <w:rPr>
          <w:rStyle w:val="eop"/>
          <w:rFonts w:ascii="Calibri" w:eastAsiaTheme="majorEastAsia" w:hAnsi="Calibri" w:cs="Calibri"/>
          <w:noProof/>
          <w:sz w:val="22"/>
          <w:szCs w:val="22"/>
        </w:rPr>
        <w:t>Germany</w:t>
      </w:r>
      <w:r w:rsidR="07AA53D9" w:rsidRPr="00417E18">
        <w:rPr>
          <w:rStyle w:val="eop"/>
          <w:rFonts w:ascii="Calibri" w:eastAsiaTheme="majorEastAsia" w:hAnsi="Calibri" w:cs="Calibri"/>
          <w:noProof/>
          <w:sz w:val="22"/>
          <w:szCs w:val="22"/>
        </w:rPr>
        <w:t xml:space="preserve">, Cyprus </w:t>
      </w:r>
      <w:r w:rsidR="2944F0A5" w:rsidRPr="00417E18">
        <w:rPr>
          <w:rStyle w:val="eop"/>
          <w:rFonts w:ascii="Calibri" w:eastAsiaTheme="majorEastAsia" w:hAnsi="Calibri" w:cs="Calibri"/>
          <w:noProof/>
          <w:sz w:val="22"/>
          <w:szCs w:val="22"/>
        </w:rPr>
        <w:t xml:space="preserve">and </w:t>
      </w:r>
      <w:r w:rsidR="16FF00B7" w:rsidRPr="00417E18">
        <w:rPr>
          <w:rStyle w:val="eop"/>
          <w:rFonts w:ascii="Calibri" w:eastAsiaTheme="majorEastAsia" w:hAnsi="Calibri" w:cs="Calibri"/>
          <w:noProof/>
          <w:sz w:val="22"/>
          <w:szCs w:val="22"/>
        </w:rPr>
        <w:t>Poland</w:t>
      </w:r>
      <w:r w:rsidR="3433CE6C" w:rsidRPr="00417E18">
        <w:rPr>
          <w:rStyle w:val="eop"/>
          <w:rFonts w:ascii="Calibri" w:eastAsiaTheme="majorEastAsia" w:hAnsi="Calibri" w:cs="Calibri"/>
          <w:noProof/>
          <w:sz w:val="22"/>
          <w:szCs w:val="22"/>
        </w:rPr>
        <w:t xml:space="preserve">. </w:t>
      </w:r>
    </w:p>
    <w:p w14:paraId="091EAFBA" w14:textId="34023836" w:rsidR="003A53C2" w:rsidRPr="00417E18" w:rsidRDefault="00CB7260" w:rsidP="07868930">
      <w:pPr>
        <w:pStyle w:val="paragraph"/>
        <w:spacing w:before="0" w:beforeAutospacing="0" w:after="0" w:afterAutospacing="0"/>
        <w:jc w:val="both"/>
        <w:rPr>
          <w:rStyle w:val="eop"/>
          <w:rFonts w:ascii="Calibri" w:eastAsiaTheme="majorEastAsia" w:hAnsi="Calibri" w:cs="Calibri"/>
          <w:noProof/>
          <w:sz w:val="22"/>
          <w:szCs w:val="22"/>
          <w:lang w:eastAsia="ja-JP"/>
        </w:rPr>
      </w:pPr>
      <w:r w:rsidRPr="00417E18">
        <w:rPr>
          <w:rStyle w:val="normaltextrun"/>
          <w:rFonts w:ascii="Calibri" w:eastAsiaTheme="majorEastAsia" w:hAnsi="Calibri" w:cs="Calibri"/>
          <w:b/>
          <w:bCs/>
          <w:noProof/>
          <w:sz w:val="22"/>
          <w:szCs w:val="22"/>
        </w:rPr>
        <w:t>However, i</w:t>
      </w:r>
      <w:r w:rsidR="003A53C2" w:rsidRPr="00417E18">
        <w:rPr>
          <w:rStyle w:val="normaltextrun"/>
          <w:rFonts w:ascii="Calibri" w:eastAsiaTheme="majorEastAsia" w:hAnsi="Calibri" w:cs="Calibri"/>
          <w:b/>
          <w:bCs/>
          <w:noProof/>
          <w:sz w:val="22"/>
          <w:szCs w:val="22"/>
        </w:rPr>
        <w:t>n 2025,</w:t>
      </w:r>
      <w:r w:rsidR="003A53C2" w:rsidRPr="00417E18">
        <w:rPr>
          <w:rStyle w:val="normaltextrun"/>
          <w:rFonts w:ascii="Calibri" w:eastAsiaTheme="majorEastAsia" w:hAnsi="Calibri" w:cs="Calibri"/>
          <w:noProof/>
          <w:sz w:val="22"/>
          <w:szCs w:val="22"/>
        </w:rPr>
        <w:t> </w:t>
      </w:r>
      <w:r w:rsidR="003A53C2" w:rsidRPr="00417E18">
        <w:rPr>
          <w:rStyle w:val="normaltextrun"/>
          <w:rFonts w:ascii="Calibri" w:eastAsiaTheme="majorEastAsia" w:hAnsi="Calibri" w:cs="Calibri"/>
          <w:b/>
          <w:bCs/>
          <w:noProof/>
          <w:sz w:val="22"/>
          <w:szCs w:val="22"/>
        </w:rPr>
        <w:t xml:space="preserve">the percentage of people with at least </w:t>
      </w:r>
      <w:r w:rsidR="001D3ACE" w:rsidRPr="07868930">
        <w:rPr>
          <w:rStyle w:val="normaltextrun"/>
          <w:rFonts w:ascii="Calibri" w:eastAsiaTheme="majorEastAsia" w:hAnsi="Calibri" w:cs="Calibri"/>
          <w:b/>
          <w:bCs/>
          <w:noProof/>
          <w:sz w:val="22"/>
          <w:szCs w:val="22"/>
        </w:rPr>
        <w:t xml:space="preserve">a </w:t>
      </w:r>
      <w:r w:rsidR="003A53C2" w:rsidRPr="00417E18">
        <w:rPr>
          <w:rStyle w:val="normaltextrun"/>
          <w:rFonts w:ascii="Calibri" w:eastAsiaTheme="majorEastAsia" w:hAnsi="Calibri" w:cs="Calibri"/>
          <w:b/>
          <w:bCs/>
          <w:noProof/>
          <w:sz w:val="22"/>
          <w:szCs w:val="22"/>
        </w:rPr>
        <w:t xml:space="preserve">basic </w:t>
      </w:r>
      <w:r w:rsidR="003A53C2" w:rsidRPr="07868930">
        <w:rPr>
          <w:rStyle w:val="normaltextrun"/>
          <w:rFonts w:ascii="Calibri" w:eastAsiaTheme="majorEastAsia" w:hAnsi="Calibri" w:cs="Calibri"/>
          <w:b/>
          <w:bCs/>
          <w:noProof/>
          <w:sz w:val="22"/>
          <w:szCs w:val="22"/>
        </w:rPr>
        <w:t>level</w:t>
      </w:r>
      <w:r w:rsidR="003A53C2" w:rsidRPr="00417E18">
        <w:rPr>
          <w:rStyle w:val="normaltextrun"/>
          <w:rFonts w:ascii="Calibri" w:eastAsiaTheme="majorEastAsia" w:hAnsi="Calibri" w:cs="Calibri"/>
          <w:b/>
          <w:bCs/>
          <w:noProof/>
          <w:sz w:val="22"/>
          <w:szCs w:val="22"/>
        </w:rPr>
        <w:t xml:space="preserve"> of digital skills </w:t>
      </w:r>
      <w:r w:rsidR="00BE31AA" w:rsidRPr="00417E18">
        <w:rPr>
          <w:rStyle w:val="normaltextrun"/>
          <w:rFonts w:ascii="Calibri" w:eastAsiaTheme="majorEastAsia" w:hAnsi="Calibri" w:cs="Calibri"/>
          <w:b/>
          <w:bCs/>
          <w:noProof/>
          <w:sz w:val="22"/>
          <w:szCs w:val="22"/>
        </w:rPr>
        <w:t xml:space="preserve">still </w:t>
      </w:r>
      <w:r w:rsidR="003A53C2" w:rsidRPr="00417E18">
        <w:rPr>
          <w:rStyle w:val="normaltextrun"/>
          <w:rFonts w:ascii="Calibri" w:eastAsiaTheme="majorEastAsia" w:hAnsi="Calibri" w:cs="Calibri"/>
          <w:b/>
          <w:bCs/>
          <w:noProof/>
          <w:sz w:val="22"/>
          <w:szCs w:val="22"/>
        </w:rPr>
        <w:t xml:space="preserve">stood at </w:t>
      </w:r>
      <w:r w:rsidR="00172C73" w:rsidRPr="00417E18">
        <w:rPr>
          <w:rStyle w:val="normaltextrun"/>
          <w:rFonts w:ascii="Calibri" w:eastAsiaTheme="majorEastAsia" w:hAnsi="Calibri" w:cs="Calibri"/>
          <w:b/>
          <w:bCs/>
          <w:noProof/>
          <w:sz w:val="22"/>
          <w:szCs w:val="22"/>
        </w:rPr>
        <w:t xml:space="preserve">only </w:t>
      </w:r>
      <w:r w:rsidR="003A53C2" w:rsidRPr="00417E18">
        <w:rPr>
          <w:rStyle w:val="normaltextrun"/>
          <w:rFonts w:ascii="Calibri" w:eastAsiaTheme="majorEastAsia" w:hAnsi="Calibri" w:cs="Calibri"/>
          <w:b/>
          <w:bCs/>
          <w:noProof/>
          <w:sz w:val="22"/>
          <w:szCs w:val="22"/>
        </w:rPr>
        <w:t xml:space="preserve">92% of the ideal value </w:t>
      </w:r>
      <w:r w:rsidR="42AF9F9C" w:rsidRPr="0C856F1D">
        <w:rPr>
          <w:rStyle w:val="normaltextrun"/>
          <w:rFonts w:ascii="Calibri" w:eastAsiaTheme="majorEastAsia" w:hAnsi="Calibri" w:cs="Calibri"/>
          <w:b/>
          <w:bCs/>
          <w:noProof/>
          <w:sz w:val="22"/>
          <w:szCs w:val="22"/>
        </w:rPr>
        <w:t>of</w:t>
      </w:r>
      <w:r w:rsidR="003A53C2" w:rsidRPr="00417E18">
        <w:rPr>
          <w:rStyle w:val="normaltextrun"/>
          <w:rFonts w:ascii="Calibri" w:eastAsiaTheme="majorEastAsia" w:hAnsi="Calibri" w:cs="Calibri"/>
          <w:b/>
          <w:bCs/>
          <w:noProof/>
          <w:sz w:val="22"/>
          <w:szCs w:val="22"/>
        </w:rPr>
        <w:t xml:space="preserve"> the </w:t>
      </w:r>
      <w:r w:rsidR="174FB8F9" w:rsidRPr="00417E18">
        <w:rPr>
          <w:rStyle w:val="normaltextrun"/>
          <w:rFonts w:ascii="Calibri" w:eastAsiaTheme="majorEastAsia" w:hAnsi="Calibri" w:cs="Calibri"/>
          <w:b/>
          <w:bCs/>
          <w:noProof/>
          <w:sz w:val="22"/>
          <w:szCs w:val="22"/>
        </w:rPr>
        <w:t>D</w:t>
      </w:r>
      <w:r w:rsidR="003A53C2" w:rsidRPr="00417E18">
        <w:rPr>
          <w:rStyle w:val="normaltextrun"/>
          <w:rFonts w:ascii="Calibri" w:eastAsiaTheme="majorEastAsia" w:hAnsi="Calibri" w:cs="Calibri"/>
          <w:b/>
          <w:bCs/>
          <w:noProof/>
          <w:sz w:val="22"/>
          <w:szCs w:val="22"/>
        </w:rPr>
        <w:t xml:space="preserve">igital </w:t>
      </w:r>
      <w:r w:rsidR="7E4079AD" w:rsidRPr="00417E18">
        <w:rPr>
          <w:rStyle w:val="normaltextrun"/>
          <w:rFonts w:ascii="Calibri" w:eastAsiaTheme="majorEastAsia" w:hAnsi="Calibri" w:cs="Calibri"/>
          <w:b/>
          <w:bCs/>
          <w:noProof/>
          <w:sz w:val="22"/>
          <w:szCs w:val="22"/>
        </w:rPr>
        <w:t>D</w:t>
      </w:r>
      <w:r w:rsidR="003A53C2" w:rsidRPr="00417E18">
        <w:rPr>
          <w:rStyle w:val="normaltextrun"/>
          <w:rFonts w:ascii="Calibri" w:eastAsiaTheme="majorEastAsia" w:hAnsi="Calibri" w:cs="Calibri"/>
          <w:b/>
          <w:bCs/>
          <w:noProof/>
          <w:sz w:val="22"/>
          <w:szCs w:val="22"/>
        </w:rPr>
        <w:t>ecade trajectory </w:t>
      </w:r>
      <w:r w:rsidR="003A53C2" w:rsidRPr="00417E18">
        <w:rPr>
          <w:rStyle w:val="normaltextrun"/>
          <w:rFonts w:ascii="Calibri" w:eastAsiaTheme="majorEastAsia" w:hAnsi="Calibri" w:cs="Calibri"/>
          <w:noProof/>
          <w:sz w:val="22"/>
          <w:szCs w:val="22"/>
        </w:rPr>
        <w:t>(60.39% instead of 65.51%). According to the forecast along the updated baseline trajectory</w:t>
      </w:r>
      <w:r w:rsidR="0017415F" w:rsidRPr="00417E18">
        <w:rPr>
          <w:rStyle w:val="normaltextrun"/>
          <w:rFonts w:ascii="Calibri" w:eastAsiaTheme="majorEastAsia" w:hAnsi="Calibri" w:cs="Calibri"/>
          <w:noProof/>
          <w:sz w:val="22"/>
          <w:szCs w:val="22"/>
        </w:rPr>
        <w:t>, only</w:t>
      </w:r>
      <w:r w:rsidR="00C6115E">
        <w:rPr>
          <w:rStyle w:val="normaltextrun"/>
          <w:rFonts w:ascii="Calibri" w:eastAsiaTheme="majorEastAsia" w:hAnsi="Calibri" w:cs="Calibri"/>
          <w:noProof/>
          <w:sz w:val="22"/>
          <w:szCs w:val="22"/>
        </w:rPr>
        <w:t xml:space="preserve"> </w:t>
      </w:r>
      <w:r w:rsidR="003A53C2" w:rsidRPr="00417E18">
        <w:rPr>
          <w:rStyle w:val="normaltextrun"/>
          <w:rFonts w:ascii="Calibri" w:eastAsiaTheme="majorEastAsia" w:hAnsi="Calibri" w:cs="Calibri"/>
          <w:b/>
          <w:bCs/>
          <w:noProof/>
          <w:sz w:val="22"/>
          <w:szCs w:val="22"/>
        </w:rPr>
        <w:t>85.6% of the target</w:t>
      </w:r>
      <w:r w:rsidR="00C6115E">
        <w:rPr>
          <w:rStyle w:val="normaltextrun"/>
          <w:rFonts w:ascii="Calibri" w:eastAsiaTheme="majorEastAsia" w:hAnsi="Calibri" w:cs="Calibri"/>
          <w:b/>
          <w:bCs/>
          <w:noProof/>
          <w:sz w:val="22"/>
          <w:szCs w:val="22"/>
        </w:rPr>
        <w:t xml:space="preserve"> </w:t>
      </w:r>
      <w:r w:rsidR="003A53C2" w:rsidRPr="00417E18">
        <w:rPr>
          <w:rStyle w:val="normaltextrun"/>
          <w:rFonts w:ascii="Calibri" w:eastAsiaTheme="majorEastAsia" w:hAnsi="Calibri" w:cs="Calibri"/>
          <w:b/>
          <w:bCs/>
          <w:noProof/>
          <w:sz w:val="22"/>
          <w:szCs w:val="22"/>
        </w:rPr>
        <w:t>will be achieved by 2030</w:t>
      </w:r>
      <w:r w:rsidR="003A53C2" w:rsidRPr="00417E18">
        <w:rPr>
          <w:rStyle w:val="normaltextrun"/>
          <w:rFonts w:ascii="Calibri" w:eastAsiaTheme="majorEastAsia" w:hAnsi="Calibri" w:cs="Calibri"/>
          <w:noProof/>
          <w:sz w:val="22"/>
          <w:szCs w:val="22"/>
        </w:rPr>
        <w:t>, </w:t>
      </w:r>
      <w:r w:rsidR="00AB7539" w:rsidRPr="00417E18">
        <w:rPr>
          <w:rStyle w:val="normaltextrun"/>
          <w:rFonts w:ascii="Calibri" w:eastAsiaTheme="majorEastAsia" w:hAnsi="Calibri" w:cs="Calibri"/>
          <w:noProof/>
          <w:sz w:val="22"/>
          <w:szCs w:val="22"/>
        </w:rPr>
        <w:t xml:space="preserve">implying that only </w:t>
      </w:r>
      <w:r w:rsidR="003A53C2" w:rsidRPr="00417E18">
        <w:rPr>
          <w:rStyle w:val="normaltextrun"/>
          <w:rFonts w:ascii="Calibri" w:eastAsiaTheme="majorEastAsia" w:hAnsi="Calibri" w:cs="Calibri"/>
          <w:noProof/>
          <w:sz w:val="22"/>
          <w:szCs w:val="22"/>
        </w:rPr>
        <w:t xml:space="preserve">68.48% </w:t>
      </w:r>
      <w:r w:rsidR="008A38DC" w:rsidRPr="00417E18">
        <w:rPr>
          <w:rStyle w:val="normaltextrun"/>
          <w:rFonts w:ascii="Calibri" w:eastAsiaTheme="majorEastAsia" w:hAnsi="Calibri" w:cs="Calibri"/>
          <w:noProof/>
          <w:sz w:val="22"/>
          <w:szCs w:val="22"/>
        </w:rPr>
        <w:t xml:space="preserve">of the population </w:t>
      </w:r>
      <w:r w:rsidR="009000D2">
        <w:rPr>
          <w:rStyle w:val="normaltextrun"/>
          <w:rFonts w:ascii="Calibri" w:eastAsiaTheme="majorEastAsia" w:hAnsi="Calibri" w:cs="Calibri"/>
          <w:noProof/>
          <w:sz w:val="22"/>
          <w:szCs w:val="22"/>
        </w:rPr>
        <w:t>is</w:t>
      </w:r>
      <w:r w:rsidR="008A38DC" w:rsidRPr="00417E18">
        <w:rPr>
          <w:rStyle w:val="normaltextrun"/>
          <w:rFonts w:ascii="Calibri" w:eastAsiaTheme="majorEastAsia" w:hAnsi="Calibri" w:cs="Calibri"/>
          <w:noProof/>
          <w:sz w:val="22"/>
          <w:szCs w:val="22"/>
        </w:rPr>
        <w:t xml:space="preserve"> projected </w:t>
      </w:r>
      <w:r w:rsidR="007B55E2" w:rsidRPr="00417E18">
        <w:rPr>
          <w:rStyle w:val="normaltextrun"/>
          <w:rFonts w:ascii="Calibri" w:eastAsiaTheme="majorEastAsia" w:hAnsi="Calibri" w:cs="Calibri"/>
          <w:noProof/>
          <w:sz w:val="22"/>
          <w:szCs w:val="22"/>
        </w:rPr>
        <w:t>to</w:t>
      </w:r>
      <w:r w:rsidR="008A38DC" w:rsidRPr="00417E18">
        <w:rPr>
          <w:rStyle w:val="normaltextrun"/>
          <w:rFonts w:ascii="Calibri" w:eastAsiaTheme="majorEastAsia" w:hAnsi="Calibri" w:cs="Calibri"/>
          <w:noProof/>
          <w:sz w:val="22"/>
          <w:szCs w:val="22"/>
        </w:rPr>
        <w:t xml:space="preserve"> have at least a basic level of </w:t>
      </w:r>
      <w:r w:rsidR="001D3ACE" w:rsidRPr="07868930">
        <w:rPr>
          <w:rStyle w:val="normaltextrun"/>
          <w:rFonts w:ascii="Calibri" w:eastAsiaTheme="majorEastAsia" w:hAnsi="Calibri" w:cs="Calibri"/>
          <w:noProof/>
          <w:sz w:val="22"/>
          <w:szCs w:val="22"/>
        </w:rPr>
        <w:t>digital</w:t>
      </w:r>
      <w:r w:rsidR="008A38DC" w:rsidRPr="00417E18">
        <w:rPr>
          <w:rStyle w:val="normaltextrun"/>
          <w:rFonts w:ascii="Calibri" w:eastAsiaTheme="majorEastAsia" w:hAnsi="Calibri" w:cs="Calibri"/>
          <w:noProof/>
          <w:sz w:val="22"/>
          <w:szCs w:val="22"/>
        </w:rPr>
        <w:t xml:space="preserve"> skills, </w:t>
      </w:r>
      <w:r w:rsidR="003A53C2" w:rsidRPr="00417E18">
        <w:rPr>
          <w:rStyle w:val="normaltextrun"/>
          <w:rFonts w:ascii="Calibri" w:eastAsiaTheme="majorEastAsia" w:hAnsi="Calibri" w:cs="Calibri"/>
          <w:noProof/>
          <w:sz w:val="22"/>
          <w:szCs w:val="22"/>
        </w:rPr>
        <w:t>instead of</w:t>
      </w:r>
      <w:r w:rsidR="001B5F5A" w:rsidRPr="00417E18">
        <w:rPr>
          <w:rStyle w:val="normaltextrun"/>
          <w:rFonts w:ascii="Calibri" w:eastAsiaTheme="majorEastAsia" w:hAnsi="Calibri" w:cs="Calibri"/>
          <w:noProof/>
          <w:sz w:val="22"/>
          <w:szCs w:val="22"/>
        </w:rPr>
        <w:t xml:space="preserve"> the target of</w:t>
      </w:r>
      <w:r w:rsidR="003A53C2" w:rsidRPr="00417E18">
        <w:rPr>
          <w:rStyle w:val="normaltextrun"/>
          <w:rFonts w:ascii="Calibri" w:eastAsiaTheme="majorEastAsia" w:hAnsi="Calibri" w:cs="Calibri"/>
          <w:noProof/>
          <w:sz w:val="22"/>
          <w:szCs w:val="22"/>
        </w:rPr>
        <w:t xml:space="preserve"> 80%</w:t>
      </w:r>
      <w:r w:rsidR="003A53C2" w:rsidRPr="00CB1FBD">
        <w:rPr>
          <w:rStyle w:val="normaltextrun"/>
          <w:rFonts w:ascii="Calibri" w:eastAsiaTheme="majorEastAsia" w:hAnsi="Calibri" w:cs="Calibri"/>
          <w:noProof/>
          <w:sz w:val="22"/>
          <w:szCs w:val="22"/>
        </w:rPr>
        <w:t> </w:t>
      </w:r>
      <w:r w:rsidR="003A53C2" w:rsidRPr="00417E18">
        <w:rPr>
          <w:rStyle w:val="normaltextrun"/>
          <w:rFonts w:ascii="Calibri" w:eastAsiaTheme="majorEastAsia" w:hAnsi="Calibri" w:cs="Calibri"/>
          <w:noProof/>
          <w:sz w:val="22"/>
          <w:szCs w:val="22"/>
        </w:rPr>
        <w:t>(</w:t>
      </w:r>
      <w:r w:rsidR="007B6296" w:rsidRPr="007B6296">
        <w:rPr>
          <w:rStyle w:val="normaltextrun"/>
          <w:rFonts w:ascii="Calibri" w:eastAsiaTheme="majorEastAsia" w:hAnsi="Calibri" w:cs="Calibri"/>
          <w:noProof/>
          <w:sz w:val="22"/>
          <w:szCs w:val="22"/>
        </w:rPr>
        <w:fldChar w:fldCharType="begin"/>
      </w:r>
      <w:r w:rsidR="007B6296" w:rsidRPr="007B6296">
        <w:rPr>
          <w:rStyle w:val="normaltextrun"/>
          <w:rFonts w:ascii="Calibri" w:eastAsiaTheme="majorEastAsia" w:hAnsi="Calibri" w:cs="Calibri"/>
          <w:noProof/>
          <w:sz w:val="22"/>
          <w:szCs w:val="22"/>
        </w:rPr>
        <w:instrText xml:space="preserve"> REF _Ref229040170 \h  \* MERGEFORMAT </w:instrText>
      </w:r>
      <w:r w:rsidR="007B6296" w:rsidRPr="007B6296">
        <w:rPr>
          <w:rStyle w:val="normaltextrun"/>
          <w:rFonts w:ascii="Calibri" w:eastAsiaTheme="majorEastAsia" w:hAnsi="Calibri" w:cs="Calibri"/>
          <w:noProof/>
          <w:sz w:val="22"/>
          <w:szCs w:val="22"/>
        </w:rPr>
      </w:r>
      <w:r w:rsidR="007B6296" w:rsidRPr="007B6296">
        <w:rPr>
          <w:rStyle w:val="normaltextrun"/>
          <w:rFonts w:ascii="Calibri" w:eastAsiaTheme="majorEastAsia" w:hAnsi="Calibri" w:cs="Calibri"/>
          <w:noProof/>
          <w:sz w:val="22"/>
          <w:szCs w:val="22"/>
        </w:rPr>
        <w:fldChar w:fldCharType="separate"/>
      </w:r>
      <w:r w:rsidR="007B6296" w:rsidRPr="007B6296">
        <w:rPr>
          <w:rFonts w:ascii="Calibri" w:hAnsi="Calibri" w:cs="Calibri"/>
          <w:noProof/>
          <w:sz w:val="22"/>
          <w:szCs w:val="22"/>
          <w:u w:val="single"/>
        </w:rPr>
        <w:t>Figure 15</w:t>
      </w:r>
      <w:r w:rsidR="007B6296" w:rsidRPr="007B6296">
        <w:rPr>
          <w:rStyle w:val="normaltextrun"/>
          <w:rFonts w:ascii="Calibri" w:eastAsiaTheme="majorEastAsia" w:hAnsi="Calibri" w:cs="Calibri"/>
          <w:noProof/>
          <w:sz w:val="22"/>
          <w:szCs w:val="22"/>
        </w:rPr>
        <w:fldChar w:fldCharType="end"/>
      </w:r>
      <w:r w:rsidR="003A53C2" w:rsidRPr="00417E18">
        <w:rPr>
          <w:rStyle w:val="normaltextrun"/>
          <w:rFonts w:ascii="Calibri" w:eastAsiaTheme="majorEastAsia" w:hAnsi="Calibri" w:cs="Calibri"/>
          <w:noProof/>
          <w:sz w:val="22"/>
          <w:szCs w:val="22"/>
        </w:rPr>
        <w:t>).</w:t>
      </w:r>
    </w:p>
    <w:p w14:paraId="7948236C" w14:textId="5A02E0F0" w:rsidR="003A53C2" w:rsidRPr="00417E18" w:rsidRDefault="003A53C2" w:rsidP="698D0C64">
      <w:pPr>
        <w:pStyle w:val="paragraph"/>
        <w:spacing w:before="0" w:beforeAutospacing="0" w:after="0" w:afterAutospacing="0"/>
        <w:jc w:val="both"/>
        <w:textAlignment w:val="baseline"/>
        <w:rPr>
          <w:rStyle w:val="eop"/>
          <w:rFonts w:ascii="Calibri" w:eastAsiaTheme="majorEastAsia" w:hAnsi="Calibri" w:cs="Calibri"/>
          <w:noProof/>
          <w:sz w:val="22"/>
          <w:szCs w:val="22"/>
        </w:rPr>
      </w:pPr>
      <w:r w:rsidRPr="00417E18">
        <w:rPr>
          <w:rStyle w:val="normaltextrun"/>
          <w:rFonts w:ascii="Calibri" w:eastAsiaTheme="majorEastAsia" w:hAnsi="Calibri" w:cs="Calibri"/>
          <w:noProof/>
          <w:sz w:val="22"/>
          <w:szCs w:val="22"/>
        </w:rPr>
        <w:t>At this pace of progress, it will take eight additional years from the digital decade deadline to reach the full target, forecast to be reached in </w:t>
      </w:r>
      <w:r w:rsidRPr="00417E18">
        <w:rPr>
          <w:rStyle w:val="normaltextrun"/>
          <w:rFonts w:ascii="Calibri" w:eastAsiaTheme="majorEastAsia" w:hAnsi="Calibri" w:cs="Calibri"/>
          <w:b/>
          <w:bCs/>
          <w:noProof/>
          <w:sz w:val="22"/>
          <w:szCs w:val="22"/>
        </w:rPr>
        <w:t>2037</w:t>
      </w:r>
      <w:r w:rsidRPr="00417E18">
        <w:rPr>
          <w:rStyle w:val="normaltextrun"/>
          <w:rFonts w:ascii="Calibri" w:eastAsiaTheme="majorEastAsia" w:hAnsi="Calibri" w:cs="Calibri"/>
          <w:noProof/>
          <w:sz w:val="22"/>
          <w:szCs w:val="22"/>
        </w:rPr>
        <w:t> if no further actions are taken</w:t>
      </w:r>
      <w:r w:rsidR="001B5F5A" w:rsidRPr="00417E18">
        <w:rPr>
          <w:rStyle w:val="normaltextrun"/>
          <w:rFonts w:ascii="Calibri" w:eastAsiaTheme="majorEastAsia" w:hAnsi="Calibri" w:cs="Calibri"/>
          <w:noProof/>
          <w:sz w:val="22"/>
          <w:szCs w:val="22"/>
        </w:rPr>
        <w:t>.</w:t>
      </w:r>
    </w:p>
    <w:p w14:paraId="5B9DF8C6" w14:textId="77777777" w:rsidR="00C03894" w:rsidRDefault="003A53C2" w:rsidP="00C03894">
      <w:pPr>
        <w:pStyle w:val="paragraph"/>
        <w:keepNext/>
        <w:spacing w:before="0" w:beforeAutospacing="0" w:after="0" w:afterAutospacing="0"/>
        <w:jc w:val="center"/>
        <w:textAlignment w:val="baseline"/>
        <w:rPr>
          <w:noProof/>
        </w:rPr>
      </w:pPr>
      <w:r w:rsidRPr="00417E18">
        <w:rPr>
          <w:noProof/>
          <w:lang w:eastAsia="en-GB"/>
        </w:rPr>
        <w:drawing>
          <wp:inline distT="0" distB="0" distL="0" distR="0" wp14:anchorId="4F690577" wp14:editId="2BA23452">
            <wp:extent cx="6105408" cy="2111023"/>
            <wp:effectExtent l="0" t="0" r="0" b="3810"/>
            <wp:docPr id="1617229569" name="Picture 1" descr="A graph with line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lines and tex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64737" cy="2131537"/>
                    </a:xfrm>
                    <a:prstGeom prst="rect">
                      <a:avLst/>
                    </a:prstGeom>
                    <a:noFill/>
                    <a:ln>
                      <a:noFill/>
                    </a:ln>
                  </pic:spPr>
                </pic:pic>
              </a:graphicData>
            </a:graphic>
          </wp:inline>
        </w:drawing>
      </w:r>
    </w:p>
    <w:p w14:paraId="274D5201" w14:textId="1FE76918" w:rsidR="00F515E5" w:rsidRPr="00417E18" w:rsidRDefault="00C03894" w:rsidP="00C03894">
      <w:pPr>
        <w:pStyle w:val="Caption"/>
        <w:rPr>
          <w:noProof/>
        </w:rPr>
      </w:pPr>
      <w:bookmarkStart w:id="87" w:name="_Ref229040170"/>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15</w:t>
      </w:r>
      <w:r w:rsidRPr="00C03894">
        <w:rPr>
          <w:noProof/>
          <w:u w:val="single"/>
        </w:rPr>
        <w:fldChar w:fldCharType="end"/>
      </w:r>
      <w:bookmarkEnd w:id="87"/>
      <w:r>
        <w:rPr>
          <w:noProof/>
        </w:rPr>
        <w:t xml:space="preserve">: </w:t>
      </w:r>
      <w:r w:rsidRPr="008D403A">
        <w:rPr>
          <w:noProof/>
        </w:rPr>
        <w:t>At least basic digital skills in the EU. Historical data, Digital Decade (DD) trajectory and revised baseline trajectory towards 2030</w:t>
      </w:r>
      <w:r w:rsidR="005B1E39">
        <w:rPr>
          <w:noProof/>
        </w:rPr>
        <w:t>.</w:t>
      </w:r>
    </w:p>
    <w:p w14:paraId="68C8B9E5" w14:textId="67760DB7" w:rsidR="0044097F" w:rsidRPr="00417E18" w:rsidRDefault="0044097F" w:rsidP="0044097F">
      <w:pPr>
        <w:spacing w:after="120"/>
        <w:rPr>
          <w:noProof/>
          <w:sz w:val="22"/>
          <w:szCs w:val="22"/>
        </w:rPr>
      </w:pPr>
      <w:r w:rsidRPr="00417E18">
        <w:rPr>
          <w:noProof/>
          <w:sz w:val="22"/>
          <w:szCs w:val="22"/>
        </w:rPr>
        <w:t xml:space="preserve">Basic digital skills are </w:t>
      </w:r>
      <w:r w:rsidR="009B30A7" w:rsidRPr="00417E18">
        <w:rPr>
          <w:noProof/>
          <w:sz w:val="22"/>
          <w:szCs w:val="22"/>
        </w:rPr>
        <w:t>essential</w:t>
      </w:r>
      <w:r w:rsidR="008D349E" w:rsidRPr="00417E18">
        <w:rPr>
          <w:noProof/>
          <w:sz w:val="22"/>
          <w:szCs w:val="22"/>
        </w:rPr>
        <w:t xml:space="preserve"> </w:t>
      </w:r>
      <w:r w:rsidRPr="00417E18">
        <w:rPr>
          <w:noProof/>
          <w:sz w:val="22"/>
          <w:szCs w:val="22"/>
        </w:rPr>
        <w:t xml:space="preserve">for meaningful and safe participation in today’s digital economy and society. </w:t>
      </w:r>
      <w:r w:rsidR="38CD2D49" w:rsidRPr="00417E18">
        <w:rPr>
          <w:noProof/>
          <w:sz w:val="22"/>
          <w:szCs w:val="22"/>
        </w:rPr>
        <w:t xml:space="preserve">As </w:t>
      </w:r>
      <w:r w:rsidR="056C6931">
        <w:rPr>
          <w:noProof/>
          <w:sz w:val="22"/>
          <w:szCs w:val="22"/>
        </w:rPr>
        <w:t>shown by</w:t>
      </w:r>
      <w:r w:rsidR="00D11088" w:rsidRPr="00417E18">
        <w:rPr>
          <w:noProof/>
          <w:sz w:val="22"/>
          <w:szCs w:val="22"/>
        </w:rPr>
        <w:t xml:space="preserve"> the Eurobarometer on Future </w:t>
      </w:r>
      <w:r w:rsidR="0CB86656">
        <w:rPr>
          <w:noProof/>
          <w:sz w:val="22"/>
          <w:szCs w:val="22"/>
        </w:rPr>
        <w:t>N</w:t>
      </w:r>
      <w:r w:rsidR="295CCE69" w:rsidRPr="00417E18">
        <w:rPr>
          <w:noProof/>
          <w:sz w:val="22"/>
          <w:szCs w:val="22"/>
        </w:rPr>
        <w:t>eed</w:t>
      </w:r>
      <w:r w:rsidR="056C6931">
        <w:rPr>
          <w:noProof/>
          <w:sz w:val="22"/>
          <w:szCs w:val="22"/>
        </w:rPr>
        <w:t>s</w:t>
      </w:r>
      <w:r w:rsidR="00D11088" w:rsidRPr="00417E18">
        <w:rPr>
          <w:noProof/>
          <w:sz w:val="22"/>
          <w:szCs w:val="22"/>
        </w:rPr>
        <w:t xml:space="preserve"> in </w:t>
      </w:r>
      <w:r w:rsidR="0CB86656">
        <w:rPr>
          <w:noProof/>
          <w:sz w:val="22"/>
          <w:szCs w:val="22"/>
        </w:rPr>
        <w:t>D</w:t>
      </w:r>
      <w:r w:rsidR="295CCE69" w:rsidRPr="00417E18">
        <w:rPr>
          <w:noProof/>
          <w:sz w:val="22"/>
          <w:szCs w:val="22"/>
        </w:rPr>
        <w:t xml:space="preserve">igital </w:t>
      </w:r>
      <w:r w:rsidR="0CB86656">
        <w:rPr>
          <w:noProof/>
          <w:sz w:val="22"/>
          <w:szCs w:val="22"/>
        </w:rPr>
        <w:t>E</w:t>
      </w:r>
      <w:r w:rsidR="295CCE69" w:rsidRPr="00417E18">
        <w:rPr>
          <w:noProof/>
          <w:sz w:val="22"/>
          <w:szCs w:val="22"/>
        </w:rPr>
        <w:t>ducation</w:t>
      </w:r>
      <w:r w:rsidR="00D11088" w:rsidRPr="00417E18">
        <w:rPr>
          <w:noProof/>
          <w:sz w:val="22"/>
          <w:szCs w:val="22"/>
        </w:rPr>
        <w:t xml:space="preserve"> (2025)</w:t>
      </w:r>
      <w:r w:rsidR="002B1890" w:rsidRPr="00417E18">
        <w:rPr>
          <w:rStyle w:val="FootnoteReference"/>
          <w:noProof/>
          <w:sz w:val="22"/>
          <w:szCs w:val="22"/>
        </w:rPr>
        <w:footnoteReference w:id="69"/>
      </w:r>
      <w:r w:rsidR="00D11088" w:rsidRPr="00417E18">
        <w:rPr>
          <w:noProof/>
          <w:sz w:val="22"/>
          <w:szCs w:val="22"/>
        </w:rPr>
        <w:t xml:space="preserve">, 89% of citizens agree that digital skills are essential for participation in society while more than eight in ten respondents (86%) agree that expanding digital skills training is important </w:t>
      </w:r>
      <w:r w:rsidR="2A84EA3E">
        <w:rPr>
          <w:noProof/>
          <w:sz w:val="22"/>
          <w:szCs w:val="22"/>
        </w:rPr>
        <w:t>for</w:t>
      </w:r>
      <w:r w:rsidR="2A84EA3E" w:rsidRPr="00417E18">
        <w:rPr>
          <w:noProof/>
          <w:sz w:val="22"/>
          <w:szCs w:val="22"/>
        </w:rPr>
        <w:t xml:space="preserve"> </w:t>
      </w:r>
      <w:r w:rsidR="295CCE69" w:rsidRPr="00417E18">
        <w:rPr>
          <w:noProof/>
          <w:sz w:val="22"/>
          <w:szCs w:val="22"/>
        </w:rPr>
        <w:t>improv</w:t>
      </w:r>
      <w:r w:rsidR="2A84EA3E">
        <w:rPr>
          <w:noProof/>
          <w:sz w:val="22"/>
          <w:szCs w:val="22"/>
        </w:rPr>
        <w:t>ing</w:t>
      </w:r>
      <w:r w:rsidR="00D11088" w:rsidRPr="00417E18">
        <w:rPr>
          <w:noProof/>
          <w:sz w:val="22"/>
          <w:szCs w:val="22"/>
        </w:rPr>
        <w:t xml:space="preserve"> the economy of their countries. </w:t>
      </w:r>
      <w:r w:rsidR="008D349E" w:rsidRPr="00417E18">
        <w:rPr>
          <w:noProof/>
          <w:sz w:val="22"/>
          <w:szCs w:val="22"/>
        </w:rPr>
        <w:t>Yet</w:t>
      </w:r>
      <w:r w:rsidR="00BB37E0" w:rsidRPr="00417E18">
        <w:rPr>
          <w:noProof/>
          <w:sz w:val="22"/>
          <w:szCs w:val="22"/>
        </w:rPr>
        <w:t>, a substantial share of</w:t>
      </w:r>
      <w:r w:rsidRPr="00417E18">
        <w:rPr>
          <w:noProof/>
          <w:sz w:val="22"/>
          <w:szCs w:val="22"/>
        </w:rPr>
        <w:t xml:space="preserve"> Europeans still face</w:t>
      </w:r>
      <w:r w:rsidR="004D4320" w:rsidRPr="00417E18">
        <w:rPr>
          <w:noProof/>
          <w:sz w:val="22"/>
          <w:szCs w:val="22"/>
        </w:rPr>
        <w:t>s</w:t>
      </w:r>
      <w:r w:rsidRPr="00417E18">
        <w:rPr>
          <w:noProof/>
          <w:sz w:val="22"/>
          <w:szCs w:val="22"/>
        </w:rPr>
        <w:t xml:space="preserve"> </w:t>
      </w:r>
      <w:r w:rsidR="00740026" w:rsidRPr="00417E18">
        <w:rPr>
          <w:noProof/>
          <w:sz w:val="22"/>
          <w:szCs w:val="22"/>
        </w:rPr>
        <w:t>difficulties in</w:t>
      </w:r>
      <w:r w:rsidRPr="00417E18">
        <w:rPr>
          <w:noProof/>
          <w:sz w:val="22"/>
          <w:szCs w:val="22"/>
        </w:rPr>
        <w:t xml:space="preserve"> acquir</w:t>
      </w:r>
      <w:r w:rsidR="00740026" w:rsidRPr="00417E18">
        <w:rPr>
          <w:noProof/>
          <w:sz w:val="22"/>
          <w:szCs w:val="22"/>
        </w:rPr>
        <w:t>ing</w:t>
      </w:r>
      <w:r w:rsidRPr="00417E18">
        <w:rPr>
          <w:noProof/>
          <w:sz w:val="22"/>
          <w:szCs w:val="22"/>
        </w:rPr>
        <w:t xml:space="preserve"> them. </w:t>
      </w:r>
      <w:r w:rsidR="7E4F096E" w:rsidRPr="00417E18">
        <w:rPr>
          <w:noProof/>
          <w:sz w:val="22"/>
          <w:szCs w:val="22"/>
        </w:rPr>
        <w:t>Older people</w:t>
      </w:r>
      <w:r w:rsidR="67159624" w:rsidRPr="4D23A098">
        <w:rPr>
          <w:noProof/>
          <w:sz w:val="22"/>
          <w:szCs w:val="22"/>
        </w:rPr>
        <w:t>,</w:t>
      </w:r>
      <w:r w:rsidR="67159624" w:rsidRPr="00417E18">
        <w:rPr>
          <w:noProof/>
          <w:sz w:val="22"/>
          <w:szCs w:val="22"/>
        </w:rPr>
        <w:t xml:space="preserve"> </w:t>
      </w:r>
      <w:r w:rsidR="00542FBB" w:rsidRPr="00417E18">
        <w:rPr>
          <w:noProof/>
          <w:sz w:val="22"/>
          <w:szCs w:val="22"/>
        </w:rPr>
        <w:t>individuals</w:t>
      </w:r>
      <w:r w:rsidRPr="00417E18">
        <w:rPr>
          <w:noProof/>
          <w:sz w:val="22"/>
          <w:szCs w:val="22"/>
        </w:rPr>
        <w:t xml:space="preserve"> with low educational attainment, </w:t>
      </w:r>
      <w:r w:rsidR="00C46F61" w:rsidRPr="4D23A098">
        <w:rPr>
          <w:noProof/>
          <w:sz w:val="22"/>
          <w:szCs w:val="22"/>
        </w:rPr>
        <w:t>persons with disabilities, marginalised groups facing racial or ethnic discrimination</w:t>
      </w:r>
      <w:r w:rsidR="00E047C8" w:rsidRPr="4D23A098">
        <w:rPr>
          <w:noProof/>
          <w:sz w:val="22"/>
          <w:szCs w:val="22"/>
        </w:rPr>
        <w:t>,</w:t>
      </w:r>
      <w:r w:rsidR="00C46F61" w:rsidRPr="4D23A098">
        <w:rPr>
          <w:noProof/>
          <w:sz w:val="22"/>
          <w:szCs w:val="22"/>
        </w:rPr>
        <w:t xml:space="preserve"> </w:t>
      </w:r>
      <w:r w:rsidRPr="00417E18">
        <w:rPr>
          <w:noProof/>
          <w:sz w:val="22"/>
          <w:szCs w:val="22"/>
        </w:rPr>
        <w:t xml:space="preserve">and those who are unemployed or outside the labour market </w:t>
      </w:r>
      <w:r w:rsidR="00A631DD" w:rsidRPr="00417E18">
        <w:rPr>
          <w:noProof/>
          <w:sz w:val="22"/>
          <w:szCs w:val="22"/>
        </w:rPr>
        <w:t xml:space="preserve">remain </w:t>
      </w:r>
      <w:r w:rsidRPr="00417E18">
        <w:rPr>
          <w:noProof/>
          <w:sz w:val="22"/>
          <w:szCs w:val="22"/>
        </w:rPr>
        <w:t xml:space="preserve">particularly at risk of lacking basic digital skills. </w:t>
      </w:r>
      <w:r w:rsidR="00783FDF" w:rsidRPr="00417E18">
        <w:rPr>
          <w:noProof/>
          <w:sz w:val="22"/>
          <w:szCs w:val="22"/>
        </w:rPr>
        <w:t xml:space="preserve">Disparities are also </w:t>
      </w:r>
      <w:r w:rsidR="002C5CA8" w:rsidRPr="00417E18">
        <w:rPr>
          <w:noProof/>
          <w:sz w:val="22"/>
          <w:szCs w:val="22"/>
        </w:rPr>
        <w:t>evident</w:t>
      </w:r>
      <w:r w:rsidR="00436BA5" w:rsidRPr="00417E18">
        <w:rPr>
          <w:noProof/>
          <w:sz w:val="22"/>
          <w:szCs w:val="22"/>
        </w:rPr>
        <w:t xml:space="preserve"> among</w:t>
      </w:r>
      <w:r w:rsidRPr="00417E18">
        <w:rPr>
          <w:noProof/>
          <w:sz w:val="22"/>
          <w:szCs w:val="22"/>
        </w:rPr>
        <w:t xml:space="preserve"> young</w:t>
      </w:r>
      <w:r w:rsidR="00414E43" w:rsidRPr="00417E18">
        <w:rPr>
          <w:noProof/>
          <w:sz w:val="22"/>
          <w:szCs w:val="22"/>
        </w:rPr>
        <w:t>er generations</w:t>
      </w:r>
      <w:r w:rsidR="00305186" w:rsidRPr="00417E18">
        <w:rPr>
          <w:noProof/>
          <w:sz w:val="22"/>
          <w:szCs w:val="22"/>
        </w:rPr>
        <w:t>:</w:t>
      </w:r>
      <w:r w:rsidR="00436BA5" w:rsidRPr="00417E18">
        <w:rPr>
          <w:noProof/>
          <w:sz w:val="22"/>
          <w:szCs w:val="22"/>
        </w:rPr>
        <w:t xml:space="preserve"> </w:t>
      </w:r>
      <w:r w:rsidR="0075288C" w:rsidRPr="00417E18">
        <w:rPr>
          <w:noProof/>
          <w:sz w:val="22"/>
          <w:szCs w:val="22"/>
        </w:rPr>
        <w:t xml:space="preserve">not all young people benefit equally from </w:t>
      </w:r>
      <w:r w:rsidR="009615E5" w:rsidRPr="00417E18">
        <w:rPr>
          <w:noProof/>
          <w:sz w:val="22"/>
          <w:szCs w:val="22"/>
        </w:rPr>
        <w:t>digital opportunities</w:t>
      </w:r>
      <w:r w:rsidR="00081415" w:rsidRPr="00417E18">
        <w:rPr>
          <w:noProof/>
          <w:sz w:val="22"/>
          <w:szCs w:val="22"/>
        </w:rPr>
        <w:t xml:space="preserve"> and factors such as </w:t>
      </w:r>
      <w:r w:rsidR="00B41AA3" w:rsidRPr="00417E18">
        <w:rPr>
          <w:noProof/>
          <w:sz w:val="22"/>
          <w:szCs w:val="22"/>
        </w:rPr>
        <w:t>u</w:t>
      </w:r>
      <w:r w:rsidRPr="00417E18">
        <w:rPr>
          <w:noProof/>
          <w:sz w:val="22"/>
          <w:szCs w:val="22"/>
        </w:rPr>
        <w:t>nequal access to digital tools and infrastructure, a</w:t>
      </w:r>
      <w:r w:rsidR="001F7739" w:rsidRPr="00417E18">
        <w:rPr>
          <w:noProof/>
          <w:sz w:val="22"/>
          <w:szCs w:val="22"/>
        </w:rPr>
        <w:t xml:space="preserve">s well as limited </w:t>
      </w:r>
      <w:r w:rsidRPr="00417E18">
        <w:rPr>
          <w:noProof/>
          <w:sz w:val="22"/>
          <w:szCs w:val="22"/>
        </w:rPr>
        <w:t xml:space="preserve">parental support, can </w:t>
      </w:r>
      <w:r w:rsidR="006B0452" w:rsidRPr="00417E18">
        <w:rPr>
          <w:noProof/>
          <w:sz w:val="22"/>
          <w:szCs w:val="22"/>
        </w:rPr>
        <w:t>significantly shape</w:t>
      </w:r>
      <w:r w:rsidR="008D20F1" w:rsidRPr="00417E18">
        <w:rPr>
          <w:noProof/>
          <w:sz w:val="22"/>
          <w:szCs w:val="22"/>
        </w:rPr>
        <w:t xml:space="preserve"> learning outcomes</w:t>
      </w:r>
      <w:r w:rsidRPr="00417E18">
        <w:rPr>
          <w:noProof/>
          <w:sz w:val="22"/>
          <w:szCs w:val="22"/>
        </w:rPr>
        <w:t>.</w:t>
      </w:r>
    </w:p>
    <w:p w14:paraId="2F29640A" w14:textId="5B3ACA08" w:rsidR="0016100C" w:rsidRPr="00417E18" w:rsidRDefault="00877666" w:rsidP="0016100C">
      <w:pPr>
        <w:spacing w:after="120"/>
        <w:rPr>
          <w:noProof/>
          <w:sz w:val="22"/>
          <w:szCs w:val="22"/>
        </w:rPr>
      </w:pPr>
      <w:r w:rsidRPr="00417E18">
        <w:rPr>
          <w:noProof/>
          <w:sz w:val="22"/>
          <w:szCs w:val="22"/>
        </w:rPr>
        <w:t>The b</w:t>
      </w:r>
      <w:r w:rsidR="0044097F" w:rsidRPr="00417E18">
        <w:rPr>
          <w:noProof/>
          <w:sz w:val="22"/>
          <w:szCs w:val="22"/>
        </w:rPr>
        <w:t>arriers to</w:t>
      </w:r>
      <w:r w:rsidRPr="00417E18">
        <w:rPr>
          <w:noProof/>
          <w:sz w:val="22"/>
          <w:szCs w:val="22"/>
        </w:rPr>
        <w:t xml:space="preserve"> </w:t>
      </w:r>
      <w:r w:rsidR="00345BCC" w:rsidRPr="00417E18">
        <w:rPr>
          <w:noProof/>
          <w:sz w:val="22"/>
          <w:szCs w:val="22"/>
        </w:rPr>
        <w:t>acquir</w:t>
      </w:r>
      <w:r w:rsidR="0044097F" w:rsidRPr="00417E18">
        <w:rPr>
          <w:noProof/>
          <w:sz w:val="22"/>
          <w:szCs w:val="22"/>
        </w:rPr>
        <w:t xml:space="preserve">ing digital skills go </w:t>
      </w:r>
      <w:r w:rsidR="007C62E5" w:rsidRPr="00417E18">
        <w:rPr>
          <w:noProof/>
          <w:sz w:val="22"/>
          <w:szCs w:val="22"/>
        </w:rPr>
        <w:t xml:space="preserve">well </w:t>
      </w:r>
      <w:r w:rsidR="0044097F" w:rsidRPr="00417E18">
        <w:rPr>
          <w:noProof/>
          <w:sz w:val="22"/>
          <w:szCs w:val="22"/>
        </w:rPr>
        <w:t xml:space="preserve">beyond access to </w:t>
      </w:r>
      <w:r w:rsidR="00D82FDE" w:rsidRPr="00417E18">
        <w:rPr>
          <w:noProof/>
          <w:sz w:val="22"/>
          <w:szCs w:val="22"/>
        </w:rPr>
        <w:t>devices</w:t>
      </w:r>
      <w:r w:rsidR="0044097F" w:rsidRPr="00417E18">
        <w:rPr>
          <w:noProof/>
          <w:sz w:val="22"/>
          <w:szCs w:val="22"/>
        </w:rPr>
        <w:t xml:space="preserve"> and internet connectivity. For older</w:t>
      </w:r>
      <w:r w:rsidR="00FF5DF4" w:rsidRPr="00417E18">
        <w:rPr>
          <w:noProof/>
          <w:sz w:val="22"/>
          <w:szCs w:val="22"/>
        </w:rPr>
        <w:t xml:space="preserve"> people</w:t>
      </w:r>
      <w:r w:rsidR="0044097F" w:rsidRPr="00417E18">
        <w:rPr>
          <w:noProof/>
          <w:sz w:val="22"/>
          <w:szCs w:val="22"/>
        </w:rPr>
        <w:t xml:space="preserve"> </w:t>
      </w:r>
      <w:r w:rsidR="00EC5148" w:rsidRPr="00417E18">
        <w:rPr>
          <w:noProof/>
          <w:sz w:val="22"/>
          <w:szCs w:val="22"/>
        </w:rPr>
        <w:t xml:space="preserve">the transition </w:t>
      </w:r>
      <w:r w:rsidR="0044097F" w:rsidRPr="00417E18">
        <w:rPr>
          <w:noProof/>
          <w:sz w:val="22"/>
          <w:szCs w:val="22"/>
        </w:rPr>
        <w:t>to new technological tools can be intimidating,</w:t>
      </w:r>
      <w:r w:rsidR="003C0503" w:rsidRPr="00417E18">
        <w:rPr>
          <w:noProof/>
          <w:sz w:val="22"/>
          <w:szCs w:val="22"/>
        </w:rPr>
        <w:t xml:space="preserve"> </w:t>
      </w:r>
      <w:r w:rsidR="00660D64" w:rsidRPr="00417E18">
        <w:rPr>
          <w:noProof/>
          <w:sz w:val="22"/>
          <w:szCs w:val="22"/>
        </w:rPr>
        <w:t>especially where</w:t>
      </w:r>
      <w:r w:rsidR="003C0503" w:rsidRPr="00417E18">
        <w:rPr>
          <w:noProof/>
          <w:sz w:val="22"/>
          <w:szCs w:val="22"/>
        </w:rPr>
        <w:t xml:space="preserve"> there is limited</w:t>
      </w:r>
      <w:r w:rsidR="0044097F" w:rsidRPr="00417E18">
        <w:rPr>
          <w:noProof/>
          <w:sz w:val="22"/>
          <w:szCs w:val="22"/>
        </w:rPr>
        <w:t xml:space="preserve"> prior exposure</w:t>
      </w:r>
      <w:r w:rsidR="00186D6B" w:rsidRPr="00417E18">
        <w:rPr>
          <w:noProof/>
          <w:sz w:val="22"/>
          <w:szCs w:val="22"/>
        </w:rPr>
        <w:t xml:space="preserve">, low confidence in using digital tools </w:t>
      </w:r>
      <w:r w:rsidR="00A54946" w:rsidRPr="00417E18">
        <w:rPr>
          <w:noProof/>
          <w:sz w:val="22"/>
          <w:szCs w:val="22"/>
        </w:rPr>
        <w:t xml:space="preserve">or </w:t>
      </w:r>
      <w:r w:rsidR="001959AD" w:rsidRPr="00417E18">
        <w:rPr>
          <w:noProof/>
          <w:sz w:val="22"/>
          <w:szCs w:val="22"/>
        </w:rPr>
        <w:t>a lack</w:t>
      </w:r>
      <w:r w:rsidR="00F35160" w:rsidRPr="00417E18">
        <w:rPr>
          <w:noProof/>
          <w:sz w:val="22"/>
          <w:szCs w:val="22"/>
        </w:rPr>
        <w:t xml:space="preserve"> </w:t>
      </w:r>
      <w:r w:rsidR="001959AD" w:rsidRPr="00417E18">
        <w:rPr>
          <w:noProof/>
          <w:sz w:val="22"/>
          <w:szCs w:val="22"/>
        </w:rPr>
        <w:t xml:space="preserve">of </w:t>
      </w:r>
      <w:r w:rsidR="0044097F" w:rsidRPr="00417E18">
        <w:rPr>
          <w:noProof/>
          <w:sz w:val="22"/>
          <w:szCs w:val="22"/>
        </w:rPr>
        <w:t>age-appropriate training</w:t>
      </w:r>
      <w:r w:rsidR="00266CF2" w:rsidRPr="00417E18">
        <w:rPr>
          <w:noProof/>
          <w:sz w:val="22"/>
          <w:szCs w:val="22"/>
        </w:rPr>
        <w:t xml:space="preserve"> opportunities and guidance</w:t>
      </w:r>
      <w:r w:rsidR="0044097F" w:rsidRPr="00417E18">
        <w:rPr>
          <w:noProof/>
          <w:sz w:val="22"/>
          <w:szCs w:val="22"/>
        </w:rPr>
        <w:t xml:space="preserve">. People with lower educational attainment </w:t>
      </w:r>
      <w:r w:rsidR="00BA77F0" w:rsidRPr="00417E18">
        <w:rPr>
          <w:noProof/>
          <w:sz w:val="22"/>
          <w:szCs w:val="22"/>
        </w:rPr>
        <w:t xml:space="preserve">may </w:t>
      </w:r>
      <w:r w:rsidR="00A64CBE" w:rsidRPr="00417E18">
        <w:rPr>
          <w:noProof/>
          <w:sz w:val="22"/>
          <w:szCs w:val="22"/>
        </w:rPr>
        <w:t>face a double disadvantage: they</w:t>
      </w:r>
      <w:r w:rsidR="0025753E" w:rsidRPr="00417E18">
        <w:rPr>
          <w:noProof/>
          <w:sz w:val="22"/>
          <w:szCs w:val="22"/>
        </w:rPr>
        <w:t xml:space="preserve"> may</w:t>
      </w:r>
      <w:r w:rsidR="00C02E35" w:rsidRPr="00417E18">
        <w:rPr>
          <w:noProof/>
          <w:sz w:val="22"/>
          <w:szCs w:val="22"/>
        </w:rPr>
        <w:t xml:space="preserve"> </w:t>
      </w:r>
      <w:r w:rsidR="0044097F" w:rsidRPr="00417E18">
        <w:rPr>
          <w:noProof/>
          <w:sz w:val="22"/>
          <w:szCs w:val="22"/>
        </w:rPr>
        <w:t xml:space="preserve">lack </w:t>
      </w:r>
      <w:r w:rsidR="00C02E35" w:rsidRPr="00417E18">
        <w:rPr>
          <w:noProof/>
          <w:sz w:val="22"/>
          <w:szCs w:val="22"/>
        </w:rPr>
        <w:t xml:space="preserve">both </w:t>
      </w:r>
      <w:r w:rsidR="0044097F" w:rsidRPr="00417E18">
        <w:rPr>
          <w:noProof/>
          <w:sz w:val="22"/>
          <w:szCs w:val="22"/>
        </w:rPr>
        <w:t xml:space="preserve">foundational skills </w:t>
      </w:r>
      <w:r w:rsidR="00C71A2C" w:rsidRPr="00417E18">
        <w:rPr>
          <w:noProof/>
          <w:sz w:val="22"/>
          <w:szCs w:val="22"/>
        </w:rPr>
        <w:t>and</w:t>
      </w:r>
      <w:r w:rsidR="0044097F" w:rsidRPr="00417E18">
        <w:rPr>
          <w:noProof/>
          <w:sz w:val="22"/>
          <w:szCs w:val="22"/>
        </w:rPr>
        <w:t xml:space="preserve"> the </w:t>
      </w:r>
      <w:r w:rsidR="00C71A2C" w:rsidRPr="00417E18">
        <w:rPr>
          <w:noProof/>
          <w:sz w:val="22"/>
          <w:szCs w:val="22"/>
        </w:rPr>
        <w:t xml:space="preserve">capacity </w:t>
      </w:r>
      <w:r w:rsidR="00D7402A" w:rsidRPr="00417E18">
        <w:rPr>
          <w:noProof/>
          <w:sz w:val="22"/>
          <w:szCs w:val="22"/>
        </w:rPr>
        <w:t>for</w:t>
      </w:r>
      <w:r w:rsidR="00C71A2C" w:rsidRPr="00417E18">
        <w:rPr>
          <w:noProof/>
          <w:sz w:val="22"/>
          <w:szCs w:val="22"/>
        </w:rPr>
        <w:t xml:space="preserve"> </w:t>
      </w:r>
      <w:r w:rsidR="0044097F" w:rsidRPr="00417E18">
        <w:rPr>
          <w:noProof/>
          <w:sz w:val="22"/>
          <w:szCs w:val="22"/>
        </w:rPr>
        <w:t xml:space="preserve">self-directed learning needed to </w:t>
      </w:r>
      <w:r w:rsidR="49D757AF">
        <w:rPr>
          <w:noProof/>
          <w:sz w:val="22"/>
          <w:szCs w:val="22"/>
        </w:rPr>
        <w:t>improve</w:t>
      </w:r>
      <w:r w:rsidR="0044097F" w:rsidRPr="00417E18">
        <w:rPr>
          <w:noProof/>
          <w:sz w:val="22"/>
          <w:szCs w:val="22"/>
        </w:rPr>
        <w:t xml:space="preserve"> their digital literacy. </w:t>
      </w:r>
      <w:r w:rsidR="00695261" w:rsidRPr="00417E18">
        <w:rPr>
          <w:noProof/>
          <w:sz w:val="22"/>
          <w:szCs w:val="22"/>
        </w:rPr>
        <w:t xml:space="preserve">For those </w:t>
      </w:r>
      <w:r w:rsidR="0044097F" w:rsidRPr="00417E18">
        <w:rPr>
          <w:noProof/>
          <w:sz w:val="22"/>
          <w:szCs w:val="22"/>
        </w:rPr>
        <w:t>outside the labour market</w:t>
      </w:r>
      <w:r w:rsidR="003C1AD2" w:rsidRPr="00417E18">
        <w:rPr>
          <w:noProof/>
          <w:sz w:val="22"/>
          <w:szCs w:val="22"/>
        </w:rPr>
        <w:t>, digital upskilling may be de</w:t>
      </w:r>
      <w:r w:rsidR="0044097F" w:rsidRPr="00417E18">
        <w:rPr>
          <w:noProof/>
          <w:sz w:val="22"/>
          <w:szCs w:val="22"/>
        </w:rPr>
        <w:t>prioritise</w:t>
      </w:r>
      <w:r w:rsidR="00B02D83" w:rsidRPr="00417E18">
        <w:rPr>
          <w:noProof/>
          <w:sz w:val="22"/>
          <w:szCs w:val="22"/>
        </w:rPr>
        <w:t>d</w:t>
      </w:r>
      <w:r w:rsidR="0044097F" w:rsidRPr="00417E18">
        <w:rPr>
          <w:noProof/>
          <w:sz w:val="22"/>
          <w:szCs w:val="22"/>
        </w:rPr>
        <w:t xml:space="preserve"> in </w:t>
      </w:r>
      <w:r w:rsidR="00AB52A7" w:rsidRPr="00417E18">
        <w:rPr>
          <w:noProof/>
          <w:sz w:val="22"/>
          <w:szCs w:val="22"/>
        </w:rPr>
        <w:t xml:space="preserve">favour of </w:t>
      </w:r>
      <w:r w:rsidR="0044097F" w:rsidRPr="00417E18">
        <w:rPr>
          <w:noProof/>
          <w:sz w:val="22"/>
          <w:szCs w:val="22"/>
        </w:rPr>
        <w:t>other skills perceive</w:t>
      </w:r>
      <w:r w:rsidR="00AD7723" w:rsidRPr="00417E18">
        <w:rPr>
          <w:noProof/>
          <w:sz w:val="22"/>
          <w:szCs w:val="22"/>
        </w:rPr>
        <w:t>d</w:t>
      </w:r>
      <w:r w:rsidR="0044097F" w:rsidRPr="00417E18">
        <w:rPr>
          <w:noProof/>
          <w:sz w:val="22"/>
          <w:szCs w:val="22"/>
        </w:rPr>
        <w:t xml:space="preserve"> as more </w:t>
      </w:r>
      <w:r w:rsidR="00A11742" w:rsidRPr="00417E18">
        <w:rPr>
          <w:noProof/>
          <w:sz w:val="22"/>
          <w:szCs w:val="22"/>
        </w:rPr>
        <w:t xml:space="preserve">immediately relevant </w:t>
      </w:r>
      <w:r w:rsidR="0044097F" w:rsidRPr="00417E18">
        <w:rPr>
          <w:noProof/>
          <w:sz w:val="22"/>
          <w:szCs w:val="22"/>
        </w:rPr>
        <w:t xml:space="preserve">for re-entering employment. Language barriers </w:t>
      </w:r>
      <w:r w:rsidR="000F2D79" w:rsidRPr="00417E18">
        <w:rPr>
          <w:noProof/>
          <w:sz w:val="22"/>
          <w:szCs w:val="22"/>
        </w:rPr>
        <w:t>can further restrict access</w:t>
      </w:r>
      <w:r w:rsidR="001C3A2C" w:rsidRPr="00417E18">
        <w:rPr>
          <w:noProof/>
          <w:sz w:val="22"/>
          <w:szCs w:val="22"/>
        </w:rPr>
        <w:t xml:space="preserve"> when learning</w:t>
      </w:r>
      <w:r w:rsidR="0044097F" w:rsidRPr="00417E18">
        <w:rPr>
          <w:noProof/>
          <w:sz w:val="22"/>
          <w:szCs w:val="22"/>
        </w:rPr>
        <w:t xml:space="preserve"> resources</w:t>
      </w:r>
      <w:r w:rsidR="00CE02E1" w:rsidRPr="00417E18">
        <w:rPr>
          <w:noProof/>
          <w:sz w:val="22"/>
          <w:szCs w:val="22"/>
        </w:rPr>
        <w:t xml:space="preserve"> are not available in </w:t>
      </w:r>
      <w:r w:rsidR="0044097F" w:rsidRPr="00417E18">
        <w:rPr>
          <w:noProof/>
          <w:sz w:val="22"/>
          <w:szCs w:val="22"/>
        </w:rPr>
        <w:t xml:space="preserve">accessible </w:t>
      </w:r>
      <w:r w:rsidR="7058323B">
        <w:rPr>
          <w:noProof/>
          <w:sz w:val="22"/>
          <w:szCs w:val="22"/>
        </w:rPr>
        <w:t>formats or in learners’</w:t>
      </w:r>
      <w:r w:rsidR="540B7C7A" w:rsidRPr="0C856F1D">
        <w:rPr>
          <w:noProof/>
          <w:sz w:val="22"/>
          <w:szCs w:val="22"/>
        </w:rPr>
        <w:t xml:space="preserve"> native </w:t>
      </w:r>
      <w:r w:rsidR="02044B24" w:rsidRPr="00417E18">
        <w:rPr>
          <w:noProof/>
          <w:sz w:val="22"/>
          <w:szCs w:val="22"/>
        </w:rPr>
        <w:t>language</w:t>
      </w:r>
      <w:r w:rsidR="631EC590" w:rsidRPr="00417E18">
        <w:rPr>
          <w:noProof/>
          <w:sz w:val="22"/>
          <w:szCs w:val="22"/>
        </w:rPr>
        <w:t>s</w:t>
      </w:r>
      <w:r w:rsidR="02044B24" w:rsidRPr="00417E18">
        <w:rPr>
          <w:noProof/>
          <w:sz w:val="22"/>
          <w:szCs w:val="22"/>
        </w:rPr>
        <w:t>.</w:t>
      </w:r>
      <w:r w:rsidR="0044097F" w:rsidRPr="00417E18">
        <w:rPr>
          <w:noProof/>
          <w:sz w:val="22"/>
          <w:szCs w:val="22"/>
        </w:rPr>
        <w:t xml:space="preserve"> </w:t>
      </w:r>
      <w:r w:rsidR="001016A5" w:rsidRPr="00417E18">
        <w:rPr>
          <w:noProof/>
          <w:sz w:val="22"/>
          <w:szCs w:val="22"/>
        </w:rPr>
        <w:t>More broadly</w:t>
      </w:r>
      <w:r w:rsidR="0044097F" w:rsidRPr="00417E18">
        <w:rPr>
          <w:noProof/>
          <w:sz w:val="22"/>
          <w:szCs w:val="22"/>
        </w:rPr>
        <w:t xml:space="preserve">, the rapid </w:t>
      </w:r>
      <w:r w:rsidR="001016A5" w:rsidRPr="00417E18">
        <w:rPr>
          <w:noProof/>
          <w:sz w:val="22"/>
          <w:szCs w:val="22"/>
        </w:rPr>
        <w:t xml:space="preserve">pace </w:t>
      </w:r>
      <w:r w:rsidR="0044097F" w:rsidRPr="00417E18">
        <w:rPr>
          <w:noProof/>
          <w:sz w:val="22"/>
          <w:szCs w:val="22"/>
        </w:rPr>
        <w:t>of technolog</w:t>
      </w:r>
      <w:r w:rsidR="001016A5" w:rsidRPr="00417E18">
        <w:rPr>
          <w:noProof/>
          <w:sz w:val="22"/>
          <w:szCs w:val="22"/>
        </w:rPr>
        <w:t xml:space="preserve">ical change </w:t>
      </w:r>
      <w:r w:rsidR="0044097F" w:rsidRPr="00417E18">
        <w:rPr>
          <w:noProof/>
          <w:sz w:val="22"/>
          <w:szCs w:val="22"/>
        </w:rPr>
        <w:t xml:space="preserve">means that digital skills need </w:t>
      </w:r>
      <w:r w:rsidR="00B01731" w:rsidRPr="00417E18">
        <w:rPr>
          <w:noProof/>
          <w:sz w:val="22"/>
          <w:szCs w:val="22"/>
        </w:rPr>
        <w:t xml:space="preserve">to be </w:t>
      </w:r>
      <w:r w:rsidR="0044097F" w:rsidRPr="00417E18">
        <w:rPr>
          <w:noProof/>
          <w:sz w:val="22"/>
          <w:szCs w:val="22"/>
        </w:rPr>
        <w:t>constant</w:t>
      </w:r>
      <w:r w:rsidR="00B01731" w:rsidRPr="00417E18">
        <w:rPr>
          <w:noProof/>
          <w:sz w:val="22"/>
          <w:szCs w:val="22"/>
        </w:rPr>
        <w:t>ly</w:t>
      </w:r>
      <w:r w:rsidR="0044097F" w:rsidRPr="00417E18">
        <w:rPr>
          <w:noProof/>
          <w:sz w:val="22"/>
          <w:szCs w:val="22"/>
        </w:rPr>
        <w:t xml:space="preserve"> updat</w:t>
      </w:r>
      <w:r w:rsidR="00B01731" w:rsidRPr="00417E18">
        <w:rPr>
          <w:noProof/>
          <w:sz w:val="22"/>
          <w:szCs w:val="22"/>
        </w:rPr>
        <w:t>ed</w:t>
      </w:r>
      <w:r w:rsidR="0044097F" w:rsidRPr="00417E18">
        <w:rPr>
          <w:noProof/>
          <w:sz w:val="22"/>
          <w:szCs w:val="22"/>
        </w:rPr>
        <w:t xml:space="preserve">, a task that requires time and resources </w:t>
      </w:r>
      <w:r w:rsidR="00D66B1B" w:rsidRPr="00417E18">
        <w:rPr>
          <w:noProof/>
          <w:sz w:val="22"/>
          <w:szCs w:val="22"/>
        </w:rPr>
        <w:t>that many</w:t>
      </w:r>
      <w:r w:rsidR="0044097F" w:rsidRPr="00417E18">
        <w:rPr>
          <w:noProof/>
          <w:sz w:val="22"/>
          <w:szCs w:val="22"/>
        </w:rPr>
        <w:t xml:space="preserve"> individuals</w:t>
      </w:r>
      <w:r w:rsidR="00D66B1B" w:rsidRPr="00417E18">
        <w:rPr>
          <w:noProof/>
          <w:sz w:val="22"/>
          <w:szCs w:val="22"/>
        </w:rPr>
        <w:t xml:space="preserve"> may not have</w:t>
      </w:r>
      <w:r w:rsidR="00D0503D" w:rsidRPr="00417E18">
        <w:rPr>
          <w:noProof/>
          <w:sz w:val="22"/>
          <w:szCs w:val="22"/>
        </w:rPr>
        <w:t>.</w:t>
      </w:r>
      <w:r w:rsidR="0044097F" w:rsidRPr="00417E18">
        <w:rPr>
          <w:noProof/>
          <w:sz w:val="22"/>
          <w:szCs w:val="22"/>
        </w:rPr>
        <w:t xml:space="preserve"> Under the </w:t>
      </w:r>
      <w:r w:rsidR="0044097F" w:rsidRPr="00417E18">
        <w:rPr>
          <w:b/>
          <w:bCs/>
          <w:noProof/>
          <w:sz w:val="22"/>
          <w:szCs w:val="22"/>
        </w:rPr>
        <w:t xml:space="preserve">Union of Skills, </w:t>
      </w:r>
      <w:r w:rsidR="0044097F" w:rsidRPr="00417E18">
        <w:rPr>
          <w:noProof/>
          <w:sz w:val="22"/>
          <w:szCs w:val="22"/>
        </w:rPr>
        <w:t xml:space="preserve">Member States are encouraged to strengthen basic skills </w:t>
      </w:r>
      <w:r w:rsidR="007B55E2" w:rsidRPr="00417E18">
        <w:rPr>
          <w:noProof/>
          <w:sz w:val="22"/>
          <w:szCs w:val="22"/>
        </w:rPr>
        <w:t xml:space="preserve">provided </w:t>
      </w:r>
      <w:r w:rsidR="0044097F" w:rsidRPr="00417E18">
        <w:rPr>
          <w:noProof/>
          <w:sz w:val="22"/>
          <w:szCs w:val="22"/>
        </w:rPr>
        <w:t xml:space="preserve">in </w:t>
      </w:r>
      <w:r w:rsidR="007B55E2" w:rsidRPr="00417E18">
        <w:rPr>
          <w:noProof/>
          <w:sz w:val="22"/>
          <w:szCs w:val="22"/>
        </w:rPr>
        <w:t>formal</w:t>
      </w:r>
      <w:r w:rsidR="0044097F" w:rsidRPr="00417E18">
        <w:rPr>
          <w:noProof/>
          <w:sz w:val="22"/>
          <w:szCs w:val="22"/>
        </w:rPr>
        <w:t xml:space="preserve"> education and expand training </w:t>
      </w:r>
      <w:r w:rsidR="00143E3D" w:rsidRPr="00417E18">
        <w:rPr>
          <w:noProof/>
          <w:sz w:val="22"/>
          <w:szCs w:val="22"/>
        </w:rPr>
        <w:t xml:space="preserve">opportunities </w:t>
      </w:r>
      <w:r w:rsidR="0044097F" w:rsidRPr="00417E18">
        <w:rPr>
          <w:noProof/>
          <w:sz w:val="22"/>
          <w:szCs w:val="22"/>
        </w:rPr>
        <w:t xml:space="preserve">and participation in lifelong learning. </w:t>
      </w:r>
      <w:r w:rsidR="009D2E19" w:rsidRPr="00417E18">
        <w:rPr>
          <w:noProof/>
          <w:sz w:val="22"/>
          <w:szCs w:val="22"/>
        </w:rPr>
        <w:t>The STEM Education Strategic Plan</w:t>
      </w:r>
      <w:r w:rsidR="00810EE0" w:rsidRPr="00417E18">
        <w:rPr>
          <w:rStyle w:val="FootnoteReference"/>
          <w:noProof/>
          <w:sz w:val="22"/>
          <w:szCs w:val="22"/>
        </w:rPr>
        <w:footnoteReference w:id="70"/>
      </w:r>
      <w:r w:rsidR="009D2E19" w:rsidRPr="00417E18">
        <w:rPr>
          <w:noProof/>
          <w:sz w:val="22"/>
          <w:szCs w:val="22"/>
        </w:rPr>
        <w:t xml:space="preserve"> highlights the importance of increasing the talent pipeline in STEM subjects, and among its actions proposes a 5% enrolment target in doctoral programmes in ICT by 2030. The need to address skills shortages in strategic sectors, including ICT and AI, is also </w:t>
      </w:r>
      <w:r w:rsidR="41A0BF56">
        <w:rPr>
          <w:noProof/>
          <w:sz w:val="22"/>
          <w:szCs w:val="22"/>
        </w:rPr>
        <w:t>reflected</w:t>
      </w:r>
      <w:r w:rsidR="009D2E19" w:rsidRPr="00417E18">
        <w:rPr>
          <w:noProof/>
          <w:sz w:val="22"/>
          <w:szCs w:val="22"/>
        </w:rPr>
        <w:t xml:space="preserve"> in the Council Recommendation on Human Capital</w:t>
      </w:r>
      <w:r w:rsidR="000A2427" w:rsidRPr="00417E18">
        <w:rPr>
          <w:rStyle w:val="FootnoteReference"/>
          <w:noProof/>
          <w:sz w:val="22"/>
          <w:szCs w:val="22"/>
        </w:rPr>
        <w:footnoteReference w:id="71"/>
      </w:r>
      <w:r w:rsidR="009D2E19" w:rsidRPr="00417E18">
        <w:rPr>
          <w:noProof/>
          <w:sz w:val="22"/>
          <w:szCs w:val="22"/>
        </w:rPr>
        <w:t xml:space="preserve">. </w:t>
      </w:r>
      <w:r w:rsidR="0044097F" w:rsidRPr="00417E18">
        <w:rPr>
          <w:noProof/>
          <w:sz w:val="22"/>
          <w:szCs w:val="22"/>
        </w:rPr>
        <w:t>The Commission</w:t>
      </w:r>
      <w:r w:rsidR="0044097F" w:rsidRPr="00417E18" w:rsidDel="00A30B56">
        <w:rPr>
          <w:noProof/>
          <w:sz w:val="22"/>
          <w:szCs w:val="22"/>
        </w:rPr>
        <w:t xml:space="preserve"> </w:t>
      </w:r>
      <w:r w:rsidR="00A30B56">
        <w:rPr>
          <w:noProof/>
          <w:sz w:val="22"/>
          <w:szCs w:val="22"/>
        </w:rPr>
        <w:t>plans to</w:t>
      </w:r>
      <w:r w:rsidR="00A30B56" w:rsidRPr="00417E18">
        <w:rPr>
          <w:noProof/>
          <w:sz w:val="22"/>
          <w:szCs w:val="22"/>
        </w:rPr>
        <w:t xml:space="preserve"> </w:t>
      </w:r>
      <w:r w:rsidR="0044097F" w:rsidRPr="00417E18">
        <w:rPr>
          <w:noProof/>
          <w:sz w:val="22"/>
          <w:szCs w:val="22"/>
        </w:rPr>
        <w:t>adopt a</w:t>
      </w:r>
      <w:r w:rsidR="00A760F3">
        <w:rPr>
          <w:noProof/>
          <w:sz w:val="22"/>
          <w:szCs w:val="22"/>
        </w:rPr>
        <w:t xml:space="preserve">n </w:t>
      </w:r>
      <w:r w:rsidR="002F5F94">
        <w:rPr>
          <w:noProof/>
          <w:sz w:val="22"/>
          <w:szCs w:val="22"/>
        </w:rPr>
        <w:t>education</w:t>
      </w:r>
      <w:r w:rsidR="00A760F3">
        <w:rPr>
          <w:noProof/>
          <w:sz w:val="22"/>
          <w:szCs w:val="22"/>
        </w:rPr>
        <w:t xml:space="preserve"> package</w:t>
      </w:r>
      <w:r w:rsidR="0044097F" w:rsidRPr="00417E18">
        <w:rPr>
          <w:noProof/>
          <w:sz w:val="22"/>
          <w:szCs w:val="22"/>
        </w:rPr>
        <w:t xml:space="preserve">, which will </w:t>
      </w:r>
      <w:r w:rsidR="00DE2A51">
        <w:rPr>
          <w:noProof/>
          <w:sz w:val="22"/>
          <w:szCs w:val="22"/>
        </w:rPr>
        <w:t xml:space="preserve">complement the Action Plan on </w:t>
      </w:r>
      <w:r w:rsidR="007D4575">
        <w:rPr>
          <w:noProof/>
          <w:sz w:val="22"/>
          <w:szCs w:val="22"/>
        </w:rPr>
        <w:t xml:space="preserve">Basic Skills and the STEM Education Strategic Plan </w:t>
      </w:r>
      <w:r w:rsidR="00E31CC2">
        <w:rPr>
          <w:noProof/>
          <w:sz w:val="22"/>
          <w:szCs w:val="22"/>
        </w:rPr>
        <w:t xml:space="preserve">and will aim to establish a robust and inclusive EU digital education ecosystem, </w:t>
      </w:r>
      <w:r w:rsidR="0044097F" w:rsidRPr="00417E18">
        <w:rPr>
          <w:noProof/>
          <w:sz w:val="22"/>
          <w:szCs w:val="22"/>
        </w:rPr>
        <w:t>which will help Member States support children and young people who struggle with digital skills.</w:t>
      </w:r>
      <w:r w:rsidR="00221C5B" w:rsidRPr="4D23A098">
        <w:rPr>
          <w:noProof/>
          <w:sz w:val="22"/>
          <w:szCs w:val="22"/>
        </w:rPr>
        <w:t xml:space="preserve"> Furthermore, the EU-OECD AI literacy framework for primary and secondary education will put forward a common approach to the competences young people need to develop already at school to understand and critically use AI.</w:t>
      </w:r>
    </w:p>
    <w:p w14:paraId="279C9574" w14:textId="4662FC6E" w:rsidR="0044097F" w:rsidRPr="00417E18" w:rsidRDefault="000E5A48" w:rsidP="07868930">
      <w:pPr>
        <w:spacing w:after="120"/>
        <w:rPr>
          <w:noProof/>
          <w:sz w:val="22"/>
          <w:szCs w:val="22"/>
        </w:rPr>
      </w:pPr>
      <w:r w:rsidRPr="00417E18">
        <w:rPr>
          <w:noProof/>
          <w:sz w:val="22"/>
          <w:szCs w:val="22"/>
        </w:rPr>
        <w:t>Particular attention should be</w:t>
      </w:r>
      <w:r w:rsidR="00FF3392" w:rsidRPr="00417E18">
        <w:rPr>
          <w:noProof/>
          <w:sz w:val="22"/>
          <w:szCs w:val="22"/>
        </w:rPr>
        <w:t xml:space="preserve"> paid to the evolving nature of digital skills needs. </w:t>
      </w:r>
      <w:r w:rsidR="005C18D7" w:rsidRPr="00417E18">
        <w:rPr>
          <w:noProof/>
          <w:sz w:val="22"/>
          <w:szCs w:val="22"/>
        </w:rPr>
        <w:t xml:space="preserve">The acceleration of AI uptake </w:t>
      </w:r>
      <w:r w:rsidR="00B3452A" w:rsidRPr="00417E18">
        <w:rPr>
          <w:noProof/>
          <w:sz w:val="22"/>
          <w:szCs w:val="22"/>
        </w:rPr>
        <w:t xml:space="preserve">is changing the skills profile </w:t>
      </w:r>
      <w:r w:rsidR="005C18D7" w:rsidRPr="00417E18">
        <w:rPr>
          <w:noProof/>
          <w:sz w:val="22"/>
          <w:szCs w:val="22"/>
        </w:rPr>
        <w:t>require</w:t>
      </w:r>
      <w:r w:rsidR="00B3452A" w:rsidRPr="00417E18">
        <w:rPr>
          <w:noProof/>
          <w:sz w:val="22"/>
          <w:szCs w:val="22"/>
        </w:rPr>
        <w:t>d</w:t>
      </w:r>
      <w:r w:rsidR="009B30A7" w:rsidRPr="00417E18">
        <w:rPr>
          <w:noProof/>
          <w:sz w:val="22"/>
          <w:szCs w:val="22"/>
        </w:rPr>
        <w:t xml:space="preserve"> </w:t>
      </w:r>
      <w:r w:rsidR="004663EE" w:rsidRPr="00417E18">
        <w:rPr>
          <w:noProof/>
          <w:sz w:val="22"/>
          <w:szCs w:val="22"/>
        </w:rPr>
        <w:t>for full participation in society and the economy</w:t>
      </w:r>
      <w:r w:rsidR="005C18D7" w:rsidRPr="00417E18">
        <w:rPr>
          <w:noProof/>
          <w:sz w:val="22"/>
          <w:szCs w:val="22"/>
        </w:rPr>
        <w:t>. People face increasing concerns over the protection of their sensitive data, as well as the need to securely interact with AI-based tools and services</w:t>
      </w:r>
      <w:r w:rsidR="00FC1096" w:rsidRPr="00417E18">
        <w:rPr>
          <w:rStyle w:val="FootnoteReference"/>
          <w:noProof/>
          <w:sz w:val="22"/>
          <w:szCs w:val="22"/>
        </w:rPr>
        <w:footnoteReference w:id="72"/>
      </w:r>
      <w:r w:rsidR="005C18D7" w:rsidRPr="00417E18">
        <w:rPr>
          <w:noProof/>
          <w:sz w:val="22"/>
          <w:szCs w:val="22"/>
        </w:rPr>
        <w:t xml:space="preserve">. </w:t>
      </w:r>
      <w:r w:rsidR="00B136C0" w:rsidRPr="00417E18">
        <w:rPr>
          <w:noProof/>
          <w:sz w:val="22"/>
          <w:szCs w:val="22"/>
        </w:rPr>
        <w:t>E</w:t>
      </w:r>
      <w:r w:rsidR="005C18D7" w:rsidRPr="00417E18">
        <w:rPr>
          <w:noProof/>
          <w:sz w:val="22"/>
          <w:szCs w:val="22"/>
        </w:rPr>
        <w:t>ducation and training system</w:t>
      </w:r>
      <w:r w:rsidR="00294FB7" w:rsidRPr="00417E18">
        <w:rPr>
          <w:noProof/>
          <w:sz w:val="22"/>
          <w:szCs w:val="22"/>
        </w:rPr>
        <w:t>s</w:t>
      </w:r>
      <w:r w:rsidR="005C18D7" w:rsidRPr="00417E18">
        <w:rPr>
          <w:noProof/>
          <w:sz w:val="22"/>
          <w:szCs w:val="22"/>
        </w:rPr>
        <w:t xml:space="preserve"> </w:t>
      </w:r>
      <w:r w:rsidR="00B136C0" w:rsidRPr="00417E18">
        <w:rPr>
          <w:noProof/>
          <w:sz w:val="22"/>
          <w:szCs w:val="22"/>
        </w:rPr>
        <w:t xml:space="preserve">therefore </w:t>
      </w:r>
      <w:r w:rsidR="005C18D7" w:rsidRPr="00417E18">
        <w:rPr>
          <w:noProof/>
          <w:sz w:val="22"/>
          <w:szCs w:val="22"/>
        </w:rPr>
        <w:t xml:space="preserve">need to </w:t>
      </w:r>
      <w:r w:rsidR="00E9128D" w:rsidRPr="00417E18">
        <w:rPr>
          <w:noProof/>
          <w:sz w:val="22"/>
          <w:szCs w:val="22"/>
        </w:rPr>
        <w:t xml:space="preserve">adapt not only to persistent gaps in basic digital skills, but also </w:t>
      </w:r>
      <w:r w:rsidR="3198B3B8">
        <w:rPr>
          <w:noProof/>
          <w:sz w:val="22"/>
          <w:szCs w:val="22"/>
        </w:rPr>
        <w:t xml:space="preserve">to </w:t>
      </w:r>
      <w:r w:rsidR="00E9128D" w:rsidRPr="00417E18">
        <w:rPr>
          <w:noProof/>
          <w:sz w:val="22"/>
          <w:szCs w:val="22"/>
        </w:rPr>
        <w:t>new demands related to AI literacy and cybersecurity awareness</w:t>
      </w:r>
      <w:r w:rsidR="0048752F" w:rsidRPr="00417E18">
        <w:rPr>
          <w:noProof/>
          <w:sz w:val="22"/>
          <w:szCs w:val="22"/>
        </w:rPr>
        <w:t>.</w:t>
      </w:r>
      <w:r w:rsidR="752472B1" w:rsidRPr="00697750">
        <w:rPr>
          <w:noProof/>
          <w:sz w:val="22"/>
          <w:szCs w:val="22"/>
        </w:rPr>
        <w:t xml:space="preserve"> </w:t>
      </w:r>
      <w:r w:rsidR="752472B1" w:rsidRPr="07868930">
        <w:rPr>
          <w:noProof/>
          <w:sz w:val="22"/>
          <w:szCs w:val="22"/>
        </w:rPr>
        <w:t xml:space="preserve">This challenge is especially acute for </w:t>
      </w:r>
      <w:r w:rsidR="0044097F" w:rsidRPr="00417E18">
        <w:rPr>
          <w:noProof/>
          <w:sz w:val="22"/>
          <w:szCs w:val="22"/>
        </w:rPr>
        <w:t xml:space="preserve">disadvantaged groups, including </w:t>
      </w:r>
      <w:r w:rsidR="752472B1" w:rsidRPr="07868930">
        <w:rPr>
          <w:noProof/>
          <w:sz w:val="22"/>
          <w:szCs w:val="22"/>
        </w:rPr>
        <w:t xml:space="preserve">people with </w:t>
      </w:r>
      <w:r w:rsidR="0044097F" w:rsidRPr="00417E18">
        <w:rPr>
          <w:noProof/>
          <w:sz w:val="22"/>
          <w:szCs w:val="22"/>
        </w:rPr>
        <w:t>low socio-economic backgrounds</w:t>
      </w:r>
      <w:r w:rsidR="00DB1193" w:rsidRPr="00417E18">
        <w:rPr>
          <w:noProof/>
          <w:sz w:val="22"/>
          <w:szCs w:val="22"/>
        </w:rPr>
        <w:t>,</w:t>
      </w:r>
      <w:r w:rsidR="009B30A7" w:rsidRPr="00417E18">
        <w:rPr>
          <w:noProof/>
          <w:sz w:val="22"/>
          <w:szCs w:val="22"/>
        </w:rPr>
        <w:t xml:space="preserve"> </w:t>
      </w:r>
      <w:r w:rsidR="752472B1" w:rsidRPr="07868930">
        <w:rPr>
          <w:noProof/>
          <w:sz w:val="22"/>
          <w:szCs w:val="22"/>
        </w:rPr>
        <w:t xml:space="preserve">those </w:t>
      </w:r>
      <w:r w:rsidR="000A2050" w:rsidRPr="00417E18">
        <w:rPr>
          <w:noProof/>
          <w:sz w:val="22"/>
          <w:szCs w:val="22"/>
        </w:rPr>
        <w:t xml:space="preserve">living in </w:t>
      </w:r>
      <w:r w:rsidR="0044097F" w:rsidRPr="00417E18">
        <w:rPr>
          <w:noProof/>
          <w:sz w:val="22"/>
          <w:szCs w:val="22"/>
        </w:rPr>
        <w:t>remote areas</w:t>
      </w:r>
      <w:r w:rsidR="004A1FD8" w:rsidRPr="00417E18">
        <w:rPr>
          <w:noProof/>
          <w:sz w:val="22"/>
          <w:szCs w:val="22"/>
        </w:rPr>
        <w:t>, older people</w:t>
      </w:r>
      <w:r w:rsidR="752472B1" w:rsidRPr="07868930">
        <w:rPr>
          <w:noProof/>
          <w:sz w:val="22"/>
          <w:szCs w:val="22"/>
        </w:rPr>
        <w:t>,</w:t>
      </w:r>
      <w:r w:rsidR="00BE2DFB" w:rsidRPr="00417E18">
        <w:rPr>
          <w:noProof/>
          <w:sz w:val="22"/>
          <w:szCs w:val="22"/>
        </w:rPr>
        <w:t xml:space="preserve"> persons </w:t>
      </w:r>
      <w:r w:rsidR="0044097F" w:rsidRPr="00417E18">
        <w:rPr>
          <w:noProof/>
          <w:sz w:val="22"/>
          <w:szCs w:val="22"/>
        </w:rPr>
        <w:t>with disabilities</w:t>
      </w:r>
      <w:r w:rsidR="752472B1" w:rsidRPr="07868930">
        <w:rPr>
          <w:noProof/>
          <w:sz w:val="22"/>
          <w:szCs w:val="22"/>
        </w:rPr>
        <w:t xml:space="preserve">, and </w:t>
      </w:r>
      <w:r w:rsidR="00F66738" w:rsidRPr="00417E18">
        <w:rPr>
          <w:noProof/>
          <w:sz w:val="22"/>
          <w:szCs w:val="22"/>
        </w:rPr>
        <w:t>adults outside the labour market</w:t>
      </w:r>
      <w:r w:rsidR="752472B1" w:rsidRPr="07868930">
        <w:rPr>
          <w:noProof/>
          <w:sz w:val="22"/>
          <w:szCs w:val="22"/>
        </w:rPr>
        <w:t>, who often need more accessible, targeted and flexible learning pathways. It also requires strengthening</w:t>
      </w:r>
      <w:r w:rsidR="00AC2A33" w:rsidRPr="00417E18">
        <w:rPr>
          <w:noProof/>
          <w:sz w:val="22"/>
          <w:szCs w:val="22"/>
        </w:rPr>
        <w:t xml:space="preserve"> the capacity of education and training systems, including teachers, trainers and local providers, to </w:t>
      </w:r>
      <w:r w:rsidR="752472B1" w:rsidRPr="00697750">
        <w:rPr>
          <w:noProof/>
          <w:sz w:val="22"/>
          <w:szCs w:val="22"/>
        </w:rPr>
        <w:t xml:space="preserve">respond </w:t>
      </w:r>
      <w:r w:rsidR="0044097F" w:rsidRPr="00417E18">
        <w:rPr>
          <w:noProof/>
          <w:sz w:val="22"/>
          <w:szCs w:val="22"/>
        </w:rPr>
        <w:t xml:space="preserve">to </w:t>
      </w:r>
      <w:r w:rsidR="752472B1" w:rsidRPr="00697750">
        <w:rPr>
          <w:noProof/>
          <w:sz w:val="22"/>
          <w:szCs w:val="22"/>
        </w:rPr>
        <w:t>changing skills needs in an inclusive and effective way</w:t>
      </w:r>
      <w:r w:rsidR="0044097F" w:rsidRPr="00417E18">
        <w:rPr>
          <w:noProof/>
          <w:sz w:val="22"/>
          <w:szCs w:val="22"/>
        </w:rPr>
        <w:t>.</w:t>
      </w:r>
      <w:r w:rsidR="00131D21">
        <w:rPr>
          <w:noProof/>
          <w:sz w:val="22"/>
          <w:szCs w:val="22"/>
        </w:rPr>
        <w:t xml:space="preserve"> </w:t>
      </w:r>
    </w:p>
    <w:tbl>
      <w:tblPr>
        <w:tblStyle w:val="TableGrid"/>
        <w:tblW w:w="0" w:type="auto"/>
        <w:tblLook w:val="06A0" w:firstRow="1" w:lastRow="0" w:firstColumn="1" w:lastColumn="0" w:noHBand="1" w:noVBand="1"/>
      </w:tblPr>
      <w:tblGrid>
        <w:gridCol w:w="9350"/>
      </w:tblGrid>
      <w:tr w:rsidR="001B7A04" w:rsidRPr="00AF3B8F" w14:paraId="2E1E9451" w14:textId="77777777">
        <w:trPr>
          <w:trHeight w:val="791"/>
        </w:trPr>
        <w:tc>
          <w:tcPr>
            <w:tcW w:w="9360" w:type="dxa"/>
            <w:shd w:val="clear" w:color="auto" w:fill="D4F1EE"/>
          </w:tcPr>
          <w:p w14:paraId="14620D44" w14:textId="5105EA57" w:rsidR="001B7A04" w:rsidRPr="00417E18" w:rsidRDefault="001B7A04">
            <w:pPr>
              <w:spacing w:before="0"/>
              <w:rPr>
                <w:b/>
                <w:noProof/>
              </w:rPr>
            </w:pPr>
            <w:r w:rsidRPr="00417E18">
              <w:rPr>
                <w:b/>
                <w:noProof/>
              </w:rPr>
              <w:t>Recommendation</w:t>
            </w:r>
            <w:r w:rsidR="00F74452">
              <w:rPr>
                <w:b/>
                <w:noProof/>
              </w:rPr>
              <w:t>:</w:t>
            </w:r>
          </w:p>
          <w:p w14:paraId="0863792B" w14:textId="5B957AD1" w:rsidR="001B7A04" w:rsidRPr="001B7A04" w:rsidRDefault="001B7A04" w:rsidP="001B7A04">
            <w:pPr>
              <w:spacing w:before="0"/>
              <w:rPr>
                <w:rFonts w:eastAsiaTheme="minorEastAsia" w:cs="Calibri"/>
                <w:noProof/>
              </w:rPr>
            </w:pPr>
            <w:r w:rsidRPr="001B7A04">
              <w:rPr>
                <w:rFonts w:eastAsiaTheme="minorEastAsia" w:cs="Calibri"/>
                <w:noProof/>
              </w:rPr>
              <w:t xml:space="preserve">In line with the Digital Education Action Plan, Basic Skills Action Plan, the Apply AI Strategy, the STEM Education Strategic Plan, </w:t>
            </w:r>
            <w:r w:rsidRPr="001B7A04" w:rsidDel="00946D17">
              <w:rPr>
                <w:rFonts w:eastAsiaTheme="minorEastAsia" w:cs="Calibri"/>
                <w:noProof/>
              </w:rPr>
              <w:t xml:space="preserve">and </w:t>
            </w:r>
            <w:r w:rsidRPr="001B7A04">
              <w:rPr>
                <w:rFonts w:eastAsiaTheme="minorEastAsia" w:cs="Calibri"/>
                <w:noProof/>
              </w:rPr>
              <w:t>the Council Recommendations on key enabling factors for digital education and training</w:t>
            </w:r>
            <w:r w:rsidR="00A8288E">
              <w:rPr>
                <w:rFonts w:eastAsiaTheme="minorEastAsia" w:cs="Calibri"/>
                <w:noProof/>
              </w:rPr>
              <w:t>,</w:t>
            </w:r>
            <w:r w:rsidR="00934B14">
              <w:rPr>
                <w:rFonts w:eastAsiaTheme="minorEastAsia" w:cs="Calibri"/>
                <w:noProof/>
              </w:rPr>
              <w:t xml:space="preserve"> </w:t>
            </w:r>
            <w:r w:rsidRPr="001B7A04">
              <w:rPr>
                <w:rFonts w:eastAsiaTheme="minorEastAsia" w:cs="Calibri"/>
                <w:noProof/>
              </w:rPr>
              <w:t>improving the provision of digital skills and competences in education and training</w:t>
            </w:r>
            <w:r w:rsidR="00A8288E">
              <w:rPr>
                <w:rFonts w:eastAsiaTheme="minorEastAsia" w:cs="Calibri"/>
                <w:noProof/>
              </w:rPr>
              <w:t>,</w:t>
            </w:r>
            <w:r w:rsidR="00B40958">
              <w:rPr>
                <w:rFonts w:eastAsiaTheme="minorEastAsia" w:cs="Calibri"/>
                <w:noProof/>
              </w:rPr>
              <w:t xml:space="preserve"> and on human capital in the EU</w:t>
            </w:r>
            <w:r w:rsidRPr="001B7A04">
              <w:rPr>
                <w:rFonts w:eastAsiaTheme="minorEastAsia" w:cs="Calibri"/>
                <w:noProof/>
              </w:rPr>
              <w:t>, Member States should prioritise</w:t>
            </w:r>
            <w:r w:rsidR="00CA031F">
              <w:rPr>
                <w:rFonts w:eastAsiaTheme="minorEastAsia" w:cs="Calibri"/>
                <w:noProof/>
              </w:rPr>
              <w:t xml:space="preserve"> coherent</w:t>
            </w:r>
            <w:r w:rsidRPr="001B7A04">
              <w:rPr>
                <w:rFonts w:eastAsiaTheme="minorEastAsia" w:cs="Calibri"/>
                <w:noProof/>
              </w:rPr>
              <w:t xml:space="preserve"> investments and policies to support digital education and skills, including:</w:t>
            </w:r>
          </w:p>
          <w:p w14:paraId="6B2C20FD" w14:textId="01C1DCFA" w:rsidR="001B7A04" w:rsidRPr="001B7A04" w:rsidRDefault="001B7A04" w:rsidP="00F36E2D">
            <w:pPr>
              <w:pStyle w:val="ListParagraph"/>
              <w:numPr>
                <w:ilvl w:val="0"/>
                <w:numId w:val="28"/>
              </w:numPr>
              <w:spacing w:before="60" w:after="120"/>
              <w:ind w:left="714" w:hanging="357"/>
              <w:contextualSpacing w:val="0"/>
              <w:rPr>
                <w:rFonts w:cs="Calibri"/>
                <w:noProof/>
              </w:rPr>
            </w:pPr>
            <w:r w:rsidRPr="001B7A04">
              <w:rPr>
                <w:rFonts w:cs="Calibri"/>
                <w:noProof/>
              </w:rPr>
              <w:t xml:space="preserve">targeted policies </w:t>
            </w:r>
            <w:r w:rsidR="00CA031F">
              <w:rPr>
                <w:rFonts w:cs="Calibri"/>
                <w:noProof/>
              </w:rPr>
              <w:t xml:space="preserve">and support </w:t>
            </w:r>
            <w:r w:rsidRPr="001B7A04">
              <w:rPr>
                <w:rFonts w:cs="Calibri"/>
                <w:noProof/>
              </w:rPr>
              <w:t>for the most disadvantaged groups, including but not limited to people from low socio-economic backgrounds, those living in remote areas, those outside the labour market, older people and persons with disabilities</w:t>
            </w:r>
            <w:r w:rsidR="00E0509F" w:rsidRPr="702CEBFC">
              <w:rPr>
                <w:rFonts w:cs="Calibri"/>
                <w:noProof/>
              </w:rPr>
              <w:t xml:space="preserve"> marginalised groups facing racial or ethnic discrimination</w:t>
            </w:r>
            <w:r w:rsidR="00CA031F">
              <w:rPr>
                <w:rFonts w:cs="Calibri"/>
                <w:noProof/>
              </w:rPr>
              <w:t>, as well as those insufficiently supported by formal education and workforce-based training</w:t>
            </w:r>
            <w:r w:rsidRPr="001B7A04">
              <w:rPr>
                <w:rFonts w:cs="Calibri"/>
                <w:noProof/>
              </w:rPr>
              <w:t>;</w:t>
            </w:r>
          </w:p>
          <w:p w14:paraId="053DC797" w14:textId="344D4A8A" w:rsidR="001B7A04" w:rsidRPr="001B7A04" w:rsidRDefault="001B7A04" w:rsidP="00F36E2D">
            <w:pPr>
              <w:pStyle w:val="ListParagraph"/>
              <w:numPr>
                <w:ilvl w:val="0"/>
                <w:numId w:val="28"/>
              </w:numPr>
              <w:spacing w:before="60" w:after="120"/>
              <w:ind w:left="714" w:hanging="357"/>
              <w:contextualSpacing w:val="0"/>
              <w:rPr>
                <w:rFonts w:cs="Calibri"/>
                <w:noProof/>
              </w:rPr>
            </w:pPr>
            <w:r w:rsidRPr="001B7A04">
              <w:rPr>
                <w:rFonts w:cs="Calibri"/>
                <w:noProof/>
              </w:rPr>
              <w:t>actions to strengthen digital and AI literacy and basic cybersecurity skills across the population</w:t>
            </w:r>
            <w:r w:rsidRPr="001B7A04" w:rsidDel="007F27FA">
              <w:rPr>
                <w:rFonts w:cs="Calibri"/>
                <w:noProof/>
              </w:rPr>
              <w:t xml:space="preserve">, </w:t>
            </w:r>
            <w:r w:rsidR="73AD8D84" w:rsidRPr="7FC664B4">
              <w:rPr>
                <w:rFonts w:cs="Calibri"/>
                <w:noProof/>
              </w:rPr>
              <w:t xml:space="preserve">including through </w:t>
            </w:r>
            <w:r w:rsidR="007F27FA">
              <w:rPr>
                <w:rFonts w:cs="Calibri"/>
                <w:noProof/>
              </w:rPr>
              <w:t>regular assessment and tailored education and training</w:t>
            </w:r>
            <w:r w:rsidRPr="001B7A04">
              <w:rPr>
                <w:rFonts w:cs="Calibri"/>
                <w:noProof/>
              </w:rPr>
              <w:t>.</w:t>
            </w:r>
          </w:p>
        </w:tc>
      </w:tr>
    </w:tbl>
    <w:p w14:paraId="65863EB8" w14:textId="77777777" w:rsidR="003A53C2" w:rsidRDefault="003A53C2" w:rsidP="003A53C2">
      <w:pPr>
        <w:spacing w:after="120"/>
        <w:rPr>
          <w:noProof/>
          <w:sz w:val="22"/>
          <w:szCs w:val="22"/>
        </w:rPr>
      </w:pPr>
    </w:p>
    <w:p w14:paraId="139518BA" w14:textId="7F8809C5" w:rsidR="00F515E5" w:rsidRPr="00417E18" w:rsidRDefault="4DB62358" w:rsidP="00E11929">
      <w:pPr>
        <w:pStyle w:val="Heading3"/>
        <w:numPr>
          <w:ilvl w:val="2"/>
          <w:numId w:val="40"/>
        </w:numPr>
        <w:rPr>
          <w:noProof/>
        </w:rPr>
      </w:pPr>
      <w:bookmarkStart w:id="88" w:name="_Toc226710910"/>
      <w:bookmarkStart w:id="89" w:name="_Toc1900372127"/>
      <w:bookmarkStart w:id="90" w:name="_Toc1703639661"/>
      <w:bookmarkStart w:id="91" w:name="_Toc231830065"/>
      <w:r w:rsidRPr="00417E18">
        <w:rPr>
          <w:noProof/>
        </w:rPr>
        <w:t>ICT Specialists</w:t>
      </w:r>
      <w:bookmarkEnd w:id="88"/>
      <w:bookmarkEnd w:id="89"/>
      <w:bookmarkEnd w:id="90"/>
      <w:bookmarkEnd w:id="91"/>
    </w:p>
    <w:p w14:paraId="72029E2A" w14:textId="5A5CFAC7" w:rsidR="00794379" w:rsidRPr="00417E18" w:rsidRDefault="20E67118" w:rsidP="617E07F7">
      <w:pPr>
        <w:pStyle w:val="Text1"/>
        <w:keepNext/>
        <w:spacing w:before="0" w:after="160" w:line="259" w:lineRule="auto"/>
        <w:ind w:left="0"/>
        <w:rPr>
          <w:rFonts w:ascii="Calibri" w:eastAsia="Calibri" w:hAnsi="Calibri" w:cs="Calibri"/>
          <w:noProof/>
          <w:color w:val="000000" w:themeColor="text1"/>
          <w:sz w:val="22"/>
          <w:szCs w:val="22"/>
        </w:rPr>
      </w:pPr>
      <w:r w:rsidRPr="00417E18">
        <w:rPr>
          <w:rFonts w:ascii="Calibri" w:eastAsia="Calibri" w:hAnsi="Calibri" w:cs="Calibri"/>
          <w:b/>
          <w:noProof/>
          <w:color w:val="000000" w:themeColor="text1"/>
          <w:sz w:val="22"/>
          <w:szCs w:val="22"/>
        </w:rPr>
        <w:t>The total number of ICT specialists in employment rose by 26</w:t>
      </w:r>
      <w:r w:rsidR="00DD64DA">
        <w:rPr>
          <w:rFonts w:ascii="Calibri" w:eastAsia="Calibri" w:hAnsi="Calibri" w:cs="Calibri"/>
          <w:b/>
          <w:noProof/>
          <w:color w:val="000000" w:themeColor="text1"/>
          <w:sz w:val="22"/>
          <w:szCs w:val="22"/>
        </w:rPr>
        <w:t>0</w:t>
      </w:r>
      <w:r w:rsidRPr="00417E18">
        <w:rPr>
          <w:rFonts w:ascii="Calibri" w:eastAsia="Calibri" w:hAnsi="Calibri" w:cs="Calibri"/>
          <w:b/>
          <w:noProof/>
          <w:color w:val="000000" w:themeColor="text1"/>
          <w:sz w:val="22"/>
          <w:szCs w:val="22"/>
        </w:rPr>
        <w:t> 000</w:t>
      </w:r>
      <w:r w:rsidRPr="00417E18">
        <w:rPr>
          <w:rFonts w:ascii="Calibri" w:eastAsia="Calibri" w:hAnsi="Calibri" w:cs="Calibri"/>
          <w:noProof/>
          <w:color w:val="000000" w:themeColor="text1"/>
          <w:sz w:val="22"/>
          <w:szCs w:val="22"/>
        </w:rPr>
        <w:t xml:space="preserve">, from 10.2 million in 2024 to around 10.5 million in 2025. </w:t>
      </w:r>
      <w:r w:rsidRPr="00417E18">
        <w:rPr>
          <w:rFonts w:ascii="Calibri" w:eastAsia="Calibri" w:hAnsi="Calibri" w:cs="Calibri"/>
          <w:b/>
          <w:noProof/>
          <w:color w:val="000000" w:themeColor="text1"/>
          <w:sz w:val="22"/>
          <w:szCs w:val="22"/>
        </w:rPr>
        <w:t>This reflects a 2.6% year-on-year growth in the number of employed ICT specialists</w:t>
      </w:r>
      <w:r w:rsidRPr="00417E18">
        <w:rPr>
          <w:rFonts w:ascii="Calibri" w:eastAsia="Calibri" w:hAnsi="Calibri" w:cs="Calibri"/>
          <w:noProof/>
          <w:color w:val="000000" w:themeColor="text1"/>
          <w:sz w:val="22"/>
          <w:szCs w:val="22"/>
        </w:rPr>
        <w:t xml:space="preserve">. In 2025, ICT specialists still accounted for just 5.0% of total EU employment, </w:t>
      </w:r>
      <w:r w:rsidR="4FDCC382" w:rsidRPr="00417E18">
        <w:rPr>
          <w:rFonts w:ascii="Calibri" w:eastAsia="Calibri" w:hAnsi="Calibri" w:cs="Calibri"/>
          <w:noProof/>
          <w:color w:val="000000" w:themeColor="text1"/>
          <w:sz w:val="22"/>
          <w:szCs w:val="22"/>
        </w:rPr>
        <w:t>substantially</w:t>
      </w:r>
      <w:r w:rsidRPr="00417E18">
        <w:rPr>
          <w:rFonts w:ascii="Calibri" w:eastAsia="Calibri" w:hAnsi="Calibri" w:cs="Calibri"/>
          <w:noProof/>
          <w:color w:val="000000" w:themeColor="text1"/>
          <w:sz w:val="22"/>
          <w:szCs w:val="22"/>
        </w:rPr>
        <w:t xml:space="preserve"> stable since the previous year and far from the EU target of 10% of total employment by 2030.</w:t>
      </w:r>
    </w:p>
    <w:p w14:paraId="35999CFE" w14:textId="539B9914" w:rsidR="00794379" w:rsidRPr="00417E18" w:rsidRDefault="20E67118" w:rsidP="474EB643">
      <w:pPr>
        <w:pStyle w:val="Text3"/>
        <w:spacing w:before="0" w:after="160" w:line="259" w:lineRule="auto"/>
        <w:ind w:left="0"/>
        <w:rPr>
          <w:rFonts w:ascii="Calibri" w:eastAsia="Calibri" w:hAnsi="Calibri" w:cs="Calibri"/>
          <w:noProof/>
          <w:color w:val="000000" w:themeColor="text1"/>
          <w:sz w:val="22"/>
          <w:szCs w:val="22"/>
        </w:rPr>
      </w:pPr>
      <w:r w:rsidRPr="00417E18">
        <w:rPr>
          <w:rFonts w:ascii="Calibri" w:eastAsia="Calibri" w:hAnsi="Calibri" w:cs="Calibri"/>
          <w:noProof/>
          <w:color w:val="000000" w:themeColor="text1"/>
          <w:sz w:val="22"/>
          <w:szCs w:val="22"/>
        </w:rPr>
        <w:t xml:space="preserve">According to the baseline trajectory, around 12.2 million ICT specialists are expected to be employed by 2030, meaning that only </w:t>
      </w:r>
      <w:r w:rsidRPr="00417E18">
        <w:rPr>
          <w:rFonts w:ascii="Calibri" w:eastAsia="Calibri" w:hAnsi="Calibri" w:cs="Calibri"/>
          <w:b/>
          <w:noProof/>
          <w:color w:val="000000" w:themeColor="text1"/>
          <w:sz w:val="22"/>
          <w:szCs w:val="22"/>
        </w:rPr>
        <w:t xml:space="preserve">61% of the target will be achieved by 2030 </w:t>
      </w:r>
      <w:r w:rsidRPr="00417E18">
        <w:rPr>
          <w:rFonts w:ascii="Calibri" w:eastAsia="Calibri" w:hAnsi="Calibri" w:cs="Calibri"/>
          <w:noProof/>
          <w:color w:val="000000" w:themeColor="text1"/>
          <w:sz w:val="22"/>
          <w:szCs w:val="22"/>
        </w:rPr>
        <w:t>(</w:t>
      </w:r>
      <w:r w:rsidR="007B6296" w:rsidRPr="007B6296">
        <w:rPr>
          <w:rFonts w:ascii="Calibri" w:eastAsia="Calibri" w:hAnsi="Calibri" w:cs="Calibri"/>
          <w:noProof/>
          <w:color w:val="000000" w:themeColor="text1"/>
          <w:sz w:val="22"/>
          <w:szCs w:val="22"/>
        </w:rPr>
        <w:fldChar w:fldCharType="begin"/>
      </w:r>
      <w:r w:rsidR="007B6296" w:rsidRPr="007B6296">
        <w:rPr>
          <w:rFonts w:ascii="Calibri" w:eastAsia="Calibri" w:hAnsi="Calibri" w:cs="Calibri"/>
          <w:noProof/>
          <w:color w:val="000000" w:themeColor="text1"/>
          <w:sz w:val="22"/>
          <w:szCs w:val="22"/>
        </w:rPr>
        <w:instrText xml:space="preserve"> REF _Ref229040197 \h  \* MERGEFORMAT </w:instrText>
      </w:r>
      <w:r w:rsidR="007B6296" w:rsidRPr="007B6296">
        <w:rPr>
          <w:rFonts w:ascii="Calibri" w:eastAsia="Calibri" w:hAnsi="Calibri" w:cs="Calibri"/>
          <w:noProof/>
          <w:color w:val="000000" w:themeColor="text1"/>
          <w:sz w:val="22"/>
          <w:szCs w:val="22"/>
        </w:rPr>
      </w:r>
      <w:r w:rsidR="007B6296" w:rsidRPr="007B6296">
        <w:rPr>
          <w:rFonts w:ascii="Calibri" w:eastAsia="Calibri" w:hAnsi="Calibri" w:cs="Calibri"/>
          <w:noProof/>
          <w:color w:val="000000" w:themeColor="text1"/>
          <w:sz w:val="22"/>
          <w:szCs w:val="22"/>
        </w:rPr>
        <w:fldChar w:fldCharType="separate"/>
      </w:r>
      <w:r w:rsidR="007B6296" w:rsidRPr="007B6296">
        <w:rPr>
          <w:rFonts w:ascii="Calibri" w:hAnsi="Calibri" w:cs="Calibri"/>
          <w:noProof/>
          <w:sz w:val="22"/>
          <w:szCs w:val="22"/>
          <w:u w:val="single"/>
        </w:rPr>
        <w:t>Figure 16</w:t>
      </w:r>
      <w:r w:rsidR="007B6296" w:rsidRPr="007B6296">
        <w:rPr>
          <w:rFonts w:ascii="Calibri" w:eastAsia="Calibri" w:hAnsi="Calibri" w:cs="Calibri"/>
          <w:noProof/>
          <w:color w:val="000000" w:themeColor="text1"/>
          <w:sz w:val="22"/>
          <w:szCs w:val="22"/>
        </w:rPr>
        <w:fldChar w:fldCharType="end"/>
      </w:r>
      <w:r w:rsidRPr="00417E18">
        <w:rPr>
          <w:rFonts w:ascii="Calibri" w:eastAsia="Calibri" w:hAnsi="Calibri" w:cs="Calibri"/>
          <w:noProof/>
          <w:color w:val="000000" w:themeColor="text1"/>
          <w:sz w:val="22"/>
          <w:szCs w:val="22"/>
        </w:rPr>
        <w:t xml:space="preserve">). </w:t>
      </w:r>
      <w:r w:rsidRPr="00417E18">
        <w:rPr>
          <w:rFonts w:ascii="Calibri" w:eastAsia="Calibri" w:hAnsi="Calibri" w:cs="Calibri"/>
          <w:b/>
          <w:noProof/>
          <w:color w:val="000000" w:themeColor="text1"/>
          <w:sz w:val="22"/>
          <w:szCs w:val="22"/>
        </w:rPr>
        <w:t>In 2025,</w:t>
      </w:r>
      <w:r w:rsidRPr="00417E18">
        <w:rPr>
          <w:rFonts w:ascii="Calibri" w:eastAsia="Calibri" w:hAnsi="Calibri" w:cs="Calibri"/>
          <w:noProof/>
          <w:color w:val="000000" w:themeColor="text1"/>
          <w:sz w:val="22"/>
          <w:szCs w:val="22"/>
        </w:rPr>
        <w:t xml:space="preserve"> </w:t>
      </w:r>
      <w:r w:rsidRPr="00417E18">
        <w:rPr>
          <w:rFonts w:ascii="Calibri" w:eastAsia="Calibri" w:hAnsi="Calibri" w:cs="Calibri"/>
          <w:b/>
          <w:noProof/>
          <w:color w:val="000000" w:themeColor="text1"/>
          <w:sz w:val="22"/>
          <w:szCs w:val="22"/>
        </w:rPr>
        <w:t xml:space="preserve">the value reached by this KPI stood at </w:t>
      </w:r>
      <w:r w:rsidR="00010D6D">
        <w:rPr>
          <w:rFonts w:ascii="Calibri" w:eastAsia="Calibri" w:hAnsi="Calibri" w:cs="Calibri"/>
          <w:b/>
          <w:noProof/>
          <w:color w:val="000000" w:themeColor="text1"/>
          <w:sz w:val="22"/>
          <w:szCs w:val="22"/>
        </w:rPr>
        <w:t>around</w:t>
      </w:r>
      <w:r w:rsidR="00010D6D" w:rsidRPr="00417E18">
        <w:rPr>
          <w:rFonts w:ascii="Calibri" w:eastAsia="Calibri" w:hAnsi="Calibri" w:cs="Calibri"/>
          <w:b/>
          <w:noProof/>
          <w:color w:val="000000" w:themeColor="text1"/>
          <w:sz w:val="22"/>
          <w:szCs w:val="22"/>
        </w:rPr>
        <w:t xml:space="preserve"> </w:t>
      </w:r>
      <w:r w:rsidRPr="00417E18">
        <w:rPr>
          <w:rFonts w:ascii="Calibri" w:eastAsia="Calibri" w:hAnsi="Calibri" w:cs="Calibri"/>
          <w:b/>
          <w:noProof/>
          <w:color w:val="000000" w:themeColor="text1"/>
          <w:sz w:val="22"/>
          <w:szCs w:val="22"/>
        </w:rPr>
        <w:t>78% of the ideal trajectory</w:t>
      </w:r>
      <w:r w:rsidR="3FB55A24" w:rsidRPr="0C856F1D">
        <w:rPr>
          <w:rFonts w:ascii="Calibri" w:eastAsia="Calibri" w:hAnsi="Calibri" w:cs="Calibri"/>
          <w:b/>
          <w:bCs/>
          <w:noProof/>
          <w:color w:val="000000" w:themeColor="text1"/>
          <w:sz w:val="22"/>
          <w:szCs w:val="22"/>
        </w:rPr>
        <w:t xml:space="preserve"> </w:t>
      </w:r>
      <w:r w:rsidRPr="00417E18">
        <w:rPr>
          <w:rFonts w:ascii="Calibri" w:eastAsia="Calibri" w:hAnsi="Calibri" w:cs="Calibri"/>
          <w:b/>
          <w:noProof/>
          <w:color w:val="000000" w:themeColor="text1"/>
          <w:sz w:val="22"/>
          <w:szCs w:val="22"/>
        </w:rPr>
        <w:t xml:space="preserve">value, </w:t>
      </w:r>
      <w:r w:rsidR="004E0665" w:rsidRPr="7D9A4020">
        <w:rPr>
          <w:rFonts w:ascii="Calibri" w:eastAsia="Calibri" w:hAnsi="Calibri" w:cs="Calibri"/>
          <w:noProof/>
          <w:color w:val="000000" w:themeColor="text1"/>
          <w:sz w:val="22"/>
          <w:szCs w:val="22"/>
        </w:rPr>
        <w:t>with</w:t>
      </w:r>
      <w:r w:rsidRPr="7D9A4020">
        <w:rPr>
          <w:rFonts w:ascii="Calibri" w:eastAsia="Calibri" w:hAnsi="Calibri" w:cs="Calibri"/>
          <w:noProof/>
          <w:color w:val="000000" w:themeColor="text1"/>
          <w:sz w:val="22"/>
          <w:szCs w:val="22"/>
        </w:rPr>
        <w:t xml:space="preserve"> </w:t>
      </w:r>
      <w:r w:rsidRPr="00417E18">
        <w:rPr>
          <w:rFonts w:ascii="Calibri" w:eastAsia="Calibri" w:hAnsi="Calibri" w:cs="Calibri"/>
          <w:noProof/>
          <w:color w:val="000000" w:themeColor="text1"/>
          <w:sz w:val="22"/>
          <w:szCs w:val="22"/>
        </w:rPr>
        <w:t xml:space="preserve">around 10.5 instead of 13.4 million. The full target </w:t>
      </w:r>
      <w:r w:rsidR="00944EB1">
        <w:rPr>
          <w:rFonts w:ascii="Calibri" w:eastAsia="Calibri" w:hAnsi="Calibri" w:cs="Calibri"/>
          <w:noProof/>
          <w:color w:val="000000" w:themeColor="text1"/>
          <w:sz w:val="22"/>
          <w:szCs w:val="22"/>
        </w:rPr>
        <w:t>-</w:t>
      </w:r>
      <w:r w:rsidRPr="00417E18">
        <w:rPr>
          <w:rFonts w:ascii="Calibri" w:eastAsia="Calibri" w:hAnsi="Calibri" w:cs="Calibri"/>
          <w:noProof/>
          <w:color w:val="000000" w:themeColor="text1"/>
          <w:sz w:val="22"/>
          <w:szCs w:val="22"/>
        </w:rPr>
        <w:t xml:space="preserve"> 20 million ICT specialists in employment by 2030 - is forecast to be reached only in </w:t>
      </w:r>
      <w:r w:rsidRPr="00417E18">
        <w:rPr>
          <w:rFonts w:ascii="Calibri" w:eastAsia="Calibri" w:hAnsi="Calibri" w:cs="Calibri"/>
          <w:b/>
          <w:noProof/>
          <w:color w:val="000000" w:themeColor="text1"/>
          <w:sz w:val="22"/>
          <w:szCs w:val="22"/>
        </w:rPr>
        <w:t>2052</w:t>
      </w:r>
      <w:r w:rsidRPr="00417E18">
        <w:rPr>
          <w:rFonts w:ascii="Calibri" w:eastAsia="Calibri" w:hAnsi="Calibri" w:cs="Calibri"/>
          <w:noProof/>
          <w:color w:val="000000" w:themeColor="text1"/>
          <w:sz w:val="22"/>
          <w:szCs w:val="22"/>
        </w:rPr>
        <w:t xml:space="preserve"> if no further actions are taken.</w:t>
      </w:r>
    </w:p>
    <w:p w14:paraId="44858B11" w14:textId="77777777" w:rsidR="00C03894" w:rsidRDefault="2223603C" w:rsidP="00C03894">
      <w:pPr>
        <w:keepNext/>
        <w:keepLines/>
        <w:spacing w:after="120" w:line="240" w:lineRule="auto"/>
        <w:jc w:val="left"/>
        <w:rPr>
          <w:noProof/>
        </w:rPr>
      </w:pPr>
      <w:r w:rsidRPr="00417E18">
        <w:rPr>
          <w:noProof/>
          <w:lang w:eastAsia="en-GB"/>
        </w:rPr>
        <w:drawing>
          <wp:inline distT="0" distB="0" distL="0" distR="0" wp14:anchorId="023C023B" wp14:editId="12E20D0E">
            <wp:extent cx="5913545" cy="1943899"/>
            <wp:effectExtent l="0" t="0" r="0" b="0"/>
            <wp:docPr id="897874276" name="drawing" title="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39032" name="Picture 1994939032"/>
                    <pic:cNvPicPr/>
                  </pic:nvPicPr>
                  <pic:blipFill>
                    <a:blip r:embed="rId42">
                      <a:extLst>
                        <a:ext uri="{28A0092B-C50C-407E-A947-70E740481C1C}">
                          <a14:useLocalDpi xmlns:a14="http://schemas.microsoft.com/office/drawing/2010/main"/>
                        </a:ext>
                      </a:extLst>
                    </a:blip>
                    <a:stretch>
                      <a:fillRect/>
                    </a:stretch>
                  </pic:blipFill>
                  <pic:spPr>
                    <a:xfrm>
                      <a:off x="0" y="0"/>
                      <a:ext cx="5922480" cy="1946836"/>
                    </a:xfrm>
                    <a:prstGeom prst="rect">
                      <a:avLst/>
                    </a:prstGeom>
                  </pic:spPr>
                </pic:pic>
              </a:graphicData>
            </a:graphic>
          </wp:inline>
        </w:drawing>
      </w:r>
    </w:p>
    <w:p w14:paraId="0081B65F" w14:textId="0BB77971" w:rsidR="00794379" w:rsidRPr="00417E18" w:rsidRDefault="00C03894" w:rsidP="00C03894">
      <w:pPr>
        <w:pStyle w:val="Caption"/>
        <w:jc w:val="left"/>
        <w:rPr>
          <w:rFonts w:ascii="Times New Roman" w:eastAsia="Times New Roman" w:hAnsi="Times New Roman" w:cs="Times New Roman"/>
          <w:b/>
          <w:bCs/>
          <w:noProof/>
          <w:color w:val="000000" w:themeColor="text1"/>
          <w:sz w:val="20"/>
          <w:szCs w:val="20"/>
        </w:rPr>
      </w:pPr>
      <w:bookmarkStart w:id="92" w:name="_Ref229040197"/>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16</w:t>
      </w:r>
      <w:r w:rsidRPr="00C03894">
        <w:rPr>
          <w:noProof/>
          <w:u w:val="single"/>
        </w:rPr>
        <w:fldChar w:fldCharType="end"/>
      </w:r>
      <w:bookmarkEnd w:id="92"/>
      <w:r>
        <w:rPr>
          <w:noProof/>
        </w:rPr>
        <w:t xml:space="preserve">: </w:t>
      </w:r>
      <w:r w:rsidRPr="00EC5BC9">
        <w:rPr>
          <w:noProof/>
        </w:rPr>
        <w:t>ICT specialists in the EU. Historical data, Digital Decade (DD) trajectory and revised baseline trajectory towards 2030</w:t>
      </w:r>
      <w:r w:rsidR="005B1E39">
        <w:rPr>
          <w:noProof/>
        </w:rPr>
        <w:t>.</w:t>
      </w:r>
    </w:p>
    <w:p w14:paraId="5AB1C123" w14:textId="5251C20E" w:rsidR="00794379" w:rsidRPr="00417E18" w:rsidRDefault="20E67118" w:rsidP="474EB643">
      <w:pPr>
        <w:spacing w:before="0" w:after="160" w:line="259" w:lineRule="auto"/>
        <w:rPr>
          <w:rFonts w:eastAsia="Calibri" w:cs="Calibri"/>
          <w:noProof/>
          <w:color w:val="000000" w:themeColor="text1"/>
          <w:sz w:val="22"/>
          <w:szCs w:val="22"/>
        </w:rPr>
      </w:pPr>
      <w:r w:rsidRPr="00417E18">
        <w:rPr>
          <w:rFonts w:eastAsia="Calibri" w:cs="Calibri"/>
          <w:b/>
          <w:noProof/>
          <w:color w:val="000000" w:themeColor="text1"/>
          <w:sz w:val="22"/>
          <w:szCs w:val="22"/>
        </w:rPr>
        <w:t>In 2025,</w:t>
      </w:r>
      <w:r w:rsidRPr="00417E18">
        <w:rPr>
          <w:rFonts w:eastAsia="Calibri" w:cs="Calibri"/>
          <w:noProof/>
          <w:color w:val="000000" w:themeColor="text1"/>
          <w:sz w:val="22"/>
          <w:szCs w:val="22"/>
        </w:rPr>
        <w:t xml:space="preserve"> </w:t>
      </w:r>
      <w:r w:rsidRPr="00417E18">
        <w:rPr>
          <w:rFonts w:eastAsia="Calibri" w:cs="Calibri"/>
          <w:b/>
          <w:noProof/>
          <w:color w:val="000000" w:themeColor="text1"/>
          <w:sz w:val="22"/>
          <w:szCs w:val="22"/>
        </w:rPr>
        <w:t>women accounted for 19.5% of employed ICT specialists</w:t>
      </w:r>
      <w:r w:rsidRPr="00417E18">
        <w:rPr>
          <w:rFonts w:eastAsia="Calibri" w:cs="Calibri"/>
          <w:noProof/>
          <w:color w:val="000000" w:themeColor="text1"/>
          <w:sz w:val="22"/>
          <w:szCs w:val="22"/>
        </w:rPr>
        <w:t xml:space="preserve">, a figure unchanged since 2024. Over the past decade, the gender gap in ICT employment has remained pronounced, with </w:t>
      </w:r>
      <w:r w:rsidRPr="00417E18">
        <w:rPr>
          <w:rFonts w:eastAsia="Calibri" w:cs="Calibri"/>
          <w:b/>
          <w:noProof/>
          <w:color w:val="000000" w:themeColor="text1"/>
          <w:sz w:val="22"/>
          <w:szCs w:val="22"/>
        </w:rPr>
        <w:t>men consistently outnumbering women by around 60 percentage points</w:t>
      </w:r>
      <w:r w:rsidR="00097BA5">
        <w:rPr>
          <w:rFonts w:eastAsia="Calibri" w:cs="Calibri"/>
          <w:noProof/>
          <w:color w:val="000000" w:themeColor="text1"/>
          <w:sz w:val="22"/>
          <w:szCs w:val="22"/>
        </w:rPr>
        <w:t>-</w:t>
      </w:r>
      <w:r w:rsidRPr="00417E18">
        <w:rPr>
          <w:rFonts w:eastAsia="Calibri" w:cs="Calibri"/>
          <w:noProof/>
          <w:color w:val="000000" w:themeColor="text1"/>
          <w:sz w:val="22"/>
          <w:szCs w:val="22"/>
        </w:rPr>
        <w:t>women’s representation fluctuated between 16.2% and 19.5%, while men’s ranged from 80.5% to 83.8% (</w:t>
      </w:r>
      <w:r w:rsidR="007B6296" w:rsidRPr="007B6296">
        <w:rPr>
          <w:rFonts w:eastAsia="Calibri" w:cs="Calibri"/>
          <w:noProof/>
          <w:color w:val="000000" w:themeColor="text1"/>
          <w:sz w:val="22"/>
          <w:szCs w:val="22"/>
        </w:rPr>
        <w:fldChar w:fldCharType="begin"/>
      </w:r>
      <w:r w:rsidR="007B6296" w:rsidRPr="007B6296">
        <w:rPr>
          <w:rFonts w:eastAsia="Calibri" w:cs="Calibri"/>
          <w:noProof/>
          <w:color w:val="000000" w:themeColor="text1"/>
          <w:sz w:val="22"/>
          <w:szCs w:val="22"/>
        </w:rPr>
        <w:instrText xml:space="preserve"> REF _Ref229040233 \h  \* MERGEFORMAT </w:instrText>
      </w:r>
      <w:r w:rsidR="007B6296" w:rsidRPr="007B6296">
        <w:rPr>
          <w:rFonts w:eastAsia="Calibri" w:cs="Calibri"/>
          <w:noProof/>
          <w:color w:val="000000" w:themeColor="text1"/>
          <w:sz w:val="22"/>
          <w:szCs w:val="22"/>
        </w:rPr>
      </w:r>
      <w:r w:rsidR="007B6296" w:rsidRPr="007B6296">
        <w:rPr>
          <w:rFonts w:eastAsia="Calibri" w:cs="Calibri"/>
          <w:noProof/>
          <w:color w:val="000000" w:themeColor="text1"/>
          <w:sz w:val="22"/>
          <w:szCs w:val="22"/>
        </w:rPr>
        <w:fldChar w:fldCharType="separate"/>
      </w:r>
      <w:r w:rsidR="007B6296" w:rsidRPr="007B6296">
        <w:rPr>
          <w:noProof/>
          <w:sz w:val="22"/>
          <w:szCs w:val="22"/>
          <w:u w:val="single"/>
        </w:rPr>
        <w:t>Figure 17</w:t>
      </w:r>
      <w:r w:rsidR="007B6296" w:rsidRPr="007B6296">
        <w:rPr>
          <w:rFonts w:eastAsia="Calibri" w:cs="Calibri"/>
          <w:noProof/>
          <w:color w:val="000000" w:themeColor="text1"/>
          <w:sz w:val="22"/>
          <w:szCs w:val="22"/>
        </w:rPr>
        <w:fldChar w:fldCharType="end"/>
      </w:r>
      <w:r w:rsidRPr="00417E18">
        <w:rPr>
          <w:rFonts w:eastAsia="Calibri" w:cs="Calibri"/>
          <w:noProof/>
          <w:color w:val="000000" w:themeColor="text1"/>
          <w:sz w:val="22"/>
          <w:szCs w:val="22"/>
        </w:rPr>
        <w:t>).</w:t>
      </w:r>
    </w:p>
    <w:p w14:paraId="765E6442" w14:textId="7545BDB2" w:rsidR="00794379" w:rsidRPr="00417E18" w:rsidRDefault="20E67118" w:rsidP="474EB643">
      <w:pPr>
        <w:spacing w:before="0" w:after="160" w:line="259" w:lineRule="auto"/>
        <w:rPr>
          <w:rFonts w:eastAsia="Calibri" w:cs="Calibri"/>
          <w:noProof/>
          <w:color w:val="000000" w:themeColor="text1"/>
          <w:sz w:val="22"/>
          <w:szCs w:val="22"/>
        </w:rPr>
      </w:pPr>
      <w:r w:rsidRPr="00417E18">
        <w:rPr>
          <w:rFonts w:eastAsia="Calibri" w:cs="Calibri"/>
          <w:noProof/>
          <w:color w:val="000000" w:themeColor="text1"/>
          <w:sz w:val="22"/>
          <w:szCs w:val="22"/>
        </w:rPr>
        <w:t xml:space="preserve">Despite a </w:t>
      </w:r>
      <w:r w:rsidRPr="00417E18">
        <w:rPr>
          <w:rFonts w:eastAsia="Calibri" w:cs="Calibri"/>
          <w:b/>
          <w:noProof/>
          <w:color w:val="000000" w:themeColor="text1"/>
          <w:sz w:val="22"/>
          <w:szCs w:val="22"/>
        </w:rPr>
        <w:t>brief decline between 2013 and 2015</w:t>
      </w:r>
      <w:r w:rsidRPr="00417E18">
        <w:rPr>
          <w:rFonts w:eastAsia="Calibri" w:cs="Calibri"/>
          <w:noProof/>
          <w:color w:val="000000" w:themeColor="text1"/>
          <w:sz w:val="22"/>
          <w:szCs w:val="22"/>
        </w:rPr>
        <w:t xml:space="preserve">, the share of women in ICT roles has </w:t>
      </w:r>
      <w:r w:rsidRPr="00417E18">
        <w:rPr>
          <w:rFonts w:eastAsia="Calibri" w:cs="Calibri"/>
          <w:b/>
          <w:noProof/>
          <w:color w:val="000000" w:themeColor="text1"/>
          <w:sz w:val="22"/>
          <w:szCs w:val="22"/>
        </w:rPr>
        <w:t>grown gradually since 2012</w:t>
      </w:r>
      <w:r w:rsidRPr="00417E18">
        <w:rPr>
          <w:rFonts w:eastAsia="Calibri" w:cs="Calibri"/>
          <w:noProof/>
          <w:color w:val="000000" w:themeColor="text1"/>
          <w:sz w:val="22"/>
          <w:szCs w:val="22"/>
        </w:rPr>
        <w:t xml:space="preserve">, albeit at a slow pace </w:t>
      </w:r>
      <w:r w:rsidRPr="007B6296">
        <w:rPr>
          <w:rFonts w:eastAsia="Calibri" w:cs="Calibri"/>
          <w:noProof/>
          <w:color w:val="000000" w:themeColor="text1"/>
          <w:sz w:val="22"/>
          <w:szCs w:val="22"/>
        </w:rPr>
        <w:t>(</w:t>
      </w:r>
      <w:r w:rsidR="007B6296" w:rsidRPr="007B6296">
        <w:rPr>
          <w:rFonts w:eastAsia="Calibri" w:cs="Calibri"/>
          <w:noProof/>
          <w:color w:val="000000" w:themeColor="text1"/>
          <w:sz w:val="22"/>
          <w:szCs w:val="22"/>
        </w:rPr>
        <w:fldChar w:fldCharType="begin"/>
      </w:r>
      <w:r w:rsidR="007B6296" w:rsidRPr="007B6296">
        <w:rPr>
          <w:rFonts w:eastAsia="Calibri" w:cs="Calibri"/>
          <w:noProof/>
          <w:color w:val="000000" w:themeColor="text1"/>
          <w:sz w:val="22"/>
          <w:szCs w:val="22"/>
        </w:rPr>
        <w:instrText xml:space="preserve"> REF _Ref229040233 \h  \* MERGEFORMAT </w:instrText>
      </w:r>
      <w:r w:rsidR="007B6296" w:rsidRPr="007B6296">
        <w:rPr>
          <w:rFonts w:eastAsia="Calibri" w:cs="Calibri"/>
          <w:noProof/>
          <w:color w:val="000000" w:themeColor="text1"/>
          <w:sz w:val="22"/>
          <w:szCs w:val="22"/>
        </w:rPr>
      </w:r>
      <w:r w:rsidR="007B6296" w:rsidRPr="007B6296">
        <w:rPr>
          <w:rFonts w:eastAsia="Calibri" w:cs="Calibri"/>
          <w:noProof/>
          <w:color w:val="000000" w:themeColor="text1"/>
          <w:sz w:val="22"/>
          <w:szCs w:val="22"/>
        </w:rPr>
        <w:fldChar w:fldCharType="separate"/>
      </w:r>
      <w:r w:rsidR="007B6296" w:rsidRPr="007B6296">
        <w:rPr>
          <w:noProof/>
          <w:sz w:val="22"/>
          <w:szCs w:val="22"/>
          <w:u w:val="single"/>
        </w:rPr>
        <w:t>Figure 17</w:t>
      </w:r>
      <w:r w:rsidR="007B6296" w:rsidRPr="007B6296">
        <w:rPr>
          <w:rFonts w:eastAsia="Calibri" w:cs="Calibri"/>
          <w:noProof/>
          <w:color w:val="000000" w:themeColor="text1"/>
          <w:sz w:val="22"/>
          <w:szCs w:val="22"/>
        </w:rPr>
        <w:fldChar w:fldCharType="end"/>
      </w:r>
      <w:r w:rsidRPr="00417E18">
        <w:rPr>
          <w:rFonts w:eastAsia="Calibri" w:cs="Calibri"/>
          <w:noProof/>
          <w:color w:val="000000" w:themeColor="text1"/>
          <w:sz w:val="22"/>
          <w:szCs w:val="22"/>
        </w:rPr>
        <w:t xml:space="preserve">, left). In contrast, the proportion of men peaked in </w:t>
      </w:r>
      <w:r w:rsidRPr="00417E18">
        <w:rPr>
          <w:rFonts w:eastAsia="Calibri" w:cs="Calibri"/>
          <w:b/>
          <w:noProof/>
          <w:color w:val="000000" w:themeColor="text1"/>
          <w:sz w:val="22"/>
          <w:szCs w:val="22"/>
        </w:rPr>
        <w:t>2014</w:t>
      </w:r>
      <w:r w:rsidR="00944EB1">
        <w:rPr>
          <w:rFonts w:eastAsia="Calibri" w:cs="Calibri"/>
          <w:b/>
          <w:noProof/>
          <w:color w:val="000000" w:themeColor="text1"/>
          <w:sz w:val="22"/>
          <w:szCs w:val="22"/>
        </w:rPr>
        <w:t>-</w:t>
      </w:r>
      <w:r w:rsidRPr="00417E18">
        <w:rPr>
          <w:rFonts w:eastAsia="Calibri" w:cs="Calibri"/>
          <w:b/>
          <w:noProof/>
          <w:color w:val="000000" w:themeColor="text1"/>
          <w:sz w:val="22"/>
          <w:szCs w:val="22"/>
        </w:rPr>
        <w:t>2015</w:t>
      </w:r>
      <w:r w:rsidRPr="00417E18">
        <w:rPr>
          <w:rFonts w:eastAsia="Calibri" w:cs="Calibri"/>
          <w:noProof/>
          <w:color w:val="000000" w:themeColor="text1"/>
          <w:sz w:val="22"/>
          <w:szCs w:val="22"/>
        </w:rPr>
        <w:t xml:space="preserve"> and has since declined, yet it still </w:t>
      </w:r>
      <w:r w:rsidRPr="00417E18">
        <w:rPr>
          <w:rFonts w:eastAsia="Calibri" w:cs="Calibri"/>
          <w:b/>
          <w:noProof/>
          <w:color w:val="000000" w:themeColor="text1"/>
          <w:sz w:val="22"/>
          <w:szCs w:val="22"/>
        </w:rPr>
        <w:t>exceeds women’s representation by more than fourfold</w:t>
      </w:r>
      <w:r w:rsidRPr="00417E18">
        <w:rPr>
          <w:rFonts w:eastAsia="Calibri" w:cs="Calibri"/>
          <w:noProof/>
          <w:color w:val="000000" w:themeColor="text1"/>
          <w:sz w:val="22"/>
          <w:szCs w:val="22"/>
        </w:rPr>
        <w:t xml:space="preserve"> (</w:t>
      </w:r>
      <w:r w:rsidR="007B6296" w:rsidRPr="007B6296">
        <w:rPr>
          <w:rFonts w:eastAsia="Calibri" w:cs="Calibri"/>
          <w:noProof/>
          <w:color w:val="000000" w:themeColor="text1"/>
          <w:sz w:val="22"/>
          <w:szCs w:val="22"/>
        </w:rPr>
        <w:fldChar w:fldCharType="begin"/>
      </w:r>
      <w:r w:rsidR="007B6296" w:rsidRPr="007B6296">
        <w:rPr>
          <w:rFonts w:eastAsia="Calibri" w:cs="Calibri"/>
          <w:noProof/>
          <w:color w:val="000000" w:themeColor="text1"/>
          <w:sz w:val="22"/>
          <w:szCs w:val="22"/>
        </w:rPr>
        <w:instrText xml:space="preserve"> REF _Ref229040233 \h  \* MERGEFORMAT </w:instrText>
      </w:r>
      <w:r w:rsidR="007B6296" w:rsidRPr="007B6296">
        <w:rPr>
          <w:rFonts w:eastAsia="Calibri" w:cs="Calibri"/>
          <w:noProof/>
          <w:color w:val="000000" w:themeColor="text1"/>
          <w:sz w:val="22"/>
          <w:szCs w:val="22"/>
        </w:rPr>
      </w:r>
      <w:r w:rsidR="007B6296" w:rsidRPr="007B6296">
        <w:rPr>
          <w:rFonts w:eastAsia="Calibri" w:cs="Calibri"/>
          <w:noProof/>
          <w:color w:val="000000" w:themeColor="text1"/>
          <w:sz w:val="22"/>
          <w:szCs w:val="22"/>
        </w:rPr>
        <w:fldChar w:fldCharType="separate"/>
      </w:r>
      <w:r w:rsidR="007B6296" w:rsidRPr="007B6296">
        <w:rPr>
          <w:noProof/>
          <w:sz w:val="22"/>
          <w:szCs w:val="22"/>
          <w:u w:val="single"/>
        </w:rPr>
        <w:t>Figure 17</w:t>
      </w:r>
      <w:r w:rsidR="007B6296" w:rsidRPr="007B6296">
        <w:rPr>
          <w:rFonts w:eastAsia="Calibri" w:cs="Calibri"/>
          <w:noProof/>
          <w:color w:val="000000" w:themeColor="text1"/>
          <w:sz w:val="22"/>
          <w:szCs w:val="22"/>
        </w:rPr>
        <w:fldChar w:fldCharType="end"/>
      </w:r>
      <w:r w:rsidRPr="00417E18">
        <w:rPr>
          <w:rFonts w:eastAsia="Calibri" w:cs="Calibri"/>
          <w:noProof/>
          <w:color w:val="000000" w:themeColor="text1"/>
          <w:sz w:val="22"/>
          <w:szCs w:val="22"/>
        </w:rPr>
        <w:t>, right).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530"/>
      </w:tblGrid>
      <w:tr w:rsidR="595E7512" w:rsidRPr="00417E18" w14:paraId="1B965ED6" w14:textId="77777777" w:rsidTr="595E7512">
        <w:trPr>
          <w:trHeight w:val="285"/>
        </w:trPr>
        <w:tc>
          <w:tcPr>
            <w:tcW w:w="4665" w:type="dxa"/>
            <w:tcMar>
              <w:left w:w="105" w:type="dxa"/>
              <w:right w:w="105" w:type="dxa"/>
            </w:tcMar>
          </w:tcPr>
          <w:p w14:paraId="01EA6361" w14:textId="40B91A1C" w:rsidR="20E67118" w:rsidRPr="00C03894" w:rsidRDefault="20E67118" w:rsidP="00C03894">
            <w:pPr>
              <w:keepNext/>
              <w:spacing w:after="120"/>
              <w:jc w:val="center"/>
              <w:rPr>
                <w:noProof/>
              </w:rPr>
            </w:pPr>
            <w:r w:rsidRPr="00417E18">
              <w:rPr>
                <w:noProof/>
                <w:lang w:eastAsia="en-GB"/>
              </w:rPr>
              <w:drawing>
                <wp:inline distT="0" distB="0" distL="0" distR="0" wp14:anchorId="4784B477" wp14:editId="60E8B0D4">
                  <wp:extent cx="2552700" cy="1619250"/>
                  <wp:effectExtent l="0" t="0" r="0" b="0"/>
                  <wp:docPr id="1429399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9108" name="Picture 1429399108"/>
                          <pic:cNvPicPr/>
                        </pic:nvPicPr>
                        <pic:blipFill>
                          <a:blip r:embed="rId43">
                            <a:extLst>
                              <a:ext uri="{28A0092B-C50C-407E-A947-70E740481C1C}">
                                <a14:useLocalDpi xmlns:a14="http://schemas.microsoft.com/office/drawing/2010/main"/>
                              </a:ext>
                            </a:extLst>
                          </a:blip>
                          <a:stretch>
                            <a:fillRect/>
                          </a:stretch>
                        </pic:blipFill>
                        <pic:spPr>
                          <a:xfrm>
                            <a:off x="0" y="0"/>
                            <a:ext cx="2552700" cy="1619250"/>
                          </a:xfrm>
                          <a:prstGeom prst="rect">
                            <a:avLst/>
                          </a:prstGeom>
                        </pic:spPr>
                      </pic:pic>
                    </a:graphicData>
                  </a:graphic>
                </wp:inline>
              </w:drawing>
            </w:r>
          </w:p>
        </w:tc>
        <w:tc>
          <w:tcPr>
            <w:tcW w:w="4530" w:type="dxa"/>
            <w:tcMar>
              <w:left w:w="105" w:type="dxa"/>
              <w:right w:w="105" w:type="dxa"/>
            </w:tcMar>
          </w:tcPr>
          <w:p w14:paraId="0D9AE972" w14:textId="1BDF60C7" w:rsidR="20E67118" w:rsidRPr="00417E18" w:rsidRDefault="20E67118" w:rsidP="474EB643">
            <w:pPr>
              <w:spacing w:after="120"/>
              <w:jc w:val="center"/>
              <w:rPr>
                <w:rFonts w:ascii="Times New Roman" w:eastAsia="Times New Roman" w:hAnsi="Times New Roman" w:cs="Times New Roman"/>
                <w:noProof/>
                <w:sz w:val="24"/>
                <w:szCs w:val="24"/>
              </w:rPr>
            </w:pPr>
            <w:r w:rsidRPr="00417E18">
              <w:rPr>
                <w:noProof/>
                <w:lang w:eastAsia="en-GB"/>
              </w:rPr>
              <w:drawing>
                <wp:inline distT="0" distB="0" distL="0" distR="0" wp14:anchorId="22E853B5" wp14:editId="00B07B87">
                  <wp:extent cx="2552700" cy="1619250"/>
                  <wp:effectExtent l="0" t="0" r="0" b="0"/>
                  <wp:docPr id="18200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641" name="Picture 18200641"/>
                          <pic:cNvPicPr/>
                        </pic:nvPicPr>
                        <pic:blipFill>
                          <a:blip r:embed="rId44">
                            <a:extLst>
                              <a:ext uri="{28A0092B-C50C-407E-A947-70E740481C1C}">
                                <a14:useLocalDpi xmlns:a14="http://schemas.microsoft.com/office/drawing/2010/main"/>
                              </a:ext>
                            </a:extLst>
                          </a:blip>
                          <a:stretch>
                            <a:fillRect/>
                          </a:stretch>
                        </pic:blipFill>
                        <pic:spPr>
                          <a:xfrm>
                            <a:off x="0" y="0"/>
                            <a:ext cx="2552700" cy="1619250"/>
                          </a:xfrm>
                          <a:prstGeom prst="rect">
                            <a:avLst/>
                          </a:prstGeom>
                        </pic:spPr>
                      </pic:pic>
                    </a:graphicData>
                  </a:graphic>
                </wp:inline>
              </w:drawing>
            </w:r>
          </w:p>
        </w:tc>
      </w:tr>
    </w:tbl>
    <w:p w14:paraId="7E2FA266" w14:textId="652A9EC5" w:rsidR="00C03894" w:rsidRPr="00C03894" w:rsidRDefault="00C03894" w:rsidP="00C03894">
      <w:pPr>
        <w:rPr>
          <w:i/>
          <w:iCs/>
          <w:noProof/>
          <w:sz w:val="18"/>
          <w:szCs w:val="18"/>
        </w:rPr>
      </w:pPr>
      <w:bookmarkStart w:id="93" w:name="_Ref229040233"/>
      <w:r w:rsidRPr="00C03894">
        <w:rPr>
          <w:i/>
          <w:iCs/>
          <w:noProof/>
          <w:sz w:val="18"/>
          <w:szCs w:val="18"/>
          <w:u w:val="single"/>
        </w:rPr>
        <w:t xml:space="preserve">Figure </w:t>
      </w:r>
      <w:r w:rsidRPr="00C03894">
        <w:rPr>
          <w:i/>
          <w:iCs/>
          <w:noProof/>
          <w:sz w:val="18"/>
          <w:szCs w:val="18"/>
          <w:u w:val="single"/>
        </w:rPr>
        <w:fldChar w:fldCharType="begin"/>
      </w:r>
      <w:r w:rsidRPr="00C03894">
        <w:rPr>
          <w:i/>
          <w:iCs/>
          <w:noProof/>
          <w:sz w:val="18"/>
          <w:szCs w:val="18"/>
          <w:u w:val="single"/>
        </w:rPr>
        <w:instrText xml:space="preserve"> SEQ Figure \* ARABIC </w:instrText>
      </w:r>
      <w:r w:rsidRPr="00C03894">
        <w:rPr>
          <w:i/>
          <w:iCs/>
          <w:noProof/>
          <w:sz w:val="18"/>
          <w:szCs w:val="18"/>
          <w:u w:val="single"/>
        </w:rPr>
        <w:fldChar w:fldCharType="separate"/>
      </w:r>
      <w:r>
        <w:rPr>
          <w:i/>
          <w:iCs/>
          <w:noProof/>
          <w:sz w:val="18"/>
          <w:szCs w:val="18"/>
          <w:u w:val="single"/>
        </w:rPr>
        <w:t>17</w:t>
      </w:r>
      <w:r w:rsidRPr="00C03894">
        <w:rPr>
          <w:i/>
          <w:iCs/>
          <w:noProof/>
          <w:sz w:val="18"/>
          <w:szCs w:val="18"/>
          <w:u w:val="single"/>
        </w:rPr>
        <w:fldChar w:fldCharType="end"/>
      </w:r>
      <w:bookmarkEnd w:id="93"/>
      <w:r w:rsidRPr="00C03894">
        <w:rPr>
          <w:i/>
          <w:iCs/>
          <w:noProof/>
          <w:sz w:val="18"/>
          <w:szCs w:val="18"/>
        </w:rPr>
        <w:t>: Percentage of individuals employed in ICT specialists’ occupations in the EU by sex (2012-2025). The solid line shows the time trend since 2012. Left-hand side: percentage of women in total ICT specialists; right-hand side: percentage of men in total</w:t>
      </w:r>
      <w:r w:rsidRPr="00C03894">
        <w:rPr>
          <w:rFonts w:eastAsia="Calibri" w:cs="Calibri"/>
          <w:i/>
          <w:iCs/>
          <w:noProof/>
          <w:color w:val="000000" w:themeColor="text1"/>
          <w:sz w:val="18"/>
          <w:szCs w:val="18"/>
        </w:rPr>
        <w:t xml:space="preserve"> ICT specialists. Please note that the range of the y-axis is different in the two charts</w:t>
      </w:r>
      <w:r w:rsidR="007C0C80">
        <w:rPr>
          <w:rFonts w:eastAsia="Calibri" w:cs="Calibri"/>
          <w:i/>
          <w:iCs/>
          <w:noProof/>
          <w:color w:val="000000" w:themeColor="text1"/>
          <w:sz w:val="18"/>
          <w:szCs w:val="18"/>
        </w:rPr>
        <w:t>.</w:t>
      </w:r>
    </w:p>
    <w:p w14:paraId="75F8ADC8" w14:textId="7835FA88" w:rsidR="00794379" w:rsidRPr="00417E18" w:rsidRDefault="00980132" w:rsidP="595E7512">
      <w:pPr>
        <w:spacing w:before="200"/>
        <w:rPr>
          <w:rFonts w:cs="Calibri"/>
          <w:noProof/>
          <w:sz w:val="22"/>
          <w:szCs w:val="22"/>
        </w:rPr>
      </w:pPr>
      <w:r w:rsidRPr="00417E18">
        <w:rPr>
          <w:rFonts w:cs="Calibri"/>
          <w:noProof/>
          <w:sz w:val="22"/>
          <w:szCs w:val="22"/>
        </w:rPr>
        <w:t>T</w:t>
      </w:r>
      <w:r w:rsidR="00CE0D72" w:rsidRPr="00417E18">
        <w:rPr>
          <w:rFonts w:cs="Calibri"/>
          <w:noProof/>
          <w:sz w:val="22"/>
          <w:szCs w:val="22"/>
        </w:rPr>
        <w:t xml:space="preserve">he </w:t>
      </w:r>
      <w:r w:rsidR="00CE0D72" w:rsidRPr="00417E18">
        <w:rPr>
          <w:rFonts w:cs="Calibri"/>
          <w:b/>
          <w:noProof/>
          <w:sz w:val="22"/>
          <w:szCs w:val="22"/>
        </w:rPr>
        <w:t>need for ICT specialists is rising sharply.</w:t>
      </w:r>
      <w:r w:rsidR="00CE0D72" w:rsidRPr="00417E18">
        <w:rPr>
          <w:rFonts w:cs="Calibri"/>
          <w:noProof/>
          <w:sz w:val="22"/>
          <w:szCs w:val="22"/>
        </w:rPr>
        <w:t xml:space="preserve"> As the architects of Europe’s digital future, these professionals play a central role in deploying advanced technologies, increasing productivity, and delivering secure and efficient digital services.</w:t>
      </w:r>
    </w:p>
    <w:p w14:paraId="460A5AC4" w14:textId="0FFC2257" w:rsidR="003E1198" w:rsidRPr="00417E18" w:rsidRDefault="003E1198" w:rsidP="2B4F1D56">
      <w:pPr>
        <w:rPr>
          <w:rFonts w:cs="Calibri"/>
          <w:noProof/>
          <w:sz w:val="22"/>
          <w:szCs w:val="22"/>
        </w:rPr>
      </w:pPr>
      <w:r w:rsidRPr="00417E18">
        <w:rPr>
          <w:rFonts w:cs="Calibri"/>
          <w:noProof/>
          <w:sz w:val="22"/>
          <w:szCs w:val="22"/>
        </w:rPr>
        <w:t>The analysis of Online Job Advertisements (OJA)</w:t>
      </w:r>
      <w:r w:rsidRPr="00417E18">
        <w:rPr>
          <w:rStyle w:val="FootnoteReference"/>
          <w:rFonts w:cs="Calibri"/>
          <w:noProof/>
          <w:sz w:val="22"/>
          <w:szCs w:val="22"/>
        </w:rPr>
        <w:footnoteReference w:id="73"/>
      </w:r>
      <w:r w:rsidRPr="00417E18">
        <w:rPr>
          <w:rFonts w:cs="Calibri"/>
          <w:noProof/>
          <w:sz w:val="22"/>
          <w:szCs w:val="22"/>
        </w:rPr>
        <w:t xml:space="preserve"> reveals rapid shifts in specific skill requirements. </w:t>
      </w:r>
      <w:r w:rsidR="3C261E90" w:rsidRPr="00417E18">
        <w:rPr>
          <w:rFonts w:cs="Calibri"/>
          <w:noProof/>
          <w:sz w:val="22"/>
          <w:szCs w:val="22"/>
        </w:rPr>
        <w:t>D</w:t>
      </w:r>
      <w:r w:rsidR="360D89D7" w:rsidRPr="00417E18">
        <w:rPr>
          <w:rFonts w:cs="Calibri"/>
          <w:noProof/>
          <w:sz w:val="22"/>
          <w:szCs w:val="22"/>
        </w:rPr>
        <w:t>emand</w:t>
      </w:r>
      <w:r w:rsidRPr="00417E18">
        <w:rPr>
          <w:rFonts w:cs="Calibri"/>
          <w:noProof/>
          <w:sz w:val="22"/>
          <w:szCs w:val="22"/>
        </w:rPr>
        <w:t xml:space="preserve"> </w:t>
      </w:r>
      <w:r w:rsidR="00416724" w:rsidRPr="00417E18">
        <w:rPr>
          <w:rFonts w:cs="Calibri"/>
          <w:noProof/>
          <w:sz w:val="22"/>
          <w:szCs w:val="22"/>
        </w:rPr>
        <w:t xml:space="preserve">remains </w:t>
      </w:r>
      <w:r w:rsidR="3F756FDB" w:rsidRPr="00417E18">
        <w:rPr>
          <w:rFonts w:cs="Calibri"/>
          <w:noProof/>
          <w:sz w:val="22"/>
          <w:szCs w:val="22"/>
        </w:rPr>
        <w:t>strongest</w:t>
      </w:r>
      <w:r w:rsidR="00620AB0" w:rsidRPr="00417E18">
        <w:rPr>
          <w:rFonts w:cs="Calibri"/>
          <w:noProof/>
          <w:sz w:val="22"/>
          <w:szCs w:val="22"/>
        </w:rPr>
        <w:t xml:space="preserve"> for</w:t>
      </w:r>
      <w:r w:rsidRPr="00417E18">
        <w:rPr>
          <w:rFonts w:cs="Calibri"/>
          <w:noProof/>
          <w:sz w:val="22"/>
          <w:szCs w:val="22"/>
        </w:rPr>
        <w:t xml:space="preserve"> Data Science and Cybersecurity profiles, </w:t>
      </w:r>
      <w:r w:rsidR="65809D76" w:rsidRPr="00417E18">
        <w:rPr>
          <w:rFonts w:cs="Calibri"/>
          <w:noProof/>
          <w:sz w:val="22"/>
          <w:szCs w:val="22"/>
        </w:rPr>
        <w:t>while</w:t>
      </w:r>
      <w:r w:rsidRPr="00417E18">
        <w:rPr>
          <w:rFonts w:cs="Calibri"/>
          <w:noProof/>
          <w:sz w:val="22"/>
          <w:szCs w:val="22"/>
        </w:rPr>
        <w:t xml:space="preserve"> cloud security skills are</w:t>
      </w:r>
      <w:r w:rsidR="00482278" w:rsidRPr="00417E18">
        <w:rPr>
          <w:rFonts w:cs="Calibri"/>
          <w:noProof/>
          <w:sz w:val="22"/>
          <w:szCs w:val="22"/>
        </w:rPr>
        <w:t xml:space="preserve"> </w:t>
      </w:r>
      <w:r w:rsidR="3CAAEC52">
        <w:rPr>
          <w:rFonts w:cs="Calibri"/>
          <w:noProof/>
          <w:sz w:val="22"/>
          <w:szCs w:val="22"/>
        </w:rPr>
        <w:t xml:space="preserve">also </w:t>
      </w:r>
      <w:r w:rsidR="00482278" w:rsidRPr="00417E18">
        <w:rPr>
          <w:rFonts w:cs="Calibri"/>
          <w:noProof/>
          <w:sz w:val="22"/>
          <w:szCs w:val="22"/>
        </w:rPr>
        <w:t>rising significantly</w:t>
      </w:r>
      <w:r w:rsidR="1F6A781F" w:rsidRPr="00417E18">
        <w:rPr>
          <w:rFonts w:cs="Calibri"/>
          <w:noProof/>
          <w:sz w:val="22"/>
          <w:szCs w:val="22"/>
        </w:rPr>
        <w:t xml:space="preserve">. </w:t>
      </w:r>
      <w:r w:rsidR="6EE5E694">
        <w:rPr>
          <w:rFonts w:cs="Calibri"/>
          <w:noProof/>
          <w:sz w:val="22"/>
          <w:szCs w:val="22"/>
        </w:rPr>
        <w:t>T</w:t>
      </w:r>
      <w:r w:rsidR="3EF56B43" w:rsidRPr="00417E18">
        <w:rPr>
          <w:rFonts w:cs="Calibri"/>
          <w:noProof/>
          <w:sz w:val="22"/>
          <w:szCs w:val="22"/>
        </w:rPr>
        <w:t>he</w:t>
      </w:r>
      <w:r w:rsidRPr="00417E18">
        <w:rPr>
          <w:rFonts w:cs="Calibri"/>
          <w:noProof/>
          <w:sz w:val="22"/>
          <w:szCs w:val="22"/>
        </w:rPr>
        <w:t xml:space="preserve"> successful deployment of AI requires a complex mix of expertise in data management, cybersecurity, systems engineering and </w:t>
      </w:r>
      <w:r w:rsidR="1F6A781F" w:rsidRPr="00417E18">
        <w:rPr>
          <w:rFonts w:cs="Calibri"/>
          <w:noProof/>
          <w:sz w:val="22"/>
          <w:szCs w:val="22"/>
        </w:rPr>
        <w:t xml:space="preserve">software </w:t>
      </w:r>
      <w:r w:rsidR="36316730" w:rsidRPr="00417E18">
        <w:rPr>
          <w:rFonts w:cs="Calibri"/>
          <w:noProof/>
          <w:sz w:val="22"/>
          <w:szCs w:val="22"/>
        </w:rPr>
        <w:t>development</w:t>
      </w:r>
      <w:r w:rsidRPr="00417E18">
        <w:rPr>
          <w:rFonts w:cs="Calibri"/>
          <w:noProof/>
          <w:sz w:val="22"/>
          <w:szCs w:val="22"/>
        </w:rPr>
        <w:t xml:space="preserve">. </w:t>
      </w:r>
    </w:p>
    <w:p w14:paraId="641D1816" w14:textId="6D698321" w:rsidR="00620933" w:rsidRPr="001A42B0" w:rsidRDefault="3F009705" w:rsidP="00794379">
      <w:pPr>
        <w:rPr>
          <w:rFonts w:cs="Calibri"/>
          <w:noProof/>
          <w:sz w:val="22"/>
          <w:szCs w:val="22"/>
        </w:rPr>
      </w:pPr>
      <w:r w:rsidRPr="07868930">
        <w:rPr>
          <w:rFonts w:cs="Calibri"/>
          <w:noProof/>
          <w:sz w:val="22"/>
          <w:szCs w:val="22"/>
        </w:rPr>
        <w:t xml:space="preserve">The rapid </w:t>
      </w:r>
      <w:r w:rsidR="09A92F2A" w:rsidRPr="07868930">
        <w:rPr>
          <w:rFonts w:cs="Calibri"/>
          <w:noProof/>
          <w:sz w:val="22"/>
          <w:szCs w:val="22"/>
        </w:rPr>
        <w:t xml:space="preserve">uptake </w:t>
      </w:r>
      <w:r w:rsidRPr="07868930">
        <w:rPr>
          <w:rFonts w:cs="Calibri"/>
          <w:noProof/>
          <w:sz w:val="22"/>
          <w:szCs w:val="22"/>
        </w:rPr>
        <w:t xml:space="preserve">of digital technologies across sectors, </w:t>
      </w:r>
      <w:r w:rsidR="79EDD1AF" w:rsidRPr="07868930">
        <w:rPr>
          <w:rFonts w:cs="Calibri"/>
          <w:noProof/>
          <w:sz w:val="22"/>
          <w:szCs w:val="22"/>
        </w:rPr>
        <w:t>combined</w:t>
      </w:r>
      <w:r w:rsidR="13E6AB01" w:rsidRPr="07868930">
        <w:rPr>
          <w:rFonts w:cs="Calibri"/>
          <w:noProof/>
          <w:sz w:val="22"/>
          <w:szCs w:val="22"/>
        </w:rPr>
        <w:t xml:space="preserve"> with</w:t>
      </w:r>
      <w:r w:rsidRPr="07868930">
        <w:rPr>
          <w:rFonts w:cs="Calibri"/>
          <w:noProof/>
          <w:sz w:val="22"/>
          <w:szCs w:val="22"/>
        </w:rPr>
        <w:t xml:space="preserve"> replacement demand </w:t>
      </w:r>
      <w:r w:rsidR="5A82EB27" w:rsidRPr="07868930">
        <w:rPr>
          <w:rFonts w:cs="Calibri"/>
          <w:noProof/>
          <w:sz w:val="22"/>
          <w:szCs w:val="22"/>
        </w:rPr>
        <w:t xml:space="preserve">linked </w:t>
      </w:r>
      <w:r w:rsidRPr="07868930">
        <w:rPr>
          <w:rFonts w:cs="Calibri"/>
          <w:noProof/>
          <w:sz w:val="22"/>
          <w:szCs w:val="22"/>
        </w:rPr>
        <w:t xml:space="preserve">to retirement </w:t>
      </w:r>
      <w:r w:rsidR="2A49845C" w:rsidRPr="07868930">
        <w:rPr>
          <w:rFonts w:cs="Calibri"/>
          <w:noProof/>
          <w:sz w:val="22"/>
          <w:szCs w:val="22"/>
        </w:rPr>
        <w:t>will</w:t>
      </w:r>
      <w:r w:rsidR="0D2E7C6E" w:rsidRPr="07868930">
        <w:rPr>
          <w:rFonts w:cs="Calibri"/>
          <w:noProof/>
          <w:sz w:val="22"/>
          <w:szCs w:val="22"/>
        </w:rPr>
        <w:t xml:space="preserve"> put further</w:t>
      </w:r>
      <w:r w:rsidRPr="07868930">
        <w:rPr>
          <w:rFonts w:cs="Calibri"/>
          <w:noProof/>
          <w:sz w:val="22"/>
          <w:szCs w:val="22"/>
        </w:rPr>
        <w:t xml:space="preserve"> pressure on the ICT workforce in the coming years. </w:t>
      </w:r>
      <w:r w:rsidR="00D620A2">
        <w:rPr>
          <w:rFonts w:cs="Calibri"/>
          <w:noProof/>
          <w:sz w:val="22"/>
          <w:szCs w:val="22"/>
        </w:rPr>
        <w:t>S</w:t>
      </w:r>
      <w:r w:rsidR="1171A294" w:rsidRPr="4DCFEA51">
        <w:rPr>
          <w:rFonts w:cs="Calibri"/>
          <w:noProof/>
          <w:sz w:val="22"/>
          <w:szCs w:val="22"/>
        </w:rPr>
        <w:t>hortages</w:t>
      </w:r>
      <w:r w:rsidR="2DB74DD6" w:rsidRPr="07868930">
        <w:rPr>
          <w:rFonts w:cs="Calibri"/>
          <w:noProof/>
          <w:sz w:val="22"/>
          <w:szCs w:val="22"/>
        </w:rPr>
        <w:t xml:space="preserve"> and mismatches are </w:t>
      </w:r>
      <w:r w:rsidR="63C78225" w:rsidRPr="07868930">
        <w:rPr>
          <w:rFonts w:cs="Calibri"/>
          <w:noProof/>
          <w:sz w:val="22"/>
          <w:szCs w:val="22"/>
        </w:rPr>
        <w:t>un</w:t>
      </w:r>
      <w:r w:rsidR="2DB74DD6" w:rsidRPr="07868930">
        <w:rPr>
          <w:rFonts w:cs="Calibri"/>
          <w:noProof/>
          <w:sz w:val="22"/>
          <w:szCs w:val="22"/>
        </w:rPr>
        <w:t>evenly distributed</w:t>
      </w:r>
      <w:r w:rsidR="5F22778F" w:rsidRPr="07868930">
        <w:rPr>
          <w:rFonts w:cs="Calibri"/>
          <w:noProof/>
          <w:sz w:val="22"/>
          <w:szCs w:val="22"/>
        </w:rPr>
        <w:t xml:space="preserve"> </w:t>
      </w:r>
      <w:r w:rsidR="2DB74DD6" w:rsidRPr="07868930">
        <w:rPr>
          <w:rFonts w:cs="Calibri"/>
          <w:noProof/>
          <w:sz w:val="22"/>
          <w:szCs w:val="22"/>
        </w:rPr>
        <w:t>across Member States, regions, sectors and firms, with stronger digital ecosystems generally better placed to attract and retain talent</w:t>
      </w:r>
      <w:r w:rsidR="570A718D" w:rsidRPr="07868930">
        <w:rPr>
          <w:rFonts w:cs="Calibri"/>
          <w:noProof/>
          <w:sz w:val="22"/>
          <w:szCs w:val="22"/>
        </w:rPr>
        <w:t xml:space="preserve">. </w:t>
      </w:r>
      <w:r w:rsidR="2955F3E3" w:rsidRPr="07868930">
        <w:rPr>
          <w:rFonts w:cs="Calibri"/>
          <w:noProof/>
          <w:sz w:val="22"/>
          <w:szCs w:val="22"/>
        </w:rPr>
        <w:t>Combine</w:t>
      </w:r>
      <w:r w:rsidR="568FA113" w:rsidRPr="07868930">
        <w:rPr>
          <w:rFonts w:cs="Calibri"/>
          <w:noProof/>
          <w:sz w:val="22"/>
          <w:szCs w:val="22"/>
        </w:rPr>
        <w:t>d</w:t>
      </w:r>
      <w:r w:rsidR="2955F3E3" w:rsidRPr="07868930">
        <w:rPr>
          <w:rFonts w:cs="Calibri"/>
          <w:noProof/>
          <w:sz w:val="22"/>
          <w:szCs w:val="22"/>
        </w:rPr>
        <w:t xml:space="preserve"> with the</w:t>
      </w:r>
      <w:r w:rsidR="002DD27C" w:rsidRPr="07868930">
        <w:rPr>
          <w:rFonts w:cs="Calibri"/>
          <w:noProof/>
          <w:sz w:val="22"/>
          <w:szCs w:val="22"/>
        </w:rPr>
        <w:t xml:space="preserve"> persistently low share of </w:t>
      </w:r>
      <w:r w:rsidRPr="07868930">
        <w:rPr>
          <w:rFonts w:cs="Calibri"/>
          <w:noProof/>
          <w:sz w:val="22"/>
          <w:szCs w:val="22"/>
        </w:rPr>
        <w:t>women among ICT specialists</w:t>
      </w:r>
      <w:r w:rsidR="64A06494" w:rsidRPr="07868930">
        <w:rPr>
          <w:rFonts w:cs="Calibri"/>
          <w:noProof/>
          <w:sz w:val="22"/>
          <w:szCs w:val="22"/>
        </w:rPr>
        <w:t>, this means that</w:t>
      </w:r>
      <w:r w:rsidR="00794379" w:rsidRPr="07868930">
        <w:rPr>
          <w:rFonts w:cs="Calibri"/>
          <w:noProof/>
          <w:sz w:val="22"/>
          <w:szCs w:val="22"/>
        </w:rPr>
        <w:t xml:space="preserve"> the European economy is </w:t>
      </w:r>
      <w:r w:rsidR="771701EC" w:rsidRPr="07868930">
        <w:rPr>
          <w:rFonts w:cs="Calibri"/>
          <w:noProof/>
          <w:sz w:val="22"/>
          <w:szCs w:val="22"/>
        </w:rPr>
        <w:t xml:space="preserve">still </w:t>
      </w:r>
      <w:r w:rsidR="38D079DC" w:rsidRPr="07868930">
        <w:rPr>
          <w:rFonts w:cs="Calibri"/>
          <w:noProof/>
          <w:sz w:val="22"/>
          <w:szCs w:val="22"/>
        </w:rPr>
        <w:t xml:space="preserve">not making </w:t>
      </w:r>
      <w:r w:rsidR="27368FEC" w:rsidRPr="07868930">
        <w:rPr>
          <w:rFonts w:cs="Calibri"/>
          <w:noProof/>
          <w:sz w:val="22"/>
          <w:szCs w:val="22"/>
        </w:rPr>
        <w:t>full use of its available talent base.</w:t>
      </w:r>
    </w:p>
    <w:p w14:paraId="7F1770C5" w14:textId="76278E42" w:rsidR="00794379" w:rsidRPr="00417E18" w:rsidRDefault="00794379" w:rsidP="00794379">
      <w:pPr>
        <w:rPr>
          <w:rFonts w:cs="Calibri"/>
          <w:noProof/>
          <w:sz w:val="22"/>
          <w:szCs w:val="22"/>
        </w:rPr>
      </w:pPr>
      <w:r w:rsidRPr="07868930">
        <w:rPr>
          <w:rFonts w:cs="Calibri"/>
          <w:noProof/>
          <w:sz w:val="22"/>
          <w:szCs w:val="22"/>
        </w:rPr>
        <w:t xml:space="preserve">A number of </w:t>
      </w:r>
      <w:r w:rsidR="568FA113" w:rsidRPr="07868930">
        <w:rPr>
          <w:rFonts w:cs="Calibri"/>
          <w:b/>
          <w:bCs/>
          <w:noProof/>
          <w:sz w:val="22"/>
          <w:szCs w:val="22"/>
        </w:rPr>
        <w:t>structural</w:t>
      </w:r>
      <w:r w:rsidRPr="07868930">
        <w:rPr>
          <w:rFonts w:cs="Calibri"/>
          <w:b/>
          <w:bCs/>
          <w:noProof/>
          <w:sz w:val="22"/>
          <w:szCs w:val="22"/>
        </w:rPr>
        <w:t xml:space="preserve"> challenges</w:t>
      </w:r>
      <w:r w:rsidRPr="07868930">
        <w:rPr>
          <w:rFonts w:cs="Calibri"/>
          <w:noProof/>
          <w:sz w:val="22"/>
          <w:szCs w:val="22"/>
        </w:rPr>
        <w:t xml:space="preserve"> </w:t>
      </w:r>
      <w:r w:rsidR="632BA5FE" w:rsidRPr="07868930">
        <w:rPr>
          <w:rFonts w:cs="Calibri"/>
          <w:noProof/>
          <w:sz w:val="22"/>
          <w:szCs w:val="22"/>
        </w:rPr>
        <w:t>help explain this gap</w:t>
      </w:r>
      <w:r w:rsidRPr="07868930">
        <w:rPr>
          <w:rFonts w:cs="Calibri"/>
          <w:noProof/>
          <w:sz w:val="22"/>
          <w:szCs w:val="22"/>
        </w:rPr>
        <w:t>:</w:t>
      </w:r>
    </w:p>
    <w:p w14:paraId="414E44FB" w14:textId="0A2D4FD9" w:rsidR="00794379" w:rsidRPr="00417E18" w:rsidRDefault="00794379" w:rsidP="00F36E2D">
      <w:pPr>
        <w:pStyle w:val="ListParagraph"/>
        <w:numPr>
          <w:ilvl w:val="0"/>
          <w:numId w:val="10"/>
        </w:numPr>
        <w:spacing w:after="120"/>
        <w:ind w:left="470" w:hanging="357"/>
        <w:contextualSpacing w:val="0"/>
        <w:rPr>
          <w:rFonts w:cs="Calibri"/>
          <w:noProof/>
          <w:sz w:val="22"/>
          <w:szCs w:val="22"/>
        </w:rPr>
      </w:pPr>
      <w:r w:rsidRPr="005C14E9">
        <w:rPr>
          <w:noProof/>
        </w:rPr>
        <w:t>There</w:t>
      </w:r>
      <w:r w:rsidRPr="00417E18">
        <w:rPr>
          <w:rFonts w:cs="Calibri"/>
          <w:noProof/>
          <w:sz w:val="22"/>
          <w:szCs w:val="22"/>
        </w:rPr>
        <w:t xml:space="preserve"> is a considerable mismatch of ICT skills in the European labour market. Many companies report </w:t>
      </w:r>
      <w:r w:rsidR="00753C33" w:rsidRPr="00417E18">
        <w:rPr>
          <w:rFonts w:cs="Calibri"/>
          <w:noProof/>
          <w:sz w:val="22"/>
          <w:szCs w:val="22"/>
        </w:rPr>
        <w:t xml:space="preserve">difficulties in </w:t>
      </w:r>
      <w:r w:rsidRPr="00417E18">
        <w:rPr>
          <w:rFonts w:cs="Calibri"/>
          <w:noProof/>
          <w:sz w:val="22"/>
          <w:szCs w:val="22"/>
        </w:rPr>
        <w:t xml:space="preserve">finding people </w:t>
      </w:r>
      <w:r w:rsidR="005E5119" w:rsidRPr="00417E18">
        <w:rPr>
          <w:rFonts w:cs="Calibri"/>
          <w:noProof/>
          <w:sz w:val="22"/>
          <w:szCs w:val="22"/>
        </w:rPr>
        <w:t>with the required profile</w:t>
      </w:r>
      <w:r w:rsidR="00BD2B56" w:rsidRPr="00417E18">
        <w:rPr>
          <w:rFonts w:cs="Calibri"/>
          <w:noProof/>
          <w:sz w:val="22"/>
          <w:szCs w:val="22"/>
        </w:rPr>
        <w:t>, a</w:t>
      </w:r>
      <w:r w:rsidR="005E5119" w:rsidRPr="00417E18">
        <w:rPr>
          <w:rFonts w:cs="Calibri"/>
          <w:noProof/>
          <w:sz w:val="22"/>
          <w:szCs w:val="22"/>
        </w:rPr>
        <w:t xml:space="preserve"> challenge</w:t>
      </w:r>
      <w:r w:rsidRPr="00417E18">
        <w:rPr>
          <w:rFonts w:cs="Calibri"/>
          <w:noProof/>
          <w:sz w:val="22"/>
          <w:szCs w:val="22"/>
        </w:rPr>
        <w:t xml:space="preserve"> made harder b</w:t>
      </w:r>
      <w:r w:rsidR="00063FB9" w:rsidRPr="00417E18">
        <w:rPr>
          <w:rFonts w:cs="Calibri"/>
          <w:noProof/>
          <w:sz w:val="22"/>
          <w:szCs w:val="22"/>
        </w:rPr>
        <w:t xml:space="preserve">y rapidly </w:t>
      </w:r>
      <w:r w:rsidR="006D5E6B" w:rsidRPr="00417E18">
        <w:rPr>
          <w:rFonts w:cs="Calibri"/>
          <w:noProof/>
          <w:sz w:val="22"/>
          <w:szCs w:val="22"/>
        </w:rPr>
        <w:t xml:space="preserve">changing </w:t>
      </w:r>
      <w:r w:rsidRPr="00417E18">
        <w:rPr>
          <w:rFonts w:cs="Calibri"/>
          <w:noProof/>
          <w:sz w:val="22"/>
          <w:szCs w:val="22"/>
        </w:rPr>
        <w:t xml:space="preserve">skills demands </w:t>
      </w:r>
      <w:r w:rsidR="00DA2198" w:rsidRPr="00417E18">
        <w:rPr>
          <w:rFonts w:cs="Calibri"/>
          <w:noProof/>
          <w:sz w:val="22"/>
          <w:szCs w:val="22"/>
        </w:rPr>
        <w:t>linked</w:t>
      </w:r>
      <w:r w:rsidRPr="00417E18">
        <w:rPr>
          <w:rFonts w:cs="Calibri"/>
          <w:noProof/>
          <w:sz w:val="22"/>
          <w:szCs w:val="22"/>
        </w:rPr>
        <w:t xml:space="preserve"> to AI, the evolving data economy, and growing cybersecurity</w:t>
      </w:r>
      <w:r w:rsidR="002D4E6B" w:rsidRPr="00417E18">
        <w:rPr>
          <w:rFonts w:cs="Calibri"/>
          <w:noProof/>
          <w:sz w:val="22"/>
          <w:szCs w:val="22"/>
        </w:rPr>
        <w:t xml:space="preserve"> </w:t>
      </w:r>
      <w:r w:rsidR="00BB27D0" w:rsidRPr="00417E18">
        <w:rPr>
          <w:rFonts w:cs="Calibri"/>
          <w:noProof/>
          <w:sz w:val="22"/>
          <w:szCs w:val="22"/>
        </w:rPr>
        <w:t>needs</w:t>
      </w:r>
      <w:r w:rsidRPr="00417E18">
        <w:rPr>
          <w:rFonts w:cs="Calibri"/>
          <w:noProof/>
          <w:sz w:val="22"/>
          <w:szCs w:val="22"/>
        </w:rPr>
        <w:t>.</w:t>
      </w:r>
    </w:p>
    <w:p w14:paraId="72B91E22" w14:textId="3E16F3C1" w:rsidR="00794379" w:rsidRPr="00417E18" w:rsidRDefault="00794379" w:rsidP="00F36E2D">
      <w:pPr>
        <w:pStyle w:val="ListParagraph"/>
        <w:numPr>
          <w:ilvl w:val="0"/>
          <w:numId w:val="10"/>
        </w:numPr>
        <w:spacing w:after="120"/>
        <w:ind w:left="470" w:hanging="357"/>
        <w:contextualSpacing w:val="0"/>
        <w:rPr>
          <w:rFonts w:eastAsia="MS Mincho" w:cs="Calibri"/>
          <w:noProof/>
          <w:sz w:val="22"/>
          <w:szCs w:val="22"/>
        </w:rPr>
      </w:pPr>
      <w:r w:rsidRPr="005C14E9">
        <w:rPr>
          <w:noProof/>
        </w:rPr>
        <w:t>There</w:t>
      </w:r>
      <w:r w:rsidRPr="00417E18">
        <w:rPr>
          <w:rFonts w:eastAsia="MS Mincho" w:cs="Calibri"/>
          <w:noProof/>
          <w:sz w:val="22"/>
          <w:szCs w:val="22"/>
        </w:rPr>
        <w:t xml:space="preserve"> are key drop-off points </w:t>
      </w:r>
      <w:r w:rsidR="005C7BA6" w:rsidRPr="00417E18">
        <w:rPr>
          <w:rFonts w:eastAsia="MS Mincho" w:cs="Calibri"/>
          <w:noProof/>
          <w:sz w:val="22"/>
          <w:szCs w:val="22"/>
        </w:rPr>
        <w:t>(</w:t>
      </w:r>
      <w:r w:rsidR="005C7BA6" w:rsidRPr="00417E18">
        <w:rPr>
          <w:rFonts w:eastAsia="MS Mincho" w:cs="Calibri"/>
          <w:i/>
          <w:noProof/>
          <w:sz w:val="22"/>
          <w:szCs w:val="22"/>
        </w:rPr>
        <w:t>‘leaky pipeline’</w:t>
      </w:r>
      <w:r w:rsidR="005C7BA6" w:rsidRPr="00417E18">
        <w:rPr>
          <w:rFonts w:eastAsia="MS Mincho" w:cs="Calibri"/>
          <w:noProof/>
          <w:sz w:val="22"/>
          <w:szCs w:val="22"/>
        </w:rPr>
        <w:t>)</w:t>
      </w:r>
      <w:r w:rsidRPr="00417E18">
        <w:rPr>
          <w:rFonts w:eastAsia="MS Mincho" w:cs="Calibri"/>
          <w:noProof/>
          <w:sz w:val="22"/>
          <w:szCs w:val="22"/>
        </w:rPr>
        <w:t xml:space="preserve"> for girls and women in ICT fields </w:t>
      </w:r>
      <w:r w:rsidR="0048662F" w:rsidRPr="00417E18">
        <w:rPr>
          <w:rFonts w:eastAsia="MS Mincho" w:cs="Calibri"/>
          <w:noProof/>
          <w:sz w:val="22"/>
          <w:szCs w:val="22"/>
        </w:rPr>
        <w:t>notably</w:t>
      </w:r>
      <w:r w:rsidRPr="00417E18">
        <w:rPr>
          <w:rFonts w:eastAsia="MS Mincho" w:cs="Calibri"/>
          <w:noProof/>
          <w:sz w:val="22"/>
          <w:szCs w:val="22"/>
        </w:rPr>
        <w:t xml:space="preserve"> between secondary STEM education and specialised ICT studies, and between ICT qualifications and employment</w:t>
      </w:r>
      <w:r w:rsidR="0048662F" w:rsidRPr="00417E18">
        <w:rPr>
          <w:rFonts w:eastAsia="MS Mincho" w:cs="Calibri"/>
          <w:noProof/>
          <w:sz w:val="22"/>
          <w:szCs w:val="22"/>
        </w:rPr>
        <w:t xml:space="preserve">. This suggests that </w:t>
      </w:r>
      <w:r w:rsidRPr="00417E18">
        <w:rPr>
          <w:rFonts w:eastAsia="MS Mincho" w:cs="Calibri"/>
          <w:noProof/>
          <w:sz w:val="22"/>
          <w:szCs w:val="22"/>
        </w:rPr>
        <w:t>increasing girls’ participation in STEM</w:t>
      </w:r>
      <w:r w:rsidR="001C7F3A" w:rsidRPr="00417E18">
        <w:rPr>
          <w:rFonts w:eastAsia="MS Mincho" w:cs="Calibri"/>
          <w:noProof/>
          <w:sz w:val="22"/>
          <w:szCs w:val="22"/>
        </w:rPr>
        <w:t xml:space="preserve"> </w:t>
      </w:r>
      <w:r w:rsidR="002D7C81" w:rsidRPr="00417E18">
        <w:rPr>
          <w:rFonts w:eastAsia="MS Mincho" w:cs="Calibri"/>
          <w:noProof/>
          <w:sz w:val="22"/>
          <w:szCs w:val="22"/>
        </w:rPr>
        <w:t>alone</w:t>
      </w:r>
      <w:r w:rsidR="001C7F3A" w:rsidRPr="00417E18">
        <w:rPr>
          <w:rFonts w:eastAsia="MS Mincho" w:cs="Calibri"/>
          <w:noProof/>
          <w:sz w:val="22"/>
          <w:szCs w:val="22"/>
        </w:rPr>
        <w:t xml:space="preserve"> will not be </w:t>
      </w:r>
      <w:r w:rsidRPr="00417E18">
        <w:rPr>
          <w:rFonts w:eastAsia="MS Mincho" w:cs="Calibri"/>
          <w:noProof/>
          <w:sz w:val="22"/>
          <w:szCs w:val="22"/>
        </w:rPr>
        <w:t>sufficient to close the gender gap. Evidence points to persistent barriers for women in the ICT workplace</w:t>
      </w:r>
      <w:r w:rsidR="00F4770C" w:rsidRPr="00417E18">
        <w:rPr>
          <w:rFonts w:eastAsia="MS Mincho" w:cs="Calibri"/>
          <w:noProof/>
          <w:sz w:val="22"/>
          <w:szCs w:val="22"/>
        </w:rPr>
        <w:t xml:space="preserve"> (‘</w:t>
      </w:r>
      <w:r w:rsidR="00F4770C" w:rsidRPr="00417E18">
        <w:rPr>
          <w:rFonts w:eastAsia="MS Mincho" w:cs="Calibri"/>
          <w:i/>
          <w:noProof/>
          <w:sz w:val="22"/>
          <w:szCs w:val="22"/>
        </w:rPr>
        <w:t>leaky pipeline after entry</w:t>
      </w:r>
      <w:r w:rsidR="00F4770C" w:rsidRPr="00417E18">
        <w:rPr>
          <w:rFonts w:eastAsia="MS Mincho" w:cs="Calibri"/>
          <w:noProof/>
          <w:sz w:val="22"/>
          <w:szCs w:val="22"/>
        </w:rPr>
        <w:t>’)</w:t>
      </w:r>
      <w:r w:rsidRPr="00417E18">
        <w:rPr>
          <w:rFonts w:eastAsia="MS Mincho" w:cs="Calibri"/>
          <w:noProof/>
          <w:sz w:val="22"/>
          <w:szCs w:val="22"/>
        </w:rPr>
        <w:t>, including gender bias in recruitment and promotion, unequal recognition and pay, limited access to leadership roles, and greater caregiving responsibilities leading to more frequent career breaks.</w:t>
      </w:r>
    </w:p>
    <w:p w14:paraId="42C5ED19" w14:textId="1431719E" w:rsidR="00794379" w:rsidRPr="00417E18" w:rsidRDefault="00794379" w:rsidP="00F36E2D">
      <w:pPr>
        <w:pStyle w:val="ListParagraph"/>
        <w:numPr>
          <w:ilvl w:val="0"/>
          <w:numId w:val="10"/>
        </w:numPr>
        <w:spacing w:after="120"/>
        <w:ind w:left="470" w:hanging="357"/>
        <w:contextualSpacing w:val="0"/>
        <w:rPr>
          <w:rFonts w:cs="Calibri"/>
          <w:noProof/>
          <w:sz w:val="22"/>
          <w:szCs w:val="22"/>
        </w:rPr>
      </w:pPr>
      <w:r w:rsidRPr="00417E18">
        <w:rPr>
          <w:rFonts w:cs="Calibri"/>
          <w:noProof/>
          <w:sz w:val="22"/>
          <w:szCs w:val="22"/>
        </w:rPr>
        <w:t xml:space="preserve">The relatively low number of new ICT graduates (tertiary and initial VET) entering the labour market presents a major challenge </w:t>
      </w:r>
      <w:r w:rsidR="5F2A275F" w:rsidRPr="00417E18">
        <w:rPr>
          <w:rFonts w:cs="Calibri"/>
          <w:noProof/>
          <w:sz w:val="22"/>
          <w:szCs w:val="22"/>
        </w:rPr>
        <w:t>to</w:t>
      </w:r>
      <w:r w:rsidR="5FF3B1B8" w:rsidRPr="00417E18">
        <w:rPr>
          <w:rFonts w:cs="Calibri"/>
          <w:noProof/>
          <w:sz w:val="22"/>
          <w:szCs w:val="22"/>
        </w:rPr>
        <w:t xml:space="preserve"> </w:t>
      </w:r>
      <w:r w:rsidR="5F2A275F" w:rsidRPr="00417E18">
        <w:rPr>
          <w:rFonts w:cs="Calibri"/>
          <w:noProof/>
          <w:sz w:val="22"/>
          <w:szCs w:val="22"/>
        </w:rPr>
        <w:t>reach</w:t>
      </w:r>
      <w:r w:rsidRPr="00417E18">
        <w:rPr>
          <w:rFonts w:cs="Calibri"/>
          <w:noProof/>
          <w:sz w:val="22"/>
          <w:szCs w:val="22"/>
        </w:rPr>
        <w:t xml:space="preserve"> the D</w:t>
      </w:r>
      <w:r w:rsidR="004824BD" w:rsidRPr="00417E18">
        <w:rPr>
          <w:rFonts w:cs="Calibri"/>
          <w:noProof/>
          <w:sz w:val="22"/>
          <w:szCs w:val="22"/>
        </w:rPr>
        <w:t xml:space="preserve">igital </w:t>
      </w:r>
      <w:r w:rsidRPr="00417E18">
        <w:rPr>
          <w:rFonts w:cs="Calibri"/>
          <w:noProof/>
          <w:sz w:val="22"/>
          <w:szCs w:val="22"/>
        </w:rPr>
        <w:t>D</w:t>
      </w:r>
      <w:r w:rsidR="004824BD" w:rsidRPr="00417E18">
        <w:rPr>
          <w:rFonts w:cs="Calibri"/>
          <w:noProof/>
          <w:sz w:val="22"/>
          <w:szCs w:val="22"/>
        </w:rPr>
        <w:t>ecade</w:t>
      </w:r>
      <w:r w:rsidRPr="00417E18">
        <w:rPr>
          <w:rFonts w:cs="Calibri"/>
          <w:noProof/>
          <w:sz w:val="22"/>
          <w:szCs w:val="22"/>
        </w:rPr>
        <w:t xml:space="preserve"> target. In 2023, the EU produced only 2.7 tertiary ICT graduates per 1</w:t>
      </w:r>
      <w:r w:rsidR="00A36D4F">
        <w:rPr>
          <w:rFonts w:cs="Calibri"/>
          <w:noProof/>
          <w:sz w:val="22"/>
          <w:szCs w:val="22"/>
        </w:rPr>
        <w:t xml:space="preserve"> </w:t>
      </w:r>
      <w:r w:rsidRPr="00417E18">
        <w:rPr>
          <w:rFonts w:cs="Calibri"/>
          <w:noProof/>
          <w:sz w:val="22"/>
          <w:szCs w:val="22"/>
        </w:rPr>
        <w:t xml:space="preserve">000 young people, compared to 3.7 in the US and 4.6 in the UK. Although Member States are </w:t>
      </w:r>
      <w:r w:rsidR="00E50A62" w:rsidRPr="00417E18">
        <w:rPr>
          <w:rFonts w:cs="Calibri"/>
          <w:noProof/>
          <w:sz w:val="22"/>
          <w:szCs w:val="22"/>
        </w:rPr>
        <w:t xml:space="preserve">seeking </w:t>
      </w:r>
      <w:r w:rsidRPr="00417E18">
        <w:rPr>
          <w:rFonts w:cs="Calibri"/>
          <w:noProof/>
          <w:sz w:val="22"/>
          <w:szCs w:val="22"/>
        </w:rPr>
        <w:t xml:space="preserve">to adapt Higher Education Programmes to changing skills demands and </w:t>
      </w:r>
      <w:r w:rsidR="00C9102D" w:rsidRPr="00417E18">
        <w:rPr>
          <w:rFonts w:cs="Calibri"/>
          <w:noProof/>
          <w:sz w:val="22"/>
          <w:szCs w:val="22"/>
        </w:rPr>
        <w:t xml:space="preserve">increase the attractiveness </w:t>
      </w:r>
      <w:r w:rsidRPr="00417E18">
        <w:rPr>
          <w:rFonts w:cs="Calibri"/>
          <w:noProof/>
          <w:sz w:val="22"/>
          <w:szCs w:val="22"/>
        </w:rPr>
        <w:t xml:space="preserve">of ICT careers, </w:t>
      </w:r>
      <w:r w:rsidR="00F4291C" w:rsidRPr="07868930">
        <w:rPr>
          <w:rFonts w:cs="Calibri"/>
          <w:noProof/>
          <w:sz w:val="22"/>
          <w:szCs w:val="22"/>
        </w:rPr>
        <w:t>current efforts remain insufficient</w:t>
      </w:r>
      <w:r w:rsidRPr="07868930">
        <w:rPr>
          <w:rFonts w:cs="Calibri"/>
          <w:noProof/>
          <w:sz w:val="22"/>
          <w:szCs w:val="22"/>
        </w:rPr>
        <w:t>.</w:t>
      </w:r>
    </w:p>
    <w:p w14:paraId="3E259D8A" w14:textId="77A8355A" w:rsidR="00794379" w:rsidRPr="00417E18" w:rsidRDefault="00794379" w:rsidP="00F36E2D">
      <w:pPr>
        <w:pStyle w:val="ListParagraph"/>
        <w:numPr>
          <w:ilvl w:val="0"/>
          <w:numId w:val="10"/>
        </w:numPr>
        <w:spacing w:after="120"/>
        <w:ind w:left="470" w:hanging="357"/>
        <w:contextualSpacing w:val="0"/>
        <w:rPr>
          <w:rFonts w:cs="Calibri"/>
          <w:noProof/>
          <w:sz w:val="22"/>
          <w:szCs w:val="22"/>
        </w:rPr>
      </w:pPr>
      <w:r w:rsidRPr="00417E18">
        <w:rPr>
          <w:rFonts w:cs="Calibri"/>
          <w:noProof/>
          <w:sz w:val="22"/>
          <w:szCs w:val="22"/>
        </w:rPr>
        <w:t xml:space="preserve">Another challenge lies in the upskilling of existing ICT specialists. Businesses must ensure that their employees </w:t>
      </w:r>
      <w:r w:rsidR="00EC0ECC" w:rsidRPr="07868930">
        <w:rPr>
          <w:rFonts w:cs="Calibri"/>
          <w:noProof/>
          <w:sz w:val="22"/>
          <w:szCs w:val="22"/>
        </w:rPr>
        <w:t>remain</w:t>
      </w:r>
      <w:r w:rsidRPr="00417E18">
        <w:rPr>
          <w:rFonts w:cs="Calibri"/>
          <w:noProof/>
          <w:sz w:val="22"/>
          <w:szCs w:val="22"/>
        </w:rPr>
        <w:t xml:space="preserve"> up to date with the latest ICT skills requirements, </w:t>
      </w:r>
      <w:r w:rsidR="00260DD5" w:rsidRPr="00417E18">
        <w:rPr>
          <w:rFonts w:cs="Calibri"/>
          <w:noProof/>
          <w:sz w:val="22"/>
          <w:szCs w:val="22"/>
        </w:rPr>
        <w:t xml:space="preserve">which requires </w:t>
      </w:r>
      <w:r w:rsidRPr="00417E18">
        <w:rPr>
          <w:rFonts w:cs="Calibri"/>
          <w:noProof/>
          <w:sz w:val="22"/>
          <w:szCs w:val="22"/>
        </w:rPr>
        <w:t>substantial investment. In addition, a</w:t>
      </w:r>
      <w:r w:rsidR="003B048B" w:rsidRPr="00417E18">
        <w:rPr>
          <w:rFonts w:cs="Calibri"/>
          <w:noProof/>
          <w:sz w:val="22"/>
          <w:szCs w:val="22"/>
        </w:rPr>
        <w:t xml:space="preserve"> grow</w:t>
      </w:r>
      <w:r w:rsidRPr="00417E18">
        <w:rPr>
          <w:rFonts w:cs="Calibri"/>
          <w:noProof/>
          <w:sz w:val="22"/>
          <w:szCs w:val="22"/>
        </w:rPr>
        <w:t xml:space="preserve">ing number of </w:t>
      </w:r>
      <w:r w:rsidRPr="00417E18" w:rsidDel="000E20B0">
        <w:rPr>
          <w:rFonts w:cs="Calibri"/>
          <w:noProof/>
          <w:sz w:val="22"/>
          <w:szCs w:val="22"/>
        </w:rPr>
        <w:t xml:space="preserve">sector </w:t>
      </w:r>
      <w:r w:rsidRPr="00417E18">
        <w:rPr>
          <w:rFonts w:cs="Calibri"/>
          <w:noProof/>
          <w:sz w:val="22"/>
          <w:szCs w:val="22"/>
        </w:rPr>
        <w:t xml:space="preserve">specialists </w:t>
      </w:r>
      <w:r w:rsidR="002975B9" w:rsidRPr="00417E18">
        <w:rPr>
          <w:rFonts w:cs="Calibri"/>
          <w:noProof/>
          <w:sz w:val="22"/>
          <w:szCs w:val="22"/>
        </w:rPr>
        <w:t xml:space="preserve">such as healthcare professionals using AI-powered screening tools, </w:t>
      </w:r>
      <w:r w:rsidRPr="00417E18">
        <w:rPr>
          <w:rFonts w:cs="Calibri"/>
          <w:noProof/>
          <w:sz w:val="22"/>
          <w:szCs w:val="22"/>
        </w:rPr>
        <w:t>need</w:t>
      </w:r>
      <w:r w:rsidR="00C10077" w:rsidRPr="00417E18">
        <w:rPr>
          <w:rFonts w:cs="Calibri"/>
          <w:noProof/>
          <w:sz w:val="22"/>
          <w:szCs w:val="22"/>
        </w:rPr>
        <w:t xml:space="preserve"> </w:t>
      </w:r>
      <w:r w:rsidRPr="00417E18">
        <w:rPr>
          <w:rFonts w:cs="Calibri"/>
          <w:noProof/>
          <w:sz w:val="22"/>
          <w:szCs w:val="22"/>
        </w:rPr>
        <w:t>advanced digital skills to use digital technologies</w:t>
      </w:r>
      <w:r w:rsidR="006B1673" w:rsidRPr="00417E18">
        <w:rPr>
          <w:rFonts w:cs="Calibri"/>
          <w:noProof/>
          <w:sz w:val="22"/>
          <w:szCs w:val="22"/>
        </w:rPr>
        <w:t xml:space="preserve"> effectively</w:t>
      </w:r>
      <w:r w:rsidRPr="00417E18">
        <w:rPr>
          <w:rFonts w:cs="Calibri"/>
          <w:noProof/>
          <w:sz w:val="22"/>
          <w:szCs w:val="22"/>
        </w:rPr>
        <w:t>. This</w:t>
      </w:r>
      <w:r w:rsidR="00886940" w:rsidRPr="00417E18">
        <w:rPr>
          <w:rFonts w:cs="Calibri"/>
          <w:noProof/>
          <w:sz w:val="22"/>
          <w:szCs w:val="22"/>
        </w:rPr>
        <w:t xml:space="preserve"> </w:t>
      </w:r>
      <w:r w:rsidR="00433047" w:rsidRPr="00417E18">
        <w:rPr>
          <w:rFonts w:cs="Calibri"/>
          <w:noProof/>
          <w:sz w:val="22"/>
          <w:szCs w:val="22"/>
        </w:rPr>
        <w:t xml:space="preserve">increases competition for talent and </w:t>
      </w:r>
      <w:r w:rsidR="00A56993" w:rsidRPr="00417E18">
        <w:rPr>
          <w:rFonts w:cs="Calibri"/>
          <w:noProof/>
          <w:sz w:val="22"/>
          <w:szCs w:val="22"/>
        </w:rPr>
        <w:t>calls for more</w:t>
      </w:r>
      <w:r w:rsidRPr="00417E18">
        <w:rPr>
          <w:rFonts w:cs="Calibri"/>
          <w:noProof/>
          <w:sz w:val="22"/>
          <w:szCs w:val="22"/>
        </w:rPr>
        <w:t xml:space="preserve"> dedicated approach</w:t>
      </w:r>
      <w:r w:rsidR="00474077" w:rsidRPr="00417E18">
        <w:rPr>
          <w:rFonts w:cs="Calibri"/>
          <w:noProof/>
          <w:sz w:val="22"/>
          <w:szCs w:val="22"/>
        </w:rPr>
        <w:t>es</w:t>
      </w:r>
      <w:r w:rsidRPr="00417E18">
        <w:rPr>
          <w:rFonts w:cs="Calibri"/>
          <w:noProof/>
          <w:sz w:val="22"/>
          <w:szCs w:val="22"/>
        </w:rPr>
        <w:t xml:space="preserve"> to ICT education, enabling workers with non-technical backgrounds to </w:t>
      </w:r>
      <w:r w:rsidR="00EC0B30" w:rsidRPr="00417E18">
        <w:rPr>
          <w:rFonts w:cs="Calibri"/>
          <w:noProof/>
          <w:sz w:val="22"/>
          <w:szCs w:val="22"/>
        </w:rPr>
        <w:t xml:space="preserve">interact </w:t>
      </w:r>
      <w:r w:rsidRPr="00417E18">
        <w:rPr>
          <w:rFonts w:cs="Calibri"/>
          <w:noProof/>
          <w:sz w:val="22"/>
          <w:szCs w:val="22"/>
        </w:rPr>
        <w:t>efficiently and safely with advanced digital technologies.</w:t>
      </w:r>
    </w:p>
    <w:p w14:paraId="260BF8EA" w14:textId="698C1BEE" w:rsidR="00794379" w:rsidRPr="00417E18" w:rsidRDefault="00794379" w:rsidP="00F36E2D">
      <w:pPr>
        <w:pStyle w:val="ListParagraph"/>
        <w:numPr>
          <w:ilvl w:val="0"/>
          <w:numId w:val="10"/>
        </w:numPr>
        <w:ind w:left="470" w:hanging="357"/>
        <w:rPr>
          <w:rFonts w:cs="Calibri"/>
          <w:noProof/>
          <w:sz w:val="22"/>
          <w:szCs w:val="22"/>
        </w:rPr>
      </w:pPr>
      <w:r w:rsidRPr="00417E18">
        <w:rPr>
          <w:rFonts w:cs="Calibri"/>
          <w:noProof/>
          <w:sz w:val="22"/>
          <w:szCs w:val="22"/>
        </w:rPr>
        <w:t xml:space="preserve">The </w:t>
      </w:r>
      <w:r w:rsidR="00EC0ECC" w:rsidRPr="07868930">
        <w:rPr>
          <w:rFonts w:cs="Calibri"/>
          <w:noProof/>
          <w:sz w:val="22"/>
          <w:szCs w:val="22"/>
        </w:rPr>
        <w:t>concentration</w:t>
      </w:r>
      <w:r w:rsidRPr="00417E18">
        <w:rPr>
          <w:rFonts w:cs="Calibri"/>
          <w:noProof/>
          <w:sz w:val="22"/>
          <w:szCs w:val="22"/>
        </w:rPr>
        <w:t xml:space="preserve"> of the ICT ecosystem around individual vendors also presents considerable challenges for upskilling and reskilling</w:t>
      </w:r>
      <w:r w:rsidR="5F2A275F" w:rsidRPr="00417E18">
        <w:rPr>
          <w:rFonts w:cs="Calibri"/>
          <w:noProof/>
          <w:sz w:val="22"/>
          <w:szCs w:val="22"/>
        </w:rPr>
        <w:t>.</w:t>
      </w:r>
      <w:r w:rsidRPr="00417E18">
        <w:rPr>
          <w:rFonts w:cs="Calibri"/>
          <w:noProof/>
          <w:sz w:val="22"/>
          <w:szCs w:val="22"/>
        </w:rPr>
        <w:t xml:space="preserve"> As technologies become increasingly vendor-specific, professionals are often required to obtain specialised skills and certifications tailored to particular applications or platforms. Such dependencies </w:t>
      </w:r>
      <w:r w:rsidR="38A15FBB" w:rsidRPr="00417E18">
        <w:rPr>
          <w:rFonts w:cs="Calibri"/>
          <w:noProof/>
          <w:sz w:val="22"/>
          <w:szCs w:val="22"/>
        </w:rPr>
        <w:t>may</w:t>
      </w:r>
      <w:r w:rsidR="003D1048" w:rsidRPr="00417E18">
        <w:rPr>
          <w:rFonts w:cs="Calibri"/>
          <w:noProof/>
          <w:sz w:val="22"/>
          <w:szCs w:val="22"/>
        </w:rPr>
        <w:t xml:space="preserve"> reduce</w:t>
      </w:r>
      <w:r w:rsidR="00124BA6" w:rsidRPr="00417E18">
        <w:rPr>
          <w:rFonts w:cs="Calibri"/>
          <w:noProof/>
          <w:sz w:val="22"/>
          <w:szCs w:val="22"/>
        </w:rPr>
        <w:t xml:space="preserve"> the portability of skills across </w:t>
      </w:r>
      <w:r w:rsidR="006F0799" w:rsidRPr="00417E18">
        <w:rPr>
          <w:rFonts w:cs="Calibri"/>
          <w:noProof/>
          <w:sz w:val="22"/>
          <w:szCs w:val="22"/>
        </w:rPr>
        <w:t>employers and technologies</w:t>
      </w:r>
      <w:r w:rsidR="00405FBA" w:rsidRPr="00417E18">
        <w:rPr>
          <w:rFonts w:cs="Calibri"/>
          <w:noProof/>
          <w:sz w:val="22"/>
          <w:szCs w:val="22"/>
        </w:rPr>
        <w:t>, make training pathways more fragmented</w:t>
      </w:r>
      <w:r w:rsidR="00F504A7" w:rsidRPr="00417E18">
        <w:rPr>
          <w:rFonts w:cs="Calibri"/>
          <w:noProof/>
          <w:sz w:val="22"/>
          <w:szCs w:val="22"/>
        </w:rPr>
        <w:t xml:space="preserve"> and costly and weaken</w:t>
      </w:r>
      <w:r w:rsidRPr="00417E18">
        <w:rPr>
          <w:rFonts w:cs="Calibri"/>
          <w:noProof/>
          <w:sz w:val="22"/>
          <w:szCs w:val="22"/>
        </w:rPr>
        <w:t xml:space="preserve"> workforce adaptability and resilience.</w:t>
      </w:r>
    </w:p>
    <w:p w14:paraId="05979864" w14:textId="47E079F0" w:rsidR="00F504A7" w:rsidRPr="00417E18" w:rsidRDefault="009751C4" w:rsidP="07868930">
      <w:pPr>
        <w:rPr>
          <w:rFonts w:cs="Calibri"/>
          <w:noProof/>
          <w:sz w:val="22"/>
          <w:szCs w:val="22"/>
        </w:rPr>
      </w:pPr>
      <w:r w:rsidRPr="07868930">
        <w:rPr>
          <w:rFonts w:cs="Calibri"/>
          <w:noProof/>
          <w:sz w:val="22"/>
          <w:szCs w:val="22"/>
        </w:rPr>
        <w:t>Addressing</w:t>
      </w:r>
      <w:r w:rsidR="00DF3DAA" w:rsidRPr="07868930">
        <w:rPr>
          <w:rFonts w:cs="Calibri"/>
          <w:noProof/>
          <w:sz w:val="22"/>
          <w:szCs w:val="22"/>
        </w:rPr>
        <w:t xml:space="preserve"> these challenges will require</w:t>
      </w:r>
      <w:r w:rsidR="005D7CE0" w:rsidRPr="07868930">
        <w:rPr>
          <w:rFonts w:cs="Calibri"/>
          <w:noProof/>
          <w:sz w:val="22"/>
          <w:szCs w:val="22"/>
        </w:rPr>
        <w:t xml:space="preserve"> stronger i</w:t>
      </w:r>
      <w:r w:rsidR="00794379" w:rsidRPr="07868930">
        <w:rPr>
          <w:noProof/>
          <w:sz w:val="22"/>
          <w:szCs w:val="22"/>
        </w:rPr>
        <w:t xml:space="preserve">nvestment in </w:t>
      </w:r>
      <w:r w:rsidR="006245AE" w:rsidRPr="07868930">
        <w:rPr>
          <w:noProof/>
          <w:sz w:val="22"/>
          <w:szCs w:val="22"/>
        </w:rPr>
        <w:t xml:space="preserve">the development </w:t>
      </w:r>
      <w:r w:rsidR="4F0A2498" w:rsidRPr="07868930">
        <w:rPr>
          <w:noProof/>
          <w:sz w:val="22"/>
          <w:szCs w:val="22"/>
        </w:rPr>
        <w:t xml:space="preserve">and updating of </w:t>
      </w:r>
      <w:r w:rsidR="00A213BB" w:rsidRPr="07868930">
        <w:rPr>
          <w:noProof/>
          <w:sz w:val="22"/>
          <w:szCs w:val="22"/>
        </w:rPr>
        <w:t>education and</w:t>
      </w:r>
      <w:r w:rsidR="00794379" w:rsidRPr="07868930">
        <w:rPr>
          <w:noProof/>
          <w:sz w:val="22"/>
          <w:szCs w:val="22"/>
        </w:rPr>
        <w:t xml:space="preserve"> training </w:t>
      </w:r>
      <w:r w:rsidR="4684A2DF" w:rsidRPr="07868930">
        <w:rPr>
          <w:noProof/>
          <w:sz w:val="22"/>
          <w:szCs w:val="22"/>
        </w:rPr>
        <w:t>provision</w:t>
      </w:r>
      <w:r w:rsidR="00222FC0" w:rsidRPr="07868930">
        <w:rPr>
          <w:noProof/>
          <w:sz w:val="22"/>
          <w:szCs w:val="22"/>
        </w:rPr>
        <w:t xml:space="preserve">, </w:t>
      </w:r>
      <w:r w:rsidR="00794379" w:rsidRPr="07868930">
        <w:rPr>
          <w:noProof/>
          <w:sz w:val="22"/>
          <w:szCs w:val="22"/>
        </w:rPr>
        <w:t xml:space="preserve">particularly in </w:t>
      </w:r>
      <w:r w:rsidR="3227A2E6" w:rsidRPr="07868930">
        <w:rPr>
          <w:noProof/>
          <w:sz w:val="22"/>
          <w:szCs w:val="22"/>
        </w:rPr>
        <w:t>cooperation</w:t>
      </w:r>
      <w:r w:rsidR="00794379" w:rsidRPr="07868930">
        <w:rPr>
          <w:noProof/>
          <w:sz w:val="22"/>
          <w:szCs w:val="22"/>
        </w:rPr>
        <w:t xml:space="preserve"> with </w:t>
      </w:r>
      <w:r w:rsidR="3227A2E6" w:rsidRPr="07868930">
        <w:rPr>
          <w:noProof/>
          <w:sz w:val="22"/>
          <w:szCs w:val="22"/>
        </w:rPr>
        <w:t xml:space="preserve">Industry, as well as </w:t>
      </w:r>
      <w:r w:rsidR="00794379" w:rsidRPr="07868930">
        <w:rPr>
          <w:noProof/>
          <w:sz w:val="22"/>
          <w:szCs w:val="22"/>
        </w:rPr>
        <w:t xml:space="preserve">more </w:t>
      </w:r>
      <w:r w:rsidR="3227A2E6" w:rsidRPr="07868930">
        <w:rPr>
          <w:noProof/>
          <w:sz w:val="22"/>
          <w:szCs w:val="22"/>
        </w:rPr>
        <w:t>flexible</w:t>
      </w:r>
      <w:r w:rsidR="3227A2E6" w:rsidRPr="07868930" w:rsidDel="00C5502C">
        <w:rPr>
          <w:noProof/>
          <w:sz w:val="22"/>
          <w:szCs w:val="22"/>
        </w:rPr>
        <w:t xml:space="preserve"> </w:t>
      </w:r>
      <w:r w:rsidR="3227A2E6" w:rsidRPr="07868930">
        <w:rPr>
          <w:noProof/>
          <w:sz w:val="22"/>
          <w:szCs w:val="22"/>
        </w:rPr>
        <w:t>learning</w:t>
      </w:r>
      <w:r w:rsidR="00794379" w:rsidRPr="07868930">
        <w:rPr>
          <w:noProof/>
          <w:sz w:val="22"/>
          <w:szCs w:val="22"/>
        </w:rPr>
        <w:t xml:space="preserve"> pathways</w:t>
      </w:r>
      <w:r w:rsidR="3227A2E6" w:rsidRPr="07868930">
        <w:rPr>
          <w:noProof/>
          <w:sz w:val="22"/>
          <w:szCs w:val="22"/>
        </w:rPr>
        <w:t xml:space="preserve"> and </w:t>
      </w:r>
      <w:r w:rsidR="3DBB62DE" w:rsidRPr="07868930">
        <w:rPr>
          <w:noProof/>
          <w:sz w:val="22"/>
          <w:szCs w:val="22"/>
        </w:rPr>
        <w:t xml:space="preserve">netter </w:t>
      </w:r>
      <w:r w:rsidR="3227A2E6" w:rsidRPr="07868930">
        <w:rPr>
          <w:noProof/>
          <w:sz w:val="22"/>
          <w:szCs w:val="22"/>
        </w:rPr>
        <w:t>translation of</w:t>
      </w:r>
      <w:r w:rsidR="00794379" w:rsidRPr="07868930">
        <w:rPr>
          <w:noProof/>
          <w:sz w:val="22"/>
          <w:szCs w:val="22"/>
        </w:rPr>
        <w:t xml:space="preserve"> research outcomes into practical training content</w:t>
      </w:r>
      <w:r w:rsidR="0013178F" w:rsidRPr="07868930">
        <w:rPr>
          <w:noProof/>
          <w:sz w:val="22"/>
          <w:szCs w:val="22"/>
        </w:rPr>
        <w:t>. It will also require s</w:t>
      </w:r>
      <w:r w:rsidR="001F331D" w:rsidRPr="07868930">
        <w:rPr>
          <w:noProof/>
          <w:sz w:val="22"/>
          <w:szCs w:val="22"/>
        </w:rPr>
        <w:t xml:space="preserve">tronger efforts </w:t>
      </w:r>
      <w:r w:rsidR="0013178F" w:rsidRPr="07868930">
        <w:rPr>
          <w:noProof/>
          <w:sz w:val="22"/>
          <w:szCs w:val="22"/>
        </w:rPr>
        <w:t>to</w:t>
      </w:r>
      <w:r w:rsidR="00EB4F1B">
        <w:rPr>
          <w:noProof/>
          <w:sz w:val="22"/>
          <w:szCs w:val="22"/>
        </w:rPr>
        <w:t>wards</w:t>
      </w:r>
      <w:r w:rsidR="0013178F" w:rsidRPr="07868930">
        <w:rPr>
          <w:noProof/>
          <w:sz w:val="22"/>
          <w:szCs w:val="22"/>
        </w:rPr>
        <w:t xml:space="preserve"> attract and </w:t>
      </w:r>
      <w:r w:rsidR="00ED4226" w:rsidRPr="07868930">
        <w:rPr>
          <w:noProof/>
          <w:sz w:val="22"/>
          <w:szCs w:val="22"/>
        </w:rPr>
        <w:t>retain</w:t>
      </w:r>
      <w:r w:rsidR="001F331D" w:rsidRPr="07868930">
        <w:rPr>
          <w:noProof/>
          <w:sz w:val="22"/>
          <w:szCs w:val="22"/>
        </w:rPr>
        <w:t xml:space="preserve"> women in ICT studies and careers, </w:t>
      </w:r>
      <w:r w:rsidR="00ED4226" w:rsidRPr="07868930">
        <w:rPr>
          <w:noProof/>
          <w:sz w:val="22"/>
          <w:szCs w:val="22"/>
        </w:rPr>
        <w:t>more</w:t>
      </w:r>
      <w:r w:rsidR="001F331D" w:rsidRPr="07868930">
        <w:rPr>
          <w:rFonts w:cs="Calibri"/>
          <w:noProof/>
          <w:sz w:val="22"/>
          <w:szCs w:val="22"/>
        </w:rPr>
        <w:t xml:space="preserve"> support </w:t>
      </w:r>
      <w:r w:rsidR="00ED4226" w:rsidRPr="07868930">
        <w:rPr>
          <w:rFonts w:cs="Calibri"/>
          <w:noProof/>
          <w:sz w:val="22"/>
          <w:szCs w:val="22"/>
        </w:rPr>
        <w:t xml:space="preserve">for </w:t>
      </w:r>
      <w:r w:rsidR="001F331D" w:rsidRPr="00417E18">
        <w:rPr>
          <w:rFonts w:cs="Calibri"/>
          <w:noProof/>
          <w:sz w:val="22"/>
          <w:szCs w:val="22"/>
        </w:rPr>
        <w:t>workforce and in-company upskilling</w:t>
      </w:r>
      <w:r w:rsidR="16A6433B" w:rsidRPr="07868930">
        <w:rPr>
          <w:rFonts w:cs="Calibri"/>
          <w:noProof/>
          <w:sz w:val="22"/>
          <w:szCs w:val="22"/>
        </w:rPr>
        <w:t xml:space="preserve"> and greater</w:t>
      </w:r>
      <w:r w:rsidR="00F504A7" w:rsidRPr="00417E18">
        <w:rPr>
          <w:rFonts w:cs="Calibri"/>
          <w:noProof/>
          <w:sz w:val="22"/>
          <w:szCs w:val="22"/>
        </w:rPr>
        <w:t xml:space="preserve"> attention to the territorial and sectoral distribution of ICT talent, </w:t>
      </w:r>
      <w:r w:rsidR="00602D39" w:rsidRPr="07868930">
        <w:rPr>
          <w:rFonts w:cs="Calibri"/>
          <w:noProof/>
          <w:sz w:val="22"/>
          <w:szCs w:val="22"/>
        </w:rPr>
        <w:t>so that</w:t>
      </w:r>
      <w:r w:rsidR="00F504A7" w:rsidRPr="07868930">
        <w:rPr>
          <w:rFonts w:cs="Calibri"/>
          <w:noProof/>
          <w:sz w:val="22"/>
          <w:szCs w:val="22"/>
        </w:rPr>
        <w:t xml:space="preserve"> </w:t>
      </w:r>
      <w:r w:rsidR="00F504A7" w:rsidRPr="00417E18">
        <w:rPr>
          <w:rFonts w:cs="Calibri"/>
          <w:noProof/>
          <w:sz w:val="22"/>
          <w:szCs w:val="22"/>
        </w:rPr>
        <w:t xml:space="preserve">regions and smaller firms </w:t>
      </w:r>
      <w:r w:rsidRPr="07868930">
        <w:rPr>
          <w:rFonts w:cs="Calibri"/>
          <w:noProof/>
          <w:sz w:val="22"/>
          <w:szCs w:val="22"/>
        </w:rPr>
        <w:t>are not left behind</w:t>
      </w:r>
      <w:r w:rsidR="00F504A7" w:rsidRPr="00417E18">
        <w:rPr>
          <w:rFonts w:cs="Calibri"/>
          <w:noProof/>
          <w:sz w:val="22"/>
          <w:szCs w:val="22"/>
        </w:rPr>
        <w:t>.</w:t>
      </w:r>
    </w:p>
    <w:tbl>
      <w:tblPr>
        <w:tblStyle w:val="TableGrid"/>
        <w:tblW w:w="9356" w:type="dxa"/>
        <w:tblInd w:w="-5" w:type="dxa"/>
        <w:tblLook w:val="06A0" w:firstRow="1" w:lastRow="0" w:firstColumn="1" w:lastColumn="0" w:noHBand="1" w:noVBand="1"/>
      </w:tblPr>
      <w:tblGrid>
        <w:gridCol w:w="9356"/>
      </w:tblGrid>
      <w:tr w:rsidR="007A7777" w:rsidRPr="00417E18" w14:paraId="3842A283" w14:textId="77777777" w:rsidTr="001B7A04">
        <w:trPr>
          <w:trHeight w:val="300"/>
        </w:trPr>
        <w:tc>
          <w:tcPr>
            <w:tcW w:w="9356" w:type="dxa"/>
            <w:shd w:val="clear" w:color="auto" w:fill="D4F1EE"/>
          </w:tcPr>
          <w:p w14:paraId="35E2EB0D" w14:textId="1BEB3E58" w:rsidR="2F99F6DB" w:rsidRPr="00FA3032" w:rsidRDefault="2F99F6DB" w:rsidP="00FA3032">
            <w:pPr>
              <w:rPr>
                <w:b/>
                <w:noProof/>
              </w:rPr>
            </w:pPr>
            <w:r w:rsidRPr="00FA3032">
              <w:rPr>
                <w:b/>
                <w:noProof/>
              </w:rPr>
              <w:t xml:space="preserve">Recommendation: </w:t>
            </w:r>
          </w:p>
          <w:p w14:paraId="0527418F" w14:textId="09B2C73B" w:rsidR="00A213BB" w:rsidRPr="00417E18" w:rsidRDefault="070C676C" w:rsidP="009472C4">
            <w:pPr>
              <w:rPr>
                <w:rFonts w:eastAsia="Calibri" w:cs="Calibri"/>
                <w:noProof/>
              </w:rPr>
            </w:pPr>
            <w:r w:rsidRPr="00417E18">
              <w:rPr>
                <w:rFonts w:eastAsia="Calibri" w:cs="Calibri"/>
                <w:noProof/>
              </w:rPr>
              <w:t xml:space="preserve">In line with the STEM Education Strategic Plan, </w:t>
            </w:r>
            <w:r w:rsidR="00C5502C">
              <w:rPr>
                <w:rFonts w:eastAsia="Calibri" w:cs="Calibri"/>
                <w:noProof/>
              </w:rPr>
              <w:t>t</w:t>
            </w:r>
            <w:r w:rsidR="0040511F" w:rsidRPr="00417E18">
              <w:rPr>
                <w:rFonts w:eastAsia="Calibri" w:cs="Calibri"/>
                <w:noProof/>
              </w:rPr>
              <w:t xml:space="preserve">he Council Recommendation on human capital, </w:t>
            </w:r>
            <w:r w:rsidRPr="00417E18">
              <w:rPr>
                <w:rFonts w:eastAsia="Calibri" w:cs="Calibri"/>
                <w:noProof/>
              </w:rPr>
              <w:t>the Council Conclusions on European Competitiveness in the Digital Decade and the AI Continent Action Plan, Member States should support the expansion of the ICT workforce by:</w:t>
            </w:r>
          </w:p>
          <w:p w14:paraId="765D567D" w14:textId="522527A7" w:rsidR="00A213BB" w:rsidRPr="00417E18" w:rsidRDefault="3ACF902C" w:rsidP="00F36E2D">
            <w:pPr>
              <w:pStyle w:val="ListParagraph"/>
              <w:numPr>
                <w:ilvl w:val="0"/>
                <w:numId w:val="29"/>
              </w:numPr>
              <w:spacing w:before="60" w:after="120"/>
              <w:ind w:left="714" w:hanging="357"/>
              <w:contextualSpacing w:val="0"/>
              <w:rPr>
                <w:rFonts w:eastAsia="Calibri" w:cs="Calibri"/>
                <w:noProof/>
              </w:rPr>
            </w:pPr>
            <w:r w:rsidRPr="00417E18">
              <w:rPr>
                <w:rFonts w:eastAsia="Calibri" w:cs="Calibri"/>
                <w:noProof/>
              </w:rPr>
              <w:t>supporting early exposure of young people, particularly girls, to STEM education, and promoting access of women to ICT careers throughout the entire education and career pathway;</w:t>
            </w:r>
          </w:p>
          <w:p w14:paraId="409AA5C6" w14:textId="675EA8B7" w:rsidR="00A213BB" w:rsidRPr="00417E18" w:rsidRDefault="3ACF902C" w:rsidP="00F36E2D">
            <w:pPr>
              <w:pStyle w:val="ListParagraph"/>
              <w:numPr>
                <w:ilvl w:val="0"/>
                <w:numId w:val="29"/>
              </w:numPr>
              <w:spacing w:before="60" w:after="120"/>
              <w:ind w:left="714" w:hanging="357"/>
              <w:contextualSpacing w:val="0"/>
              <w:rPr>
                <w:rFonts w:eastAsia="Calibri" w:cs="Calibri"/>
                <w:noProof/>
              </w:rPr>
            </w:pPr>
            <w:r w:rsidRPr="00417E18">
              <w:rPr>
                <w:rFonts w:eastAsia="Calibri" w:cs="Calibri"/>
                <w:noProof/>
              </w:rPr>
              <w:t>promoting VET and lifelong learning in ICT and accelerating education and training course development in collaboration with industry, in particular through promoting and contributing to the EU Digital Skills Academies;</w:t>
            </w:r>
          </w:p>
          <w:p w14:paraId="5664106E" w14:textId="3618C6F3" w:rsidR="2F99F6DB" w:rsidRPr="00417E18" w:rsidRDefault="3ACF902C" w:rsidP="00F36E2D">
            <w:pPr>
              <w:pStyle w:val="ListParagraph"/>
              <w:numPr>
                <w:ilvl w:val="0"/>
                <w:numId w:val="29"/>
              </w:numPr>
              <w:spacing w:before="60" w:after="120"/>
              <w:ind w:left="714" w:hanging="357"/>
              <w:contextualSpacing w:val="0"/>
              <w:rPr>
                <w:rFonts w:eastAsia="Calibri" w:cs="Calibri"/>
                <w:noProof/>
              </w:rPr>
            </w:pPr>
            <w:r w:rsidRPr="00417E18">
              <w:rPr>
                <w:rFonts w:eastAsia="Calibri" w:cs="Calibri"/>
                <w:noProof/>
              </w:rPr>
              <w:t>expanding labour migration pathways to attract highly skilled ICT specialists from non-EU countries and incentivising the return of European ICT talent.</w:t>
            </w:r>
          </w:p>
        </w:tc>
      </w:tr>
    </w:tbl>
    <w:p w14:paraId="421BE492" w14:textId="3604D19F" w:rsidR="003E0BFA" w:rsidRPr="00417E18" w:rsidRDefault="6DA8BF6E" w:rsidP="00E11929">
      <w:pPr>
        <w:pStyle w:val="Heading3"/>
        <w:numPr>
          <w:ilvl w:val="2"/>
          <w:numId w:val="40"/>
        </w:numPr>
        <w:rPr>
          <w:noProof/>
        </w:rPr>
      </w:pPr>
      <w:bookmarkStart w:id="94" w:name="_Toc226710911"/>
      <w:bookmarkStart w:id="95" w:name="_Toc94991998"/>
      <w:bookmarkStart w:id="96" w:name="_Toc55332350"/>
      <w:bookmarkStart w:id="97" w:name="_Toc231830066"/>
      <w:r w:rsidRPr="00417E18">
        <w:rPr>
          <w:noProof/>
        </w:rPr>
        <w:t>Protecting people</w:t>
      </w:r>
      <w:r w:rsidR="0247D6A5" w:rsidRPr="78817B4D">
        <w:rPr>
          <w:noProof/>
        </w:rPr>
        <w:t>,</w:t>
      </w:r>
      <w:r w:rsidRPr="78817B4D">
        <w:rPr>
          <w:noProof/>
        </w:rPr>
        <w:t xml:space="preserve"> </w:t>
      </w:r>
      <w:r w:rsidR="27CB5FC9" w:rsidRPr="78817B4D">
        <w:rPr>
          <w:noProof/>
        </w:rPr>
        <w:t>in particular</w:t>
      </w:r>
      <w:r w:rsidRPr="00417E18">
        <w:rPr>
          <w:noProof/>
        </w:rPr>
        <w:t xml:space="preserve"> minor</w:t>
      </w:r>
      <w:r w:rsidR="168CF538" w:rsidRPr="00417E18">
        <w:rPr>
          <w:noProof/>
        </w:rPr>
        <w:t>s</w:t>
      </w:r>
      <w:r w:rsidR="72A08893" w:rsidRPr="78817B4D">
        <w:rPr>
          <w:noProof/>
        </w:rPr>
        <w:t>,</w:t>
      </w:r>
      <w:r w:rsidRPr="00417E18">
        <w:rPr>
          <w:noProof/>
        </w:rPr>
        <w:t xml:space="preserve"> in the online space</w:t>
      </w:r>
      <w:bookmarkEnd w:id="94"/>
      <w:bookmarkEnd w:id="95"/>
      <w:bookmarkEnd w:id="96"/>
      <w:bookmarkEnd w:id="97"/>
    </w:p>
    <w:p w14:paraId="526B7FEB" w14:textId="523D376B" w:rsidR="00614B1F" w:rsidRPr="00417E18" w:rsidRDefault="142C0C4C">
      <w:pPr>
        <w:rPr>
          <w:noProof/>
          <w:sz w:val="22"/>
          <w:szCs w:val="22"/>
        </w:rPr>
      </w:pPr>
      <w:r w:rsidRPr="00417E18">
        <w:rPr>
          <w:noProof/>
          <w:sz w:val="22"/>
          <w:szCs w:val="22"/>
        </w:rPr>
        <w:t xml:space="preserve">Protecting citizens, </w:t>
      </w:r>
      <w:r w:rsidR="1D038036" w:rsidRPr="78817B4D">
        <w:rPr>
          <w:noProof/>
          <w:sz w:val="22"/>
          <w:szCs w:val="22"/>
        </w:rPr>
        <w:t>in particular</w:t>
      </w:r>
      <w:r w:rsidRPr="00417E18">
        <w:rPr>
          <w:noProof/>
          <w:sz w:val="22"/>
          <w:szCs w:val="22"/>
        </w:rPr>
        <w:t xml:space="preserve"> minors, from harmful and misleading content online remains one of the most pressing challenges of the digital age.</w:t>
      </w:r>
      <w:r w:rsidR="386445E2" w:rsidRPr="00417E18">
        <w:rPr>
          <w:noProof/>
          <w:sz w:val="22"/>
          <w:szCs w:val="22"/>
        </w:rPr>
        <w:t xml:space="preserve"> </w:t>
      </w:r>
      <w:r w:rsidR="4CEA444A" w:rsidRPr="00417E18">
        <w:rPr>
          <w:noProof/>
          <w:sz w:val="22"/>
          <w:szCs w:val="22"/>
        </w:rPr>
        <w:t xml:space="preserve">In 2025, 55.9% of </w:t>
      </w:r>
      <w:r w:rsidR="13D7217F" w:rsidRPr="00417E18">
        <w:rPr>
          <w:noProof/>
          <w:sz w:val="22"/>
          <w:szCs w:val="22"/>
        </w:rPr>
        <w:t>EU</w:t>
      </w:r>
      <w:r w:rsidR="0B0B3484" w:rsidRPr="00417E18">
        <w:rPr>
          <w:noProof/>
          <w:sz w:val="22"/>
          <w:szCs w:val="22"/>
        </w:rPr>
        <w:t xml:space="preserve"> citizens </w:t>
      </w:r>
      <w:r w:rsidR="4CEA444A" w:rsidRPr="00417E18">
        <w:rPr>
          <w:noProof/>
          <w:sz w:val="22"/>
          <w:szCs w:val="22"/>
        </w:rPr>
        <w:t xml:space="preserve">aged 16-74 declared having </w:t>
      </w:r>
      <w:r w:rsidR="0B0B3484" w:rsidRPr="00417E18">
        <w:rPr>
          <w:noProof/>
          <w:sz w:val="22"/>
          <w:szCs w:val="22"/>
        </w:rPr>
        <w:t>been</w:t>
      </w:r>
      <w:r w:rsidR="4CEA444A" w:rsidRPr="00417E18">
        <w:rPr>
          <w:noProof/>
          <w:sz w:val="22"/>
          <w:szCs w:val="22"/>
        </w:rPr>
        <w:t xml:space="preserve"> exposed to untrue or doubtful content </w:t>
      </w:r>
      <w:r w:rsidR="0B0B3484" w:rsidRPr="00417E18">
        <w:rPr>
          <w:noProof/>
          <w:sz w:val="22"/>
          <w:szCs w:val="22"/>
        </w:rPr>
        <w:t>onlin</w:t>
      </w:r>
      <w:r w:rsidR="5C6B38BF" w:rsidRPr="00417E18">
        <w:rPr>
          <w:noProof/>
          <w:sz w:val="22"/>
          <w:szCs w:val="22"/>
        </w:rPr>
        <w:t>e</w:t>
      </w:r>
      <w:r w:rsidR="0B0B3484" w:rsidRPr="00417E18">
        <w:rPr>
          <w:noProof/>
          <w:sz w:val="22"/>
          <w:szCs w:val="22"/>
        </w:rPr>
        <w:t xml:space="preserve">, </w:t>
      </w:r>
      <w:r w:rsidR="4CEA444A" w:rsidRPr="00417E18">
        <w:rPr>
          <w:noProof/>
          <w:sz w:val="22"/>
          <w:szCs w:val="22"/>
        </w:rPr>
        <w:t xml:space="preserve">an increase from 49.25% </w:t>
      </w:r>
      <w:r w:rsidR="7551A702" w:rsidRPr="00417E18">
        <w:rPr>
          <w:noProof/>
          <w:sz w:val="22"/>
          <w:szCs w:val="22"/>
        </w:rPr>
        <w:t>since</w:t>
      </w:r>
      <w:r w:rsidR="4CEA444A" w:rsidRPr="00417E18">
        <w:rPr>
          <w:noProof/>
          <w:sz w:val="22"/>
          <w:szCs w:val="22"/>
        </w:rPr>
        <w:t xml:space="preserve"> 2023</w:t>
      </w:r>
      <w:r w:rsidR="77878F16" w:rsidRPr="07868930">
        <w:rPr>
          <w:noProof/>
          <w:sz w:val="22"/>
          <w:szCs w:val="22"/>
        </w:rPr>
        <w:t>. This corresponds to</w:t>
      </w:r>
      <w:r w:rsidR="4CEA444A" w:rsidRPr="00417E18">
        <w:rPr>
          <w:noProof/>
          <w:sz w:val="22"/>
          <w:szCs w:val="22"/>
        </w:rPr>
        <w:t xml:space="preserve"> an annual growth rate of 6.5 percentage points. This trend is also observed in the younger population, with 61.66% of individuals aged 16 to 24 exposed in 2023, increasing to 66.34% in 2025, reflecting an annual growth rate of 3.7 percentage points. There is a notable gap favouring young people, with a difference of 7.77 percentage points between those aged 16-24 and those aged 25-64. For the latter group, the exposure increased from 51.7% in 2023 to 58.57% in 2025, with an annual growth rate of 6.4 percentage points.</w:t>
      </w:r>
    </w:p>
    <w:p w14:paraId="2619DFF0" w14:textId="28968045" w:rsidR="00DD14DC" w:rsidRPr="00417E18" w:rsidRDefault="4CEA444A" w:rsidP="51D60B84">
      <w:pPr>
        <w:rPr>
          <w:noProof/>
          <w:sz w:val="22"/>
          <w:szCs w:val="22"/>
        </w:rPr>
      </w:pPr>
      <w:r w:rsidRPr="00417E18">
        <w:rPr>
          <w:noProof/>
          <w:sz w:val="22"/>
          <w:szCs w:val="22"/>
        </w:rPr>
        <w:t>Turning to online verification of information, the European Union saw an increase from 24.29% in 2023 to 29.16% in 2025 for all individuals aged 16-74, indicating an annual growth rate of 9.6 percentage points. Among individuals aged 16 to 24, the percentage increased from 34.68% in 2023 to 39.49% in 2025, with an annual growth rate of 6.7 percentage points. The gap between young people and those aged 25-64 is 9.09 percentage points. For individuals aged 25 to 64, the percentage rose from 25.18% in 2023 to 30.4% in 2025, with an annual growth rate of 9.9 percentage points.</w:t>
      </w:r>
    </w:p>
    <w:p w14:paraId="7EA6C93F" w14:textId="79FCB2AF" w:rsidR="00DD14DC" w:rsidRPr="00417E18" w:rsidRDefault="4CEA444A" w:rsidP="51D60B84">
      <w:pPr>
        <w:rPr>
          <w:noProof/>
          <w:sz w:val="22"/>
          <w:szCs w:val="22"/>
        </w:rPr>
      </w:pPr>
      <w:r w:rsidRPr="00417E18">
        <w:rPr>
          <w:noProof/>
          <w:sz w:val="22"/>
          <w:szCs w:val="22"/>
        </w:rPr>
        <w:t>Regarding online exposure to hostile or degrading messages, the European Union experienced an increase from 33.5% in 2023 to 39.72% in 2025 for all individuals aged 16-74, reflecting an annual growth rate of 8.9 percentage points. For those aged 16 to 24, the exposure increased from 47.54% in 2023 to 52.99% in 2025, with an annual growth rate of 5.6 percentage points. The gap between young people and those aged 25-64 is 11.85 percentage points. For individuals aged 25 to 64, the exposure rose from 34.53% in 2023 to 41.14% in 2025, with an annual growth rate of 9.2 percentage points.</w:t>
      </w:r>
    </w:p>
    <w:p w14:paraId="7AF790C0" w14:textId="4D11DDA3" w:rsidR="4CEA444A" w:rsidRPr="00417E18" w:rsidRDefault="4CEA444A" w:rsidP="51D60B84">
      <w:pPr>
        <w:rPr>
          <w:noProof/>
          <w:sz w:val="22"/>
          <w:szCs w:val="22"/>
        </w:rPr>
      </w:pPr>
      <w:r w:rsidRPr="00417E18">
        <w:rPr>
          <w:noProof/>
          <w:sz w:val="22"/>
          <w:szCs w:val="22"/>
        </w:rPr>
        <w:t xml:space="preserve">In summary, the data from the </w:t>
      </w:r>
      <w:r w:rsidR="00790DD7">
        <w:rPr>
          <w:noProof/>
          <w:sz w:val="22"/>
          <w:szCs w:val="22"/>
        </w:rPr>
        <w:t>Eurostat</w:t>
      </w:r>
      <w:r w:rsidRPr="00417E18">
        <w:rPr>
          <w:noProof/>
          <w:sz w:val="22"/>
          <w:szCs w:val="22"/>
        </w:rPr>
        <w:t xml:space="preserve"> surveys reveals a consistent increase in online exposure to both untrue or doubtful content and hostile or degrading messages among EU citizens from 2023 to 2025</w:t>
      </w:r>
      <w:r w:rsidR="464519F3" w:rsidRPr="00417E18">
        <w:rPr>
          <w:noProof/>
          <w:sz w:val="22"/>
          <w:szCs w:val="22"/>
        </w:rPr>
        <w:t xml:space="preserve">, with younger individuals </w:t>
      </w:r>
      <w:r w:rsidR="0E25F7F4" w:rsidRPr="00417E18">
        <w:rPr>
          <w:noProof/>
          <w:sz w:val="22"/>
          <w:szCs w:val="22"/>
        </w:rPr>
        <w:t xml:space="preserve">particularly </w:t>
      </w:r>
      <w:r w:rsidR="0936A24B" w:rsidRPr="00417E18">
        <w:rPr>
          <w:noProof/>
          <w:sz w:val="22"/>
          <w:szCs w:val="22"/>
        </w:rPr>
        <w:t>at risk</w:t>
      </w:r>
      <w:r w:rsidRPr="00417E18">
        <w:rPr>
          <w:noProof/>
          <w:sz w:val="22"/>
          <w:szCs w:val="22"/>
        </w:rPr>
        <w:t>.</w:t>
      </w:r>
      <w:r w:rsidR="736603C9" w:rsidRPr="00417E18">
        <w:rPr>
          <w:noProof/>
          <w:sz w:val="22"/>
          <w:szCs w:val="22"/>
        </w:rPr>
        <w:t xml:space="preserve"> Encouragingly, this is accompanied by an</w:t>
      </w:r>
      <w:r w:rsidR="08760037" w:rsidRPr="00417E18">
        <w:rPr>
          <w:noProof/>
          <w:sz w:val="22"/>
          <w:szCs w:val="22"/>
        </w:rPr>
        <w:t xml:space="preserve"> increase in the</w:t>
      </w:r>
      <w:r w:rsidR="46705999" w:rsidRPr="00417E18">
        <w:rPr>
          <w:noProof/>
          <w:sz w:val="22"/>
          <w:szCs w:val="22"/>
        </w:rPr>
        <w:t xml:space="preserve"> practice of information verification</w:t>
      </w:r>
      <w:r w:rsidR="08760037" w:rsidRPr="00417E18">
        <w:rPr>
          <w:noProof/>
          <w:sz w:val="22"/>
          <w:szCs w:val="22"/>
        </w:rPr>
        <w:t xml:space="preserve">, again </w:t>
      </w:r>
      <w:r w:rsidR="63433590" w:rsidRPr="00417E18">
        <w:rPr>
          <w:noProof/>
          <w:sz w:val="22"/>
          <w:szCs w:val="22"/>
        </w:rPr>
        <w:t>most pronounced among</w:t>
      </w:r>
      <w:r w:rsidR="08760037" w:rsidRPr="00417E18">
        <w:rPr>
          <w:noProof/>
          <w:sz w:val="22"/>
          <w:szCs w:val="22"/>
        </w:rPr>
        <w:t xml:space="preserve"> younger individuals.</w:t>
      </w:r>
      <w:r w:rsidR="236BB310" w:rsidRPr="00417E18">
        <w:rPr>
          <w:noProof/>
          <w:sz w:val="22"/>
          <w:szCs w:val="22"/>
        </w:rPr>
        <w:t xml:space="preserve"> </w:t>
      </w:r>
      <w:r w:rsidR="00FB3B81" w:rsidRPr="00417E18">
        <w:rPr>
          <w:noProof/>
          <w:sz w:val="22"/>
          <w:szCs w:val="22"/>
        </w:rPr>
        <w:t>While</w:t>
      </w:r>
      <w:r w:rsidRPr="00417E18">
        <w:rPr>
          <w:noProof/>
          <w:sz w:val="22"/>
          <w:szCs w:val="22"/>
        </w:rPr>
        <w:t xml:space="preserve"> these trends </w:t>
      </w:r>
      <w:r w:rsidR="6655A885" w:rsidRPr="00417E18">
        <w:rPr>
          <w:noProof/>
          <w:sz w:val="22"/>
          <w:szCs w:val="22"/>
        </w:rPr>
        <w:t>suggest</w:t>
      </w:r>
      <w:r w:rsidRPr="00417E18">
        <w:rPr>
          <w:noProof/>
          <w:sz w:val="22"/>
          <w:szCs w:val="22"/>
        </w:rPr>
        <w:t xml:space="preserve"> a growing awareness </w:t>
      </w:r>
      <w:r w:rsidR="6655A885" w:rsidRPr="00417E18">
        <w:rPr>
          <w:noProof/>
          <w:sz w:val="22"/>
          <w:szCs w:val="22"/>
        </w:rPr>
        <w:t>of online risks, the overall picture underlines the need</w:t>
      </w:r>
      <w:r w:rsidRPr="00417E18">
        <w:rPr>
          <w:noProof/>
          <w:sz w:val="22"/>
          <w:szCs w:val="22"/>
        </w:rPr>
        <w:t xml:space="preserve"> for policymakers to enhance digital literacy </w:t>
      </w:r>
      <w:r w:rsidR="6655A885" w:rsidRPr="00417E18">
        <w:rPr>
          <w:noProof/>
          <w:sz w:val="22"/>
          <w:szCs w:val="22"/>
        </w:rPr>
        <w:t>programmes</w:t>
      </w:r>
      <w:r w:rsidRPr="00417E18">
        <w:rPr>
          <w:noProof/>
          <w:sz w:val="22"/>
          <w:szCs w:val="22"/>
        </w:rPr>
        <w:t xml:space="preserve"> and strengthen measures to protect EU citizens in the digital space. The significant gaps between age groups should be considered when designing targeted interventions.</w:t>
      </w:r>
    </w:p>
    <w:p w14:paraId="27B3E1C5" w14:textId="67C384A5" w:rsidR="0700A5BA" w:rsidRPr="00FA3032" w:rsidRDefault="0370DEC6" w:rsidP="54371C35">
      <w:pPr>
        <w:rPr>
          <w:rFonts w:ascii="Cambria" w:eastAsia="Cambria" w:hAnsi="Cambria" w:cs="Cambria"/>
          <w:b/>
          <w:noProof/>
          <w:sz w:val="22"/>
          <w:szCs w:val="22"/>
        </w:rPr>
      </w:pPr>
      <w:r w:rsidRPr="00FA3032">
        <w:rPr>
          <w:b/>
          <w:noProof/>
          <w:sz w:val="22"/>
          <w:szCs w:val="22"/>
        </w:rPr>
        <w:t>Preserving information integrity</w:t>
      </w:r>
    </w:p>
    <w:p w14:paraId="2EC3E3A8" w14:textId="40B8F0C1" w:rsidR="0370DEC6" w:rsidRPr="00417E18" w:rsidRDefault="0370DEC6" w:rsidP="56DE3725">
      <w:pPr>
        <w:rPr>
          <w:noProof/>
          <w:sz w:val="22"/>
          <w:szCs w:val="22"/>
        </w:rPr>
      </w:pPr>
      <w:r w:rsidRPr="00417E18">
        <w:rPr>
          <w:noProof/>
          <w:sz w:val="22"/>
          <w:szCs w:val="22"/>
        </w:rPr>
        <w:t>With the digitalisation of the information space, citizens increasingly face challenges in accessing a plurality of information from independent and reliable sources. The 2025 Media Pluralism Monitor shows that there is a</w:t>
      </w:r>
      <w:r w:rsidRPr="00417E18">
        <w:rPr>
          <w:b/>
          <w:bCs/>
          <w:noProof/>
          <w:sz w:val="22"/>
          <w:szCs w:val="22"/>
        </w:rPr>
        <w:t xml:space="preserve"> medium to high risk to media pluralism in 23 EU Member States.</w:t>
      </w:r>
      <w:r w:rsidRPr="00417E18">
        <w:rPr>
          <w:noProof/>
          <w:sz w:val="22"/>
          <w:szCs w:val="22"/>
        </w:rPr>
        <w:t xml:space="preserve"> </w:t>
      </w:r>
      <w:r w:rsidR="35E807D2" w:rsidRPr="00417E18">
        <w:rPr>
          <w:noProof/>
          <w:sz w:val="22"/>
          <w:szCs w:val="22"/>
        </w:rPr>
        <w:t>Additionally</w:t>
      </w:r>
      <w:r w:rsidRPr="00417E18">
        <w:rPr>
          <w:noProof/>
          <w:sz w:val="22"/>
          <w:szCs w:val="22"/>
        </w:rPr>
        <w:t>, online platforms and AI services increasingly capture news revenues</w:t>
      </w:r>
      <w:r w:rsidR="00EB73F6">
        <w:rPr>
          <w:noProof/>
          <w:sz w:val="22"/>
          <w:szCs w:val="22"/>
        </w:rPr>
        <w:t>,</w:t>
      </w:r>
      <w:r w:rsidR="739F1B3A" w:rsidRPr="00417E18">
        <w:rPr>
          <w:noProof/>
          <w:sz w:val="22"/>
          <w:szCs w:val="22"/>
        </w:rPr>
        <w:t xml:space="preserve"> putting</w:t>
      </w:r>
      <w:r w:rsidRPr="00417E18">
        <w:rPr>
          <w:noProof/>
          <w:sz w:val="22"/>
          <w:szCs w:val="22"/>
        </w:rPr>
        <w:t xml:space="preserve"> the news sector under significant economic pressure, ultimately threatening media independence and pluralism.</w:t>
      </w:r>
      <w:r w:rsidR="15485586" w:rsidRPr="00417E18">
        <w:rPr>
          <w:noProof/>
          <w:sz w:val="22"/>
          <w:szCs w:val="22"/>
        </w:rPr>
        <w:t xml:space="preserve"> </w:t>
      </w:r>
      <w:r w:rsidRPr="00417E18">
        <w:rPr>
          <w:noProof/>
          <w:sz w:val="22"/>
          <w:szCs w:val="22"/>
        </w:rPr>
        <w:t>This shows the need to strengthen financing mechanisms for news media, in ways that respect media independence</w:t>
      </w:r>
      <w:r w:rsidR="5AABA7ED" w:rsidRPr="00417E18">
        <w:rPr>
          <w:noProof/>
          <w:sz w:val="22"/>
          <w:szCs w:val="22"/>
        </w:rPr>
        <w:t>, as well as</w:t>
      </w:r>
      <w:r w:rsidRPr="00417E18">
        <w:rPr>
          <w:noProof/>
          <w:sz w:val="22"/>
          <w:szCs w:val="22"/>
        </w:rPr>
        <w:t xml:space="preserve"> to support news organisations in better harnessing new technological tools.</w:t>
      </w:r>
    </w:p>
    <w:p w14:paraId="4857C656" w14:textId="0A8FC449" w:rsidR="001757D9" w:rsidRPr="00417E18" w:rsidRDefault="001757D9" w:rsidP="56DE3725">
      <w:pPr>
        <w:rPr>
          <w:noProof/>
          <w:sz w:val="22"/>
          <w:szCs w:val="22"/>
        </w:rPr>
      </w:pPr>
      <w:r w:rsidRPr="6DE9EE0A">
        <w:rPr>
          <w:noProof/>
          <w:sz w:val="22"/>
          <w:szCs w:val="22"/>
        </w:rPr>
        <w:t>To counter the escalating threats of disinformation, foreign interference, and algorithmic amplification of harmful content</w:t>
      </w:r>
      <w:r w:rsidR="0040130A" w:rsidRPr="6DE9EE0A">
        <w:rPr>
          <w:noProof/>
          <w:sz w:val="22"/>
          <w:szCs w:val="22"/>
        </w:rPr>
        <w:t>,</w:t>
      </w:r>
      <w:r w:rsidR="0063743C" w:rsidRPr="6DE9EE0A">
        <w:rPr>
          <w:noProof/>
          <w:sz w:val="22"/>
          <w:szCs w:val="22"/>
        </w:rPr>
        <w:t xml:space="preserve"> </w:t>
      </w:r>
      <w:r w:rsidRPr="6DE9EE0A">
        <w:rPr>
          <w:noProof/>
          <w:sz w:val="22"/>
          <w:szCs w:val="22"/>
        </w:rPr>
        <w:t>evidenced by the 6.5 percentage-point annual increase in exposure to untrue or doubtful content (2023</w:t>
      </w:r>
      <w:r w:rsidR="00944EB1" w:rsidRPr="6DE9EE0A">
        <w:rPr>
          <w:noProof/>
          <w:sz w:val="22"/>
          <w:szCs w:val="22"/>
        </w:rPr>
        <w:t>-</w:t>
      </w:r>
      <w:r w:rsidRPr="6DE9EE0A">
        <w:rPr>
          <w:noProof/>
          <w:sz w:val="22"/>
          <w:szCs w:val="22"/>
        </w:rPr>
        <w:t>2025) and the growing fragmentation of media pluralism</w:t>
      </w:r>
      <w:r w:rsidR="0040130A" w:rsidRPr="6DE9EE0A">
        <w:rPr>
          <w:noProof/>
          <w:sz w:val="22"/>
          <w:szCs w:val="22"/>
        </w:rPr>
        <w:t xml:space="preserve">, </w:t>
      </w:r>
      <w:r w:rsidRPr="6DE9EE0A">
        <w:rPr>
          <w:noProof/>
          <w:sz w:val="22"/>
          <w:szCs w:val="22"/>
        </w:rPr>
        <w:t>Member States must fully utilise the</w:t>
      </w:r>
      <w:r w:rsidR="222BC226" w:rsidRPr="6DE9EE0A">
        <w:rPr>
          <w:noProof/>
          <w:sz w:val="22"/>
          <w:szCs w:val="22"/>
        </w:rPr>
        <w:t xml:space="preserve"> </w:t>
      </w:r>
      <w:r w:rsidR="005C33F3">
        <w:rPr>
          <w:noProof/>
          <w:sz w:val="22"/>
          <w:szCs w:val="22"/>
        </w:rPr>
        <w:t xml:space="preserve">EU’s </w:t>
      </w:r>
      <w:r w:rsidR="222BC226" w:rsidRPr="6DE9EE0A">
        <w:rPr>
          <w:noProof/>
          <w:sz w:val="22"/>
          <w:szCs w:val="22"/>
        </w:rPr>
        <w:t xml:space="preserve">existing legislative framework </w:t>
      </w:r>
      <w:r w:rsidR="00BD00CD">
        <w:rPr>
          <w:noProof/>
          <w:sz w:val="22"/>
          <w:szCs w:val="22"/>
        </w:rPr>
        <w:t>and non-binding</w:t>
      </w:r>
      <w:r w:rsidR="222BC226" w:rsidRPr="6DE9EE0A">
        <w:rPr>
          <w:noProof/>
          <w:sz w:val="22"/>
          <w:szCs w:val="22"/>
        </w:rPr>
        <w:t xml:space="preserve"> </w:t>
      </w:r>
      <w:r w:rsidR="3660D932" w:rsidRPr="3FE3A4A2">
        <w:rPr>
          <w:noProof/>
          <w:sz w:val="22"/>
          <w:szCs w:val="22"/>
        </w:rPr>
        <w:t>instruments</w:t>
      </w:r>
      <w:r w:rsidR="55A5E50C" w:rsidRPr="3FE3A4A2">
        <w:rPr>
          <w:noProof/>
          <w:sz w:val="22"/>
          <w:szCs w:val="22"/>
        </w:rPr>
        <w:t>.</w:t>
      </w:r>
      <w:r w:rsidR="00BD00CD">
        <w:rPr>
          <w:noProof/>
          <w:sz w:val="22"/>
          <w:szCs w:val="22"/>
        </w:rPr>
        <w:t xml:space="preserve"> These include</w:t>
      </w:r>
      <w:r w:rsidR="222BC226" w:rsidRPr="6DE9EE0A">
        <w:rPr>
          <w:noProof/>
          <w:sz w:val="22"/>
          <w:szCs w:val="22"/>
        </w:rPr>
        <w:t xml:space="preserve"> the</w:t>
      </w:r>
      <w:r w:rsidRPr="6DE9EE0A">
        <w:rPr>
          <w:noProof/>
          <w:sz w:val="22"/>
          <w:szCs w:val="22"/>
        </w:rPr>
        <w:t xml:space="preserve"> Digital Services Act (DSA)</w:t>
      </w:r>
      <w:r w:rsidR="47237ADC" w:rsidRPr="6DE9EE0A">
        <w:rPr>
          <w:noProof/>
          <w:sz w:val="22"/>
          <w:szCs w:val="22"/>
        </w:rPr>
        <w:t>, the Political Advertising Regulation, the AI Act</w:t>
      </w:r>
      <w:r w:rsidR="00BD00CD">
        <w:rPr>
          <w:noProof/>
          <w:sz w:val="22"/>
          <w:szCs w:val="22"/>
        </w:rPr>
        <w:t>,</w:t>
      </w:r>
      <w:r w:rsidR="47237ADC" w:rsidRPr="6DE9EE0A">
        <w:rPr>
          <w:noProof/>
          <w:sz w:val="22"/>
          <w:szCs w:val="22"/>
        </w:rPr>
        <w:t xml:space="preserve"> and the European Media Freedom Act</w:t>
      </w:r>
      <w:r w:rsidR="00837D41">
        <w:rPr>
          <w:noProof/>
          <w:sz w:val="22"/>
          <w:szCs w:val="22"/>
        </w:rPr>
        <w:t xml:space="preserve"> </w:t>
      </w:r>
      <w:r w:rsidR="00EB0985">
        <w:rPr>
          <w:noProof/>
          <w:sz w:val="22"/>
          <w:szCs w:val="22"/>
        </w:rPr>
        <w:t>(EMFA)</w:t>
      </w:r>
      <w:r w:rsidR="47237ADC" w:rsidRPr="6DE9EE0A">
        <w:rPr>
          <w:noProof/>
          <w:sz w:val="22"/>
          <w:szCs w:val="22"/>
        </w:rPr>
        <w:t>,</w:t>
      </w:r>
      <w:r w:rsidRPr="6DE9EE0A">
        <w:rPr>
          <w:noProof/>
          <w:sz w:val="22"/>
          <w:szCs w:val="22"/>
        </w:rPr>
        <w:t xml:space="preserve"> as </w:t>
      </w:r>
      <w:r w:rsidR="5D1FD31C" w:rsidRPr="467605CD">
        <w:rPr>
          <w:noProof/>
          <w:sz w:val="22"/>
          <w:szCs w:val="22"/>
        </w:rPr>
        <w:t xml:space="preserve">well as the </w:t>
      </w:r>
      <w:r w:rsidR="001E164B">
        <w:rPr>
          <w:noProof/>
          <w:sz w:val="22"/>
          <w:szCs w:val="22"/>
        </w:rPr>
        <w:t xml:space="preserve">voluntary </w:t>
      </w:r>
      <w:r w:rsidR="5D1FD31C" w:rsidRPr="467605CD">
        <w:rPr>
          <w:noProof/>
          <w:sz w:val="22"/>
          <w:szCs w:val="22"/>
        </w:rPr>
        <w:t xml:space="preserve">Code of Conduct on </w:t>
      </w:r>
      <w:r w:rsidR="5D1FD31C" w:rsidRPr="3DB22E0A">
        <w:rPr>
          <w:noProof/>
          <w:sz w:val="22"/>
          <w:szCs w:val="22"/>
        </w:rPr>
        <w:t xml:space="preserve">Disinformation, </w:t>
      </w:r>
      <w:r w:rsidR="00B6673A">
        <w:rPr>
          <w:noProof/>
          <w:sz w:val="22"/>
          <w:szCs w:val="22"/>
        </w:rPr>
        <w:t>which taken together form</w:t>
      </w:r>
      <w:r w:rsidR="6201CACB" w:rsidRPr="3DB22E0A">
        <w:rPr>
          <w:noProof/>
          <w:sz w:val="22"/>
          <w:szCs w:val="22"/>
        </w:rPr>
        <w:t xml:space="preserve"> </w:t>
      </w:r>
      <w:r w:rsidRPr="6DE9EE0A">
        <w:rPr>
          <w:noProof/>
          <w:sz w:val="22"/>
          <w:szCs w:val="22"/>
        </w:rPr>
        <w:t xml:space="preserve">a cornerstone for systemic resilience. </w:t>
      </w:r>
      <w:r w:rsidR="00CB1E36">
        <w:rPr>
          <w:noProof/>
          <w:sz w:val="22"/>
          <w:szCs w:val="22"/>
        </w:rPr>
        <w:t xml:space="preserve">Several measures under </w:t>
      </w:r>
      <w:r w:rsidRPr="6DE9EE0A">
        <w:rPr>
          <w:noProof/>
          <w:sz w:val="22"/>
          <w:szCs w:val="22"/>
        </w:rPr>
        <w:t xml:space="preserve">the European Democracy Shield (EDS) </w:t>
      </w:r>
      <w:r w:rsidR="00CB1E36">
        <w:rPr>
          <w:noProof/>
          <w:sz w:val="22"/>
          <w:szCs w:val="22"/>
        </w:rPr>
        <w:t>as well as the</w:t>
      </w:r>
      <w:r w:rsidRPr="6DE9EE0A" w:rsidDel="00CB1E36">
        <w:rPr>
          <w:noProof/>
          <w:sz w:val="22"/>
          <w:szCs w:val="22"/>
        </w:rPr>
        <w:t xml:space="preserve"> </w:t>
      </w:r>
      <w:r w:rsidRPr="6DE9EE0A">
        <w:rPr>
          <w:noProof/>
          <w:sz w:val="22"/>
          <w:szCs w:val="22"/>
        </w:rPr>
        <w:t xml:space="preserve">EDMO Hubs provide </w:t>
      </w:r>
      <w:r w:rsidR="0DABBD4B" w:rsidRPr="6DE9EE0A">
        <w:rPr>
          <w:noProof/>
          <w:sz w:val="22"/>
          <w:szCs w:val="22"/>
        </w:rPr>
        <w:t>important supportive</w:t>
      </w:r>
      <w:r w:rsidRPr="6DE9EE0A">
        <w:rPr>
          <w:noProof/>
          <w:sz w:val="22"/>
          <w:szCs w:val="22"/>
        </w:rPr>
        <w:t xml:space="preserve"> frameworks, </w:t>
      </w:r>
      <w:r w:rsidR="002B653F">
        <w:rPr>
          <w:noProof/>
          <w:sz w:val="22"/>
          <w:szCs w:val="22"/>
        </w:rPr>
        <w:t xml:space="preserve">which complement efforts to ensure </w:t>
      </w:r>
      <w:r w:rsidRPr="6DE9EE0A">
        <w:rPr>
          <w:noProof/>
          <w:sz w:val="22"/>
          <w:szCs w:val="22"/>
        </w:rPr>
        <w:t>rigorous, coordinated enforcement of</w:t>
      </w:r>
      <w:r w:rsidR="068FB84D" w:rsidRPr="6DE9EE0A">
        <w:rPr>
          <w:noProof/>
          <w:sz w:val="22"/>
          <w:szCs w:val="22"/>
        </w:rPr>
        <w:t xml:space="preserve"> relevant EU legislative frameworks,</w:t>
      </w:r>
      <w:r w:rsidRPr="6DE9EE0A" w:rsidDel="001757D9">
        <w:rPr>
          <w:noProof/>
          <w:sz w:val="22"/>
          <w:szCs w:val="22"/>
        </w:rPr>
        <w:t xml:space="preserve"> </w:t>
      </w:r>
      <w:r w:rsidRPr="00417E18">
        <w:rPr>
          <w:noProof/>
          <w:sz w:val="22"/>
          <w:szCs w:val="22"/>
        </w:rPr>
        <w:t>both</w:t>
      </w:r>
      <w:r w:rsidRPr="6DE9EE0A" w:rsidDel="001757D9">
        <w:rPr>
          <w:noProof/>
          <w:sz w:val="22"/>
          <w:szCs w:val="22"/>
        </w:rPr>
        <w:t xml:space="preserve"> at</w:t>
      </w:r>
      <w:r w:rsidRPr="6DE9EE0A">
        <w:rPr>
          <w:noProof/>
          <w:sz w:val="22"/>
          <w:szCs w:val="22"/>
        </w:rPr>
        <w:t xml:space="preserve"> EU and national levels.</w:t>
      </w:r>
    </w:p>
    <w:p w14:paraId="15B4342D" w14:textId="74F8865B" w:rsidR="7B197B28" w:rsidRPr="00417E18" w:rsidRDefault="0C8F482D" w:rsidP="72B4AD85">
      <w:pPr>
        <w:spacing w:before="200" w:after="120" w:line="276" w:lineRule="auto"/>
        <w:rPr>
          <w:noProof/>
          <w:sz w:val="22"/>
          <w:szCs w:val="22"/>
        </w:rPr>
      </w:pPr>
      <w:r w:rsidRPr="00417E18">
        <w:rPr>
          <w:b/>
          <w:bCs/>
          <w:noProof/>
          <w:sz w:val="22"/>
          <w:szCs w:val="22"/>
        </w:rPr>
        <w:t>Generative AI</w:t>
      </w:r>
      <w:r w:rsidRPr="00417E18">
        <w:rPr>
          <w:noProof/>
          <w:sz w:val="22"/>
          <w:szCs w:val="22"/>
        </w:rPr>
        <w:t xml:space="preserve"> represents another evolving challenge.</w:t>
      </w:r>
      <w:r w:rsidR="5B43515C" w:rsidRPr="00417E18">
        <w:rPr>
          <w:noProof/>
          <w:sz w:val="22"/>
          <w:szCs w:val="22"/>
        </w:rPr>
        <w:t xml:space="preserve"> According to the </w:t>
      </w:r>
      <w:hyperlink r:id="rId45">
        <w:r w:rsidR="5B43515C" w:rsidRPr="00417E18">
          <w:rPr>
            <w:rStyle w:val="Hyperlink"/>
            <w:noProof/>
            <w:sz w:val="22"/>
            <w:szCs w:val="22"/>
          </w:rPr>
          <w:t>latest Eurostat data</w:t>
        </w:r>
      </w:hyperlink>
      <w:r w:rsidR="5B43515C" w:rsidRPr="00417E18">
        <w:rPr>
          <w:noProof/>
          <w:sz w:val="22"/>
          <w:szCs w:val="22"/>
        </w:rPr>
        <w:t>, there is substantial uptake of generative AI tools</w:t>
      </w:r>
      <w:r w:rsidR="47567A97" w:rsidRPr="00417E18">
        <w:rPr>
          <w:noProof/>
          <w:sz w:val="22"/>
          <w:szCs w:val="22"/>
        </w:rPr>
        <w:t>, especially</w:t>
      </w:r>
      <w:r w:rsidR="5B43515C" w:rsidRPr="00417E18">
        <w:rPr>
          <w:noProof/>
          <w:sz w:val="22"/>
          <w:szCs w:val="22"/>
        </w:rPr>
        <w:t xml:space="preserve"> by the younger demographic. In 2025, 63.8% of young people aged 16-24 in the EU used generative artificial intelligence (AI) tools</w:t>
      </w:r>
      <w:r w:rsidR="77E26902" w:rsidRPr="00417E18">
        <w:rPr>
          <w:noProof/>
          <w:sz w:val="22"/>
          <w:szCs w:val="22"/>
        </w:rPr>
        <w:t xml:space="preserve"> compared to just </w:t>
      </w:r>
      <w:r w:rsidR="5B43515C" w:rsidRPr="00417E18">
        <w:rPr>
          <w:noProof/>
          <w:sz w:val="22"/>
          <w:szCs w:val="22"/>
        </w:rPr>
        <w:t>32.7% of those aged 16-</w:t>
      </w:r>
      <w:r w:rsidR="77E26902" w:rsidRPr="00417E18">
        <w:rPr>
          <w:noProof/>
          <w:sz w:val="22"/>
          <w:szCs w:val="22"/>
        </w:rPr>
        <w:t>72</w:t>
      </w:r>
      <w:r w:rsidR="5B43515C" w:rsidRPr="00417E18">
        <w:rPr>
          <w:noProof/>
          <w:sz w:val="22"/>
          <w:szCs w:val="22"/>
        </w:rPr>
        <w:t>.</w:t>
      </w:r>
      <w:r w:rsidR="17CCC3A2" w:rsidRPr="00417E18">
        <w:rPr>
          <w:noProof/>
          <w:sz w:val="22"/>
          <w:szCs w:val="22"/>
        </w:rPr>
        <w:t xml:space="preserve"> </w:t>
      </w:r>
      <w:hyperlink r:id="rId46">
        <w:r w:rsidR="5B43515C" w:rsidRPr="00417E18">
          <w:rPr>
            <w:rStyle w:val="Hyperlink"/>
            <w:noProof/>
            <w:sz w:val="22"/>
            <w:szCs w:val="22"/>
          </w:rPr>
          <w:t>Reports</w:t>
        </w:r>
      </w:hyperlink>
      <w:r w:rsidR="5B43515C" w:rsidRPr="00417E18">
        <w:rPr>
          <w:noProof/>
          <w:sz w:val="22"/>
          <w:szCs w:val="22"/>
        </w:rPr>
        <w:t xml:space="preserve"> have shown that foreign powers have been trying to poison LLM training data through techniques such as AI grooming (one example of this is Russia’s Pravda network). Together with other problems noted in AI chatbots such as hallucinations or sycophancy, </w:t>
      </w:r>
      <w:r w:rsidR="4B2EE43D" w:rsidRPr="07868930">
        <w:rPr>
          <w:noProof/>
          <w:sz w:val="22"/>
          <w:szCs w:val="22"/>
        </w:rPr>
        <w:t>this creates</w:t>
      </w:r>
      <w:r w:rsidR="5B43515C" w:rsidRPr="00417E18">
        <w:rPr>
          <w:noProof/>
          <w:sz w:val="22"/>
          <w:szCs w:val="22"/>
        </w:rPr>
        <w:t xml:space="preserve"> a risk of untrue or doubtful content or even manipulation </w:t>
      </w:r>
      <w:r w:rsidR="7F13FC1B" w:rsidRPr="00417E18">
        <w:rPr>
          <w:noProof/>
          <w:sz w:val="22"/>
          <w:szCs w:val="22"/>
        </w:rPr>
        <w:t xml:space="preserve">especially </w:t>
      </w:r>
      <w:r w:rsidR="5B43515C" w:rsidRPr="00417E18">
        <w:rPr>
          <w:noProof/>
          <w:sz w:val="22"/>
          <w:szCs w:val="22"/>
        </w:rPr>
        <w:t xml:space="preserve">for </w:t>
      </w:r>
      <w:r w:rsidR="7F13FC1B" w:rsidRPr="00417E18">
        <w:rPr>
          <w:noProof/>
          <w:sz w:val="22"/>
          <w:szCs w:val="22"/>
        </w:rPr>
        <w:t>the younger</w:t>
      </w:r>
      <w:r w:rsidR="5B43515C" w:rsidRPr="00417E18">
        <w:rPr>
          <w:noProof/>
          <w:sz w:val="22"/>
          <w:szCs w:val="22"/>
        </w:rPr>
        <w:t xml:space="preserve"> segment of the population.</w:t>
      </w:r>
    </w:p>
    <w:p w14:paraId="73ADCFF0" w14:textId="6657AAF2" w:rsidR="006110D8" w:rsidRPr="00FA3032" w:rsidRDefault="20762D3E">
      <w:pPr>
        <w:rPr>
          <w:rFonts w:eastAsia="Calibri" w:cs="Calibri"/>
          <w:b/>
          <w:noProof/>
          <w:sz w:val="22"/>
          <w:szCs w:val="22"/>
        </w:rPr>
      </w:pPr>
      <w:r w:rsidRPr="00FA3032">
        <w:rPr>
          <w:rFonts w:eastAsia="Calibri" w:cs="Calibri"/>
          <w:b/>
          <w:noProof/>
          <w:sz w:val="22"/>
          <w:szCs w:val="22"/>
        </w:rPr>
        <w:t>Protecting children</w:t>
      </w:r>
    </w:p>
    <w:p w14:paraId="305AAB32" w14:textId="1EEC4AAF" w:rsidR="006110D8" w:rsidRPr="00417E18" w:rsidRDefault="33BCC15F" w:rsidP="72B4AD85">
      <w:pPr>
        <w:rPr>
          <w:noProof/>
          <w:sz w:val="22"/>
          <w:szCs w:val="22"/>
        </w:rPr>
      </w:pPr>
      <w:r w:rsidRPr="00417E18">
        <w:rPr>
          <w:rFonts w:eastAsia="Calibri" w:cs="Calibri"/>
          <w:noProof/>
          <w:color w:val="000000" w:themeColor="text1"/>
          <w:sz w:val="22"/>
          <w:szCs w:val="22"/>
        </w:rPr>
        <w:t xml:space="preserve">According to the </w:t>
      </w:r>
      <w:r w:rsidR="7614B7C0" w:rsidRPr="00417E18">
        <w:rPr>
          <w:rFonts w:eastAsia="Calibri" w:cs="Calibri"/>
          <w:noProof/>
          <w:color w:val="000000" w:themeColor="text1"/>
          <w:sz w:val="22"/>
          <w:szCs w:val="22"/>
        </w:rPr>
        <w:t>202</w:t>
      </w:r>
      <w:r w:rsidR="4B44DEA6" w:rsidRPr="00417E18">
        <w:rPr>
          <w:rFonts w:eastAsia="Calibri" w:cs="Calibri"/>
          <w:noProof/>
          <w:color w:val="000000" w:themeColor="text1"/>
          <w:sz w:val="22"/>
          <w:szCs w:val="22"/>
        </w:rPr>
        <w:t>6</w:t>
      </w:r>
      <w:r w:rsidRPr="00417E18">
        <w:rPr>
          <w:rFonts w:eastAsia="Calibri" w:cs="Calibri"/>
          <w:noProof/>
          <w:color w:val="000000" w:themeColor="text1"/>
          <w:sz w:val="22"/>
          <w:szCs w:val="22"/>
        </w:rPr>
        <w:t xml:space="preserve"> Digital </w:t>
      </w:r>
      <w:r w:rsidR="3CCBDADC" w:rsidRPr="00417E18">
        <w:rPr>
          <w:rFonts w:eastAsia="Calibri" w:cs="Calibri"/>
          <w:noProof/>
          <w:color w:val="000000" w:themeColor="text1"/>
          <w:sz w:val="22"/>
          <w:szCs w:val="22"/>
        </w:rPr>
        <w:t>Decade</w:t>
      </w:r>
      <w:r w:rsidRPr="00417E18">
        <w:rPr>
          <w:rFonts w:eastAsia="Calibri" w:cs="Calibri"/>
          <w:noProof/>
          <w:color w:val="000000" w:themeColor="text1"/>
          <w:sz w:val="22"/>
          <w:szCs w:val="22"/>
        </w:rPr>
        <w:t xml:space="preserve"> Eurobarometer survey, </w:t>
      </w:r>
      <w:r w:rsidRPr="00417E18">
        <w:rPr>
          <w:rFonts w:eastAsia="Calibri" w:cs="Calibri"/>
          <w:b/>
          <w:bCs/>
          <w:noProof/>
          <w:color w:val="000000" w:themeColor="text1"/>
          <w:sz w:val="22"/>
          <w:szCs w:val="22"/>
        </w:rPr>
        <w:t xml:space="preserve">an overwhelming majority of respondents </w:t>
      </w:r>
      <w:r w:rsidR="00716AC1" w:rsidRPr="00417E18">
        <w:rPr>
          <w:rFonts w:eastAsia="Calibri" w:cs="Calibri"/>
          <w:b/>
          <w:bCs/>
          <w:noProof/>
          <w:color w:val="000000" w:themeColor="text1"/>
          <w:sz w:val="22"/>
          <w:szCs w:val="22"/>
        </w:rPr>
        <w:t xml:space="preserve">(93%) </w:t>
      </w:r>
      <w:r w:rsidR="006635F8" w:rsidRPr="00417E18">
        <w:rPr>
          <w:rFonts w:eastAsia="Calibri" w:cs="Calibri"/>
          <w:b/>
          <w:bCs/>
          <w:noProof/>
          <w:color w:val="000000" w:themeColor="text1"/>
          <w:sz w:val="22"/>
          <w:szCs w:val="22"/>
        </w:rPr>
        <w:t xml:space="preserve">think </w:t>
      </w:r>
      <w:r w:rsidR="00200B5B" w:rsidRPr="00417E18">
        <w:rPr>
          <w:rFonts w:eastAsia="Calibri" w:cs="Calibri"/>
          <w:b/>
          <w:bCs/>
          <w:noProof/>
          <w:color w:val="000000" w:themeColor="text1"/>
          <w:sz w:val="22"/>
          <w:szCs w:val="22"/>
        </w:rPr>
        <w:t>it should be a</w:t>
      </w:r>
      <w:r w:rsidR="00E5038A" w:rsidRPr="00417E18">
        <w:rPr>
          <w:rFonts w:eastAsia="Calibri" w:cs="Calibri"/>
          <w:b/>
          <w:bCs/>
          <w:noProof/>
          <w:color w:val="000000" w:themeColor="text1"/>
          <w:sz w:val="22"/>
          <w:szCs w:val="22"/>
        </w:rPr>
        <w:t xml:space="preserve"> high</w:t>
      </w:r>
      <w:r w:rsidR="00200B5B" w:rsidRPr="00417E18">
        <w:rPr>
          <w:rFonts w:eastAsia="Calibri" w:cs="Calibri"/>
          <w:b/>
          <w:bCs/>
          <w:noProof/>
          <w:color w:val="000000" w:themeColor="text1"/>
          <w:sz w:val="22"/>
          <w:szCs w:val="22"/>
        </w:rPr>
        <w:t xml:space="preserve"> priority</w:t>
      </w:r>
      <w:r w:rsidR="000974EA" w:rsidRPr="00417E18">
        <w:rPr>
          <w:rFonts w:eastAsia="Calibri" w:cs="Calibri"/>
          <w:b/>
          <w:bCs/>
          <w:noProof/>
          <w:color w:val="000000" w:themeColor="text1"/>
          <w:sz w:val="22"/>
          <w:szCs w:val="22"/>
        </w:rPr>
        <w:t xml:space="preserve"> for the EU to further strengthen the protection of children and youn</w:t>
      </w:r>
      <w:r w:rsidR="006635F8" w:rsidRPr="00417E18">
        <w:rPr>
          <w:rFonts w:eastAsia="Calibri" w:cs="Calibri"/>
          <w:b/>
          <w:bCs/>
          <w:noProof/>
          <w:color w:val="000000" w:themeColor="text1"/>
          <w:sz w:val="22"/>
          <w:szCs w:val="22"/>
        </w:rPr>
        <w:t xml:space="preserve">g people online. </w:t>
      </w:r>
    </w:p>
    <w:p w14:paraId="26097A11" w14:textId="174B2282" w:rsidR="0098198D" w:rsidRDefault="429276A9" w:rsidP="698D0C64">
      <w:pPr>
        <w:spacing w:line="276" w:lineRule="auto"/>
        <w:rPr>
          <w:rFonts w:eastAsia="Calibri" w:cs="Calibri"/>
          <w:noProof/>
          <w:sz w:val="22"/>
          <w:szCs w:val="22"/>
        </w:rPr>
      </w:pPr>
      <w:r w:rsidRPr="00417E18">
        <w:rPr>
          <w:rFonts w:eastAsia="Calibri" w:cs="Calibri"/>
          <w:noProof/>
          <w:sz w:val="22"/>
          <w:szCs w:val="22"/>
        </w:rPr>
        <w:t>With growing public concern over the risks children face in digital spaces, it is important to continue enhancing their online safety and well-</w:t>
      </w:r>
      <w:r w:rsidR="7492DE00" w:rsidRPr="00417E18">
        <w:rPr>
          <w:rFonts w:eastAsia="Calibri" w:cs="Calibri"/>
          <w:noProof/>
          <w:sz w:val="22"/>
          <w:szCs w:val="22"/>
        </w:rPr>
        <w:t xml:space="preserve">being </w:t>
      </w:r>
      <w:r w:rsidRPr="00417E18">
        <w:rPr>
          <w:rFonts w:eastAsia="Calibri" w:cs="Calibri"/>
          <w:noProof/>
          <w:sz w:val="22"/>
          <w:szCs w:val="22"/>
        </w:rPr>
        <w:t>throug</w:t>
      </w:r>
      <w:r w:rsidR="10D60FD2" w:rsidRPr="00417E18">
        <w:rPr>
          <w:rFonts w:eastAsia="Calibri" w:cs="Calibri"/>
          <w:noProof/>
          <w:sz w:val="22"/>
          <w:szCs w:val="22"/>
        </w:rPr>
        <w:t>h robust reg</w:t>
      </w:r>
      <w:r w:rsidR="725F6C59" w:rsidRPr="00417E18">
        <w:rPr>
          <w:rFonts w:eastAsia="Calibri" w:cs="Calibri"/>
          <w:noProof/>
          <w:sz w:val="22"/>
          <w:szCs w:val="22"/>
        </w:rPr>
        <w:t xml:space="preserve">ulatory and enforcement measures. </w:t>
      </w:r>
      <w:r w:rsidR="33BCC15F" w:rsidRPr="00417E18">
        <w:rPr>
          <w:rFonts w:eastAsia="Calibri" w:cs="Calibri"/>
          <w:noProof/>
          <w:sz w:val="22"/>
          <w:szCs w:val="22"/>
        </w:rPr>
        <w:t xml:space="preserve">In response to the demands by citizens, the </w:t>
      </w:r>
      <w:r w:rsidR="042EB693" w:rsidRPr="0C856F1D">
        <w:rPr>
          <w:rFonts w:eastAsia="Calibri" w:cs="Calibri"/>
          <w:noProof/>
          <w:sz w:val="22"/>
          <w:szCs w:val="22"/>
        </w:rPr>
        <w:t>C</w:t>
      </w:r>
      <w:r w:rsidR="6101BE2B" w:rsidRPr="00417E18">
        <w:rPr>
          <w:rFonts w:eastAsia="Calibri" w:cs="Calibri"/>
          <w:noProof/>
          <w:sz w:val="22"/>
          <w:szCs w:val="22"/>
        </w:rPr>
        <w:t xml:space="preserve">ommission </w:t>
      </w:r>
      <w:r w:rsidR="33BCC15F" w:rsidRPr="00417E18">
        <w:rPr>
          <w:rFonts w:eastAsia="Calibri" w:cs="Calibri"/>
          <w:noProof/>
          <w:sz w:val="22"/>
          <w:szCs w:val="22"/>
        </w:rPr>
        <w:t xml:space="preserve">has </w:t>
      </w:r>
      <w:r w:rsidR="1C43B26F" w:rsidRPr="00417E18">
        <w:rPr>
          <w:rFonts w:eastAsia="Calibri" w:cs="Calibri"/>
          <w:noProof/>
          <w:sz w:val="22"/>
          <w:szCs w:val="22"/>
        </w:rPr>
        <w:t xml:space="preserve">been working </w:t>
      </w:r>
      <w:r w:rsidR="5E15E70C" w:rsidRPr="0C856F1D">
        <w:rPr>
          <w:rFonts w:eastAsia="Calibri" w:cs="Calibri"/>
          <w:noProof/>
          <w:sz w:val="22"/>
          <w:szCs w:val="22"/>
        </w:rPr>
        <w:t>on</w:t>
      </w:r>
      <w:r w:rsidR="1C43B26F" w:rsidRPr="00417E18">
        <w:rPr>
          <w:rFonts w:eastAsia="Calibri" w:cs="Calibri"/>
          <w:noProof/>
          <w:sz w:val="22"/>
          <w:szCs w:val="22"/>
        </w:rPr>
        <w:t xml:space="preserve"> several streams to increase the well</w:t>
      </w:r>
      <w:r w:rsidR="2DA87386" w:rsidRPr="00417E18">
        <w:rPr>
          <w:rFonts w:eastAsia="Calibri" w:cs="Calibri"/>
          <w:noProof/>
          <w:sz w:val="22"/>
          <w:szCs w:val="22"/>
        </w:rPr>
        <w:t>-</w:t>
      </w:r>
      <w:r w:rsidR="1C43B26F" w:rsidRPr="00417E18">
        <w:rPr>
          <w:rFonts w:eastAsia="Calibri" w:cs="Calibri"/>
          <w:noProof/>
          <w:sz w:val="22"/>
          <w:szCs w:val="22"/>
        </w:rPr>
        <w:t>being and sa</w:t>
      </w:r>
      <w:r w:rsidR="5FBB9B98" w:rsidRPr="00417E18">
        <w:rPr>
          <w:rFonts w:eastAsia="Calibri" w:cs="Calibri"/>
          <w:noProof/>
          <w:sz w:val="22"/>
          <w:szCs w:val="22"/>
        </w:rPr>
        <w:t xml:space="preserve">fety of children online. </w:t>
      </w:r>
    </w:p>
    <w:p w14:paraId="62A3FDCC" w14:textId="616F6DCF" w:rsidR="00A52DCC" w:rsidRDefault="28C09F17" w:rsidP="698D0C64">
      <w:pPr>
        <w:spacing w:line="276" w:lineRule="auto"/>
        <w:rPr>
          <w:rFonts w:eastAsia="Calibri" w:cs="Calibri"/>
          <w:noProof/>
          <w:sz w:val="22"/>
          <w:szCs w:val="22"/>
        </w:rPr>
      </w:pPr>
      <w:r w:rsidRPr="00417E18">
        <w:rPr>
          <w:rFonts w:eastAsia="Calibri" w:cs="Calibri"/>
          <w:noProof/>
          <w:sz w:val="22"/>
          <w:szCs w:val="22"/>
        </w:rPr>
        <w:t xml:space="preserve">The </w:t>
      </w:r>
      <w:r w:rsidRPr="00967EE0">
        <w:rPr>
          <w:rFonts w:eastAsia="Calibri" w:cs="Calibri"/>
          <w:b/>
          <w:noProof/>
          <w:sz w:val="22"/>
          <w:szCs w:val="22"/>
        </w:rPr>
        <w:t>General Data Protection Regulation (GDPR)</w:t>
      </w:r>
      <w:r w:rsidRPr="00417E18">
        <w:rPr>
          <w:rFonts w:eastAsia="Calibri" w:cs="Calibri"/>
          <w:noProof/>
          <w:sz w:val="22"/>
          <w:szCs w:val="22"/>
        </w:rPr>
        <w:t xml:space="preserve"> </w:t>
      </w:r>
      <w:r w:rsidR="0098198D">
        <w:rPr>
          <w:rFonts w:eastAsia="Calibri" w:cs="Calibri"/>
          <w:noProof/>
          <w:sz w:val="22"/>
          <w:szCs w:val="22"/>
        </w:rPr>
        <w:t>already</w:t>
      </w:r>
      <w:r w:rsidRPr="00417E18">
        <w:rPr>
          <w:rFonts w:eastAsia="Calibri" w:cs="Calibri"/>
          <w:noProof/>
          <w:sz w:val="22"/>
          <w:szCs w:val="22"/>
        </w:rPr>
        <w:t xml:space="preserve"> </w:t>
      </w:r>
      <w:r w:rsidR="4E896791" w:rsidRPr="577A7EEE">
        <w:rPr>
          <w:rFonts w:eastAsia="Calibri" w:cs="Calibri"/>
          <w:noProof/>
          <w:sz w:val="22"/>
          <w:szCs w:val="22"/>
        </w:rPr>
        <w:t>recognises</w:t>
      </w:r>
      <w:r w:rsidRPr="00417E18">
        <w:rPr>
          <w:rFonts w:eastAsia="Calibri" w:cs="Calibri"/>
          <w:noProof/>
          <w:sz w:val="22"/>
          <w:szCs w:val="22"/>
        </w:rPr>
        <w:t xml:space="preserve"> that children meri</w:t>
      </w:r>
      <w:r w:rsidR="78FAE4A1" w:rsidRPr="00417E18">
        <w:rPr>
          <w:rFonts w:eastAsia="Calibri" w:cs="Calibri"/>
          <w:noProof/>
          <w:sz w:val="22"/>
          <w:szCs w:val="22"/>
        </w:rPr>
        <w:t>t</w:t>
      </w:r>
      <w:r w:rsidRPr="00417E18">
        <w:rPr>
          <w:rFonts w:eastAsia="Calibri" w:cs="Calibri"/>
          <w:noProof/>
          <w:sz w:val="22"/>
          <w:szCs w:val="22"/>
        </w:rPr>
        <w:t xml:space="preserve"> specific protection </w:t>
      </w:r>
      <w:r w:rsidR="7CF8FBE4" w:rsidRPr="577A7EEE">
        <w:rPr>
          <w:rFonts w:eastAsia="Calibri" w:cs="Calibri"/>
          <w:noProof/>
          <w:sz w:val="22"/>
          <w:szCs w:val="22"/>
        </w:rPr>
        <w:t>regarding the processing of their personal data. Accordingly,</w:t>
      </w:r>
      <w:r w:rsidR="7CF8FBE4" w:rsidRPr="19043818">
        <w:rPr>
          <w:rFonts w:eastAsia="Calibri" w:cs="Calibri"/>
          <w:noProof/>
          <w:sz w:val="22"/>
          <w:szCs w:val="22"/>
        </w:rPr>
        <w:t xml:space="preserve"> organisations must implement child</w:t>
      </w:r>
      <w:r w:rsidRPr="00417E18">
        <w:rPr>
          <w:rFonts w:eastAsia="Calibri" w:cs="Calibri"/>
          <w:noProof/>
          <w:sz w:val="22"/>
          <w:szCs w:val="22"/>
        </w:rPr>
        <w:t xml:space="preserve">-specific data protection measures </w:t>
      </w:r>
      <w:r w:rsidR="7CF8FBE4" w:rsidRPr="19043818">
        <w:rPr>
          <w:rFonts w:eastAsia="Calibri" w:cs="Calibri"/>
          <w:noProof/>
          <w:sz w:val="22"/>
          <w:szCs w:val="22"/>
        </w:rPr>
        <w:t>to provide a higher</w:t>
      </w:r>
      <w:r w:rsidRPr="00417E18">
        <w:rPr>
          <w:rFonts w:eastAsia="Calibri" w:cs="Calibri"/>
          <w:noProof/>
          <w:sz w:val="22"/>
          <w:szCs w:val="22"/>
        </w:rPr>
        <w:t xml:space="preserve"> level of protection against </w:t>
      </w:r>
      <w:r w:rsidR="0BC27C82" w:rsidRPr="00417E18">
        <w:rPr>
          <w:rFonts w:eastAsia="Calibri" w:cs="Calibri"/>
          <w:noProof/>
          <w:sz w:val="22"/>
          <w:szCs w:val="22"/>
        </w:rPr>
        <w:t xml:space="preserve">the risks </w:t>
      </w:r>
      <w:r w:rsidR="7CF8FBE4" w:rsidRPr="19043818">
        <w:rPr>
          <w:rFonts w:eastAsia="Calibri" w:cs="Calibri"/>
          <w:noProof/>
          <w:sz w:val="22"/>
          <w:szCs w:val="22"/>
        </w:rPr>
        <w:t>that may arise from children’s</w:t>
      </w:r>
      <w:r w:rsidR="0BC27C82" w:rsidRPr="00417E18">
        <w:rPr>
          <w:rFonts w:eastAsia="Calibri" w:cs="Calibri"/>
          <w:noProof/>
          <w:sz w:val="22"/>
          <w:szCs w:val="22"/>
        </w:rPr>
        <w:t xml:space="preserve"> use of </w:t>
      </w:r>
      <w:r w:rsidR="7CF8FBE4" w:rsidRPr="19043818">
        <w:rPr>
          <w:rFonts w:eastAsia="Calibri" w:cs="Calibri"/>
          <w:noProof/>
          <w:sz w:val="22"/>
          <w:szCs w:val="22"/>
        </w:rPr>
        <w:t>digital services. The</w:t>
      </w:r>
      <w:r w:rsidR="0BC27C82" w:rsidRPr="00417E18">
        <w:rPr>
          <w:rFonts w:eastAsia="Calibri" w:cs="Calibri"/>
          <w:noProof/>
          <w:sz w:val="22"/>
          <w:szCs w:val="22"/>
        </w:rPr>
        <w:t xml:space="preserve"> GDPR </w:t>
      </w:r>
      <w:r w:rsidR="7CF8FBE4" w:rsidRPr="19043818">
        <w:rPr>
          <w:rFonts w:eastAsia="Calibri" w:cs="Calibri"/>
          <w:noProof/>
          <w:sz w:val="22"/>
          <w:szCs w:val="22"/>
        </w:rPr>
        <w:t>also contains</w:t>
      </w:r>
      <w:r w:rsidR="0BC27C82" w:rsidRPr="00417E18">
        <w:rPr>
          <w:rFonts w:eastAsia="Calibri" w:cs="Calibri"/>
          <w:noProof/>
          <w:sz w:val="22"/>
          <w:szCs w:val="22"/>
        </w:rPr>
        <w:t xml:space="preserve"> specific </w:t>
      </w:r>
      <w:r w:rsidR="7CF8FBE4" w:rsidRPr="19043818">
        <w:rPr>
          <w:rFonts w:eastAsia="Calibri" w:cs="Calibri"/>
          <w:noProof/>
          <w:sz w:val="22"/>
          <w:szCs w:val="22"/>
        </w:rPr>
        <w:t>safeguards for minors, inclu</w:t>
      </w:r>
      <w:r w:rsidR="60B9BE76" w:rsidRPr="19043818">
        <w:rPr>
          <w:rFonts w:eastAsia="Calibri" w:cs="Calibri"/>
          <w:noProof/>
          <w:sz w:val="22"/>
          <w:szCs w:val="22"/>
        </w:rPr>
        <w:t xml:space="preserve">ding the </w:t>
      </w:r>
      <w:r w:rsidR="64396C94" w:rsidRPr="19043818">
        <w:rPr>
          <w:rFonts w:eastAsia="Calibri" w:cs="Calibri"/>
          <w:noProof/>
          <w:sz w:val="22"/>
          <w:szCs w:val="22"/>
        </w:rPr>
        <w:t>‘</w:t>
      </w:r>
      <w:r w:rsidR="0BC27C82" w:rsidRPr="00417E18">
        <w:rPr>
          <w:rFonts w:eastAsia="Calibri" w:cs="Calibri"/>
          <w:noProof/>
          <w:sz w:val="22"/>
          <w:szCs w:val="22"/>
        </w:rPr>
        <w:t xml:space="preserve">right to be </w:t>
      </w:r>
      <w:r w:rsidR="60B9BE76" w:rsidRPr="19043818">
        <w:rPr>
          <w:rFonts w:eastAsia="Calibri" w:cs="Calibri"/>
          <w:noProof/>
          <w:sz w:val="22"/>
          <w:szCs w:val="22"/>
        </w:rPr>
        <w:t>forgotten</w:t>
      </w:r>
      <w:r w:rsidR="2C81F045" w:rsidRPr="19043818">
        <w:rPr>
          <w:rFonts w:eastAsia="Calibri" w:cs="Calibri"/>
          <w:noProof/>
          <w:sz w:val="22"/>
          <w:szCs w:val="22"/>
        </w:rPr>
        <w:t>’,</w:t>
      </w:r>
      <w:r w:rsidR="0BC27C82" w:rsidRPr="00417E18">
        <w:rPr>
          <w:rFonts w:eastAsia="Calibri" w:cs="Calibri"/>
          <w:noProof/>
          <w:sz w:val="22"/>
          <w:szCs w:val="22"/>
        </w:rPr>
        <w:t xml:space="preserve"> and </w:t>
      </w:r>
      <w:r w:rsidR="60B9BE76" w:rsidRPr="19043818">
        <w:rPr>
          <w:rFonts w:eastAsia="Calibri" w:cs="Calibri"/>
          <w:noProof/>
          <w:sz w:val="22"/>
          <w:szCs w:val="22"/>
        </w:rPr>
        <w:t>establishes age-of-</w:t>
      </w:r>
      <w:r w:rsidR="0BC27C82" w:rsidRPr="00417E18">
        <w:rPr>
          <w:rFonts w:eastAsia="Calibri" w:cs="Calibri"/>
          <w:noProof/>
          <w:sz w:val="22"/>
          <w:szCs w:val="22"/>
        </w:rPr>
        <w:t xml:space="preserve">consent </w:t>
      </w:r>
      <w:r w:rsidR="60B9BE76" w:rsidRPr="19043818">
        <w:rPr>
          <w:rFonts w:eastAsia="Calibri" w:cs="Calibri"/>
          <w:noProof/>
          <w:sz w:val="22"/>
          <w:szCs w:val="22"/>
        </w:rPr>
        <w:t xml:space="preserve">requirements </w:t>
      </w:r>
      <w:r w:rsidR="0BC27C82" w:rsidRPr="00417E18">
        <w:rPr>
          <w:rFonts w:eastAsia="Calibri" w:cs="Calibri"/>
          <w:noProof/>
          <w:sz w:val="22"/>
          <w:szCs w:val="22"/>
        </w:rPr>
        <w:t xml:space="preserve">for </w:t>
      </w:r>
      <w:r w:rsidR="60B9BE76" w:rsidRPr="19043818">
        <w:rPr>
          <w:rFonts w:eastAsia="Calibri" w:cs="Calibri"/>
          <w:noProof/>
          <w:sz w:val="22"/>
          <w:szCs w:val="22"/>
        </w:rPr>
        <w:t xml:space="preserve">the </w:t>
      </w:r>
      <w:r w:rsidR="0BC27C82" w:rsidRPr="00417E18">
        <w:rPr>
          <w:rFonts w:eastAsia="Calibri" w:cs="Calibri"/>
          <w:noProof/>
          <w:sz w:val="22"/>
          <w:szCs w:val="22"/>
        </w:rPr>
        <w:t xml:space="preserve">processing of personal data by information society </w:t>
      </w:r>
      <w:r w:rsidR="60B9BE76" w:rsidRPr="19043818">
        <w:rPr>
          <w:rFonts w:eastAsia="Calibri" w:cs="Calibri"/>
          <w:noProof/>
          <w:sz w:val="22"/>
          <w:szCs w:val="22"/>
        </w:rPr>
        <w:t>services</w:t>
      </w:r>
      <w:r w:rsidR="0BC27C82" w:rsidRPr="00417E18">
        <w:rPr>
          <w:rFonts w:eastAsia="Calibri" w:cs="Calibri"/>
          <w:noProof/>
          <w:sz w:val="22"/>
          <w:szCs w:val="22"/>
        </w:rPr>
        <w:t>, such as social media</w:t>
      </w:r>
      <w:r w:rsidR="60B9BE76" w:rsidRPr="19043818">
        <w:rPr>
          <w:rFonts w:eastAsia="Calibri" w:cs="Calibri"/>
          <w:noProof/>
          <w:sz w:val="22"/>
          <w:szCs w:val="22"/>
        </w:rPr>
        <w:t xml:space="preserve">, online </w:t>
      </w:r>
      <w:r w:rsidR="0BC27C82" w:rsidRPr="00417E18">
        <w:rPr>
          <w:rFonts w:eastAsia="Calibri" w:cs="Calibri"/>
          <w:noProof/>
          <w:sz w:val="22"/>
          <w:szCs w:val="22"/>
        </w:rPr>
        <w:t xml:space="preserve">gaming </w:t>
      </w:r>
      <w:r w:rsidR="60B9BE76" w:rsidRPr="19043818">
        <w:rPr>
          <w:rFonts w:eastAsia="Calibri" w:cs="Calibri"/>
          <w:noProof/>
          <w:sz w:val="22"/>
          <w:szCs w:val="22"/>
        </w:rPr>
        <w:t xml:space="preserve">and other digital platforms. </w:t>
      </w:r>
    </w:p>
    <w:p w14:paraId="6BA55350" w14:textId="0AD4878D" w:rsidR="007C583A" w:rsidRPr="00417E18" w:rsidRDefault="00A52DCC" w:rsidP="698D0C64">
      <w:pPr>
        <w:spacing w:line="276" w:lineRule="auto"/>
        <w:rPr>
          <w:rFonts w:asciiTheme="minorHAnsi" w:hAnsiTheme="minorHAnsi"/>
          <w:noProof/>
          <w:sz w:val="22"/>
          <w:szCs w:val="22"/>
        </w:rPr>
      </w:pPr>
      <w:r>
        <w:rPr>
          <w:rFonts w:eastAsia="Calibri" w:cs="Calibri"/>
          <w:noProof/>
          <w:sz w:val="22"/>
          <w:szCs w:val="22"/>
        </w:rPr>
        <w:t>Further reinforcing these protections,</w:t>
      </w:r>
      <w:r w:rsidR="5FBB9B98" w:rsidRPr="00417E18">
        <w:rPr>
          <w:rFonts w:eastAsia="Calibri" w:cs="Calibri"/>
          <w:noProof/>
          <w:sz w:val="22"/>
          <w:szCs w:val="22"/>
        </w:rPr>
        <w:t xml:space="preserve"> </w:t>
      </w:r>
      <w:r w:rsidR="00983D80" w:rsidRPr="00417E18">
        <w:rPr>
          <w:rFonts w:eastAsia="Calibri" w:cs="Calibri"/>
          <w:b/>
          <w:bCs/>
          <w:noProof/>
          <w:sz w:val="22"/>
          <w:szCs w:val="22"/>
        </w:rPr>
        <w:t>Article 28 of t</w:t>
      </w:r>
      <w:r w:rsidR="00907A02" w:rsidRPr="00417E18">
        <w:rPr>
          <w:rFonts w:eastAsia="Calibri" w:cs="Calibri"/>
          <w:b/>
          <w:bCs/>
          <w:noProof/>
          <w:sz w:val="22"/>
          <w:szCs w:val="22"/>
        </w:rPr>
        <w:t>he Digital Services Act (DSA)</w:t>
      </w:r>
      <w:r w:rsidR="00907A02" w:rsidRPr="00417E18">
        <w:rPr>
          <w:rFonts w:eastAsia="Calibri" w:cs="Calibri"/>
          <w:noProof/>
          <w:sz w:val="22"/>
          <w:szCs w:val="22"/>
        </w:rPr>
        <w:t xml:space="preserve"> requires </w:t>
      </w:r>
      <w:r w:rsidR="00077E6E" w:rsidRPr="00417E18">
        <w:rPr>
          <w:rFonts w:eastAsia="Calibri" w:cs="Calibri"/>
          <w:noProof/>
          <w:sz w:val="22"/>
          <w:szCs w:val="22"/>
        </w:rPr>
        <w:t xml:space="preserve">providers of online platforms of all sizes </w:t>
      </w:r>
      <w:r w:rsidR="008013B1">
        <w:rPr>
          <w:rFonts w:eastAsia="Calibri" w:cs="Calibri"/>
          <w:noProof/>
          <w:sz w:val="22"/>
          <w:szCs w:val="22"/>
        </w:rPr>
        <w:t xml:space="preserve">accessible to minors </w:t>
      </w:r>
      <w:r w:rsidR="00077E6E" w:rsidRPr="00417E18">
        <w:rPr>
          <w:rFonts w:eastAsia="Calibri" w:cs="Calibri"/>
          <w:noProof/>
          <w:sz w:val="22"/>
          <w:szCs w:val="22"/>
        </w:rPr>
        <w:t xml:space="preserve">to ensure a high level of privacy, safety and security for minors on their services. </w:t>
      </w:r>
      <w:r w:rsidR="00DD7D3C" w:rsidRPr="00417E18">
        <w:rPr>
          <w:rFonts w:eastAsia="Calibri" w:cs="Calibri"/>
          <w:noProof/>
          <w:sz w:val="22"/>
          <w:szCs w:val="22"/>
        </w:rPr>
        <w:t xml:space="preserve">To further boost online safety for children and young people under the DSA, the Commission adopted </w:t>
      </w:r>
      <w:r w:rsidR="724E0F8D" w:rsidRPr="00417E18">
        <w:rPr>
          <w:rFonts w:eastAsia="Calibri" w:cs="Calibri"/>
          <w:noProof/>
          <w:sz w:val="22"/>
          <w:szCs w:val="22"/>
        </w:rPr>
        <w:t>the</w:t>
      </w:r>
      <w:r w:rsidR="00DD7D3C" w:rsidRPr="00417E18">
        <w:rPr>
          <w:rFonts w:eastAsia="Calibri" w:cs="Calibri"/>
          <w:noProof/>
          <w:sz w:val="22"/>
          <w:szCs w:val="22"/>
        </w:rPr>
        <w:t xml:space="preserve"> </w:t>
      </w:r>
      <w:r w:rsidR="00DD7D3C" w:rsidRPr="00417E18">
        <w:rPr>
          <w:rFonts w:eastAsia="Calibri" w:cs="Calibri"/>
          <w:b/>
          <w:bCs/>
          <w:noProof/>
          <w:sz w:val="22"/>
          <w:szCs w:val="22"/>
        </w:rPr>
        <w:t>Guidelines on the protection of minors</w:t>
      </w:r>
      <w:r w:rsidR="00DD7D3C" w:rsidRPr="00417E18">
        <w:rPr>
          <w:rFonts w:eastAsia="Calibri" w:cs="Calibri"/>
          <w:noProof/>
          <w:sz w:val="22"/>
          <w:szCs w:val="22"/>
        </w:rPr>
        <w:t xml:space="preserve"> in 2025</w:t>
      </w:r>
      <w:r w:rsidR="0006659F" w:rsidRPr="00417E18">
        <w:rPr>
          <w:rFonts w:eastAsia="Calibri" w:cs="Calibri"/>
          <w:noProof/>
          <w:sz w:val="22"/>
          <w:szCs w:val="22"/>
        </w:rPr>
        <w:t xml:space="preserve">. These guidelines </w:t>
      </w:r>
      <w:r w:rsidR="00145782" w:rsidRPr="00417E18">
        <w:rPr>
          <w:rFonts w:eastAsia="Calibri" w:cs="Calibri"/>
          <w:noProof/>
          <w:sz w:val="22"/>
          <w:szCs w:val="22"/>
        </w:rPr>
        <w:t xml:space="preserve">set out </w:t>
      </w:r>
      <w:r w:rsidR="0058789E" w:rsidRPr="00417E18">
        <w:rPr>
          <w:rFonts w:eastAsia="Calibri" w:cs="Calibri"/>
          <w:noProof/>
          <w:sz w:val="22"/>
          <w:szCs w:val="22"/>
        </w:rPr>
        <w:t>a</w:t>
      </w:r>
      <w:r w:rsidR="00145782" w:rsidRPr="00417E18">
        <w:rPr>
          <w:rFonts w:eastAsia="Calibri" w:cs="Calibri"/>
          <w:noProof/>
          <w:sz w:val="22"/>
          <w:szCs w:val="22"/>
        </w:rPr>
        <w:t xml:space="preserve"> benchmark </w:t>
      </w:r>
      <w:r w:rsidR="0058789E" w:rsidRPr="00417E18">
        <w:rPr>
          <w:rFonts w:eastAsia="Calibri" w:cs="Calibri"/>
          <w:noProof/>
          <w:sz w:val="22"/>
          <w:szCs w:val="22"/>
        </w:rPr>
        <w:t xml:space="preserve">that the </w:t>
      </w:r>
      <w:r w:rsidR="009C6E8C" w:rsidRPr="00417E18">
        <w:rPr>
          <w:rFonts w:eastAsia="Calibri" w:cs="Calibri"/>
          <w:noProof/>
          <w:sz w:val="22"/>
          <w:szCs w:val="22"/>
        </w:rPr>
        <w:t>Commission</w:t>
      </w:r>
      <w:r w:rsidR="0058789E" w:rsidRPr="00417E18">
        <w:rPr>
          <w:rFonts w:eastAsia="Calibri" w:cs="Calibri"/>
          <w:noProof/>
          <w:sz w:val="22"/>
          <w:szCs w:val="22"/>
        </w:rPr>
        <w:t xml:space="preserve"> uses to determine compliance </w:t>
      </w:r>
      <w:r w:rsidR="00220F1F" w:rsidRPr="00417E18">
        <w:rPr>
          <w:rFonts w:eastAsia="Calibri" w:cs="Calibri"/>
          <w:noProof/>
          <w:sz w:val="22"/>
          <w:szCs w:val="22"/>
        </w:rPr>
        <w:t>i</w:t>
      </w:r>
      <w:r w:rsidR="00145782" w:rsidRPr="00417E18">
        <w:rPr>
          <w:rFonts w:eastAsia="Calibri" w:cs="Calibri"/>
          <w:noProof/>
          <w:sz w:val="22"/>
          <w:szCs w:val="22"/>
        </w:rPr>
        <w:t>n this area and outlines a</w:t>
      </w:r>
      <w:r w:rsidR="00AF1461" w:rsidRPr="00417E18">
        <w:rPr>
          <w:rFonts w:eastAsia="Calibri" w:cs="Calibri"/>
          <w:noProof/>
          <w:sz w:val="22"/>
          <w:szCs w:val="22"/>
        </w:rPr>
        <w:t xml:space="preserve"> non-</w:t>
      </w:r>
      <w:r w:rsidR="009C6E8C" w:rsidRPr="00417E18">
        <w:rPr>
          <w:rFonts w:eastAsia="Calibri" w:cs="Calibri"/>
          <w:noProof/>
          <w:sz w:val="22"/>
          <w:szCs w:val="22"/>
        </w:rPr>
        <w:t>exhaustive</w:t>
      </w:r>
      <w:r w:rsidR="00AF1461" w:rsidRPr="00417E18">
        <w:rPr>
          <w:rFonts w:eastAsia="Calibri" w:cs="Calibri"/>
          <w:noProof/>
          <w:sz w:val="22"/>
          <w:szCs w:val="22"/>
        </w:rPr>
        <w:t xml:space="preserve"> lis</w:t>
      </w:r>
      <w:r w:rsidR="0006659F" w:rsidRPr="00417E18">
        <w:rPr>
          <w:rFonts w:eastAsia="Calibri" w:cs="Calibri"/>
          <w:noProof/>
          <w:sz w:val="22"/>
          <w:szCs w:val="22"/>
        </w:rPr>
        <w:t xml:space="preserve">t of proportionate and appropriate measures to protect children from online risks such as grooming, harmful content, </w:t>
      </w:r>
      <w:r w:rsidR="00751FC4" w:rsidRPr="00417E18">
        <w:rPr>
          <w:rFonts w:eastAsia="Calibri" w:cs="Calibri"/>
          <w:noProof/>
          <w:sz w:val="22"/>
          <w:szCs w:val="22"/>
        </w:rPr>
        <w:t>problematic</w:t>
      </w:r>
      <w:r w:rsidR="0006659F" w:rsidRPr="00417E18">
        <w:rPr>
          <w:rFonts w:eastAsia="Calibri" w:cs="Calibri"/>
          <w:noProof/>
          <w:sz w:val="22"/>
          <w:szCs w:val="22"/>
        </w:rPr>
        <w:t xml:space="preserve"> and addictive </w:t>
      </w:r>
      <w:r w:rsidR="00751FC4" w:rsidRPr="00417E18">
        <w:rPr>
          <w:rFonts w:eastAsia="Calibri" w:cs="Calibri"/>
          <w:noProof/>
          <w:sz w:val="22"/>
          <w:szCs w:val="22"/>
        </w:rPr>
        <w:t>behaviours</w:t>
      </w:r>
      <w:r w:rsidR="0006659F" w:rsidRPr="00417E18">
        <w:rPr>
          <w:rFonts w:eastAsia="Calibri" w:cs="Calibri"/>
          <w:noProof/>
          <w:sz w:val="22"/>
          <w:szCs w:val="22"/>
        </w:rPr>
        <w:t>, as well as cyberbullying and harmful commercial practices</w:t>
      </w:r>
      <w:r w:rsidR="71133A07" w:rsidRPr="00417E18">
        <w:rPr>
          <w:rFonts w:eastAsia="Calibri" w:cs="Calibri"/>
          <w:noProof/>
          <w:sz w:val="22"/>
          <w:szCs w:val="22"/>
        </w:rPr>
        <w:t xml:space="preserve"> that </w:t>
      </w:r>
      <w:r>
        <w:rPr>
          <w:rFonts w:eastAsia="Calibri" w:cs="Calibri"/>
          <w:noProof/>
          <w:sz w:val="22"/>
          <w:szCs w:val="22"/>
        </w:rPr>
        <w:t>may occur</w:t>
      </w:r>
      <w:r w:rsidR="71133A07" w:rsidRPr="00417E18">
        <w:rPr>
          <w:rFonts w:eastAsia="Calibri" w:cs="Calibri"/>
          <w:noProof/>
          <w:sz w:val="22"/>
          <w:szCs w:val="22"/>
        </w:rPr>
        <w:t xml:space="preserve"> on </w:t>
      </w:r>
      <w:r>
        <w:rPr>
          <w:rFonts w:eastAsia="Calibri" w:cs="Calibri"/>
          <w:noProof/>
          <w:sz w:val="22"/>
          <w:szCs w:val="22"/>
        </w:rPr>
        <w:t>online</w:t>
      </w:r>
      <w:r w:rsidR="71133A07" w:rsidRPr="00417E18">
        <w:rPr>
          <w:rFonts w:eastAsia="Calibri" w:cs="Calibri"/>
          <w:noProof/>
          <w:sz w:val="22"/>
          <w:szCs w:val="22"/>
        </w:rPr>
        <w:t xml:space="preserve"> platforms</w:t>
      </w:r>
      <w:r>
        <w:rPr>
          <w:rFonts w:eastAsia="Calibri" w:cs="Calibri"/>
          <w:noProof/>
          <w:sz w:val="22"/>
          <w:szCs w:val="22"/>
        </w:rPr>
        <w:t xml:space="preserve"> accessible to minors</w:t>
      </w:r>
      <w:r w:rsidR="00751FC4" w:rsidRPr="00417E18">
        <w:rPr>
          <w:rFonts w:eastAsia="Calibri" w:cs="Calibri"/>
          <w:noProof/>
          <w:sz w:val="22"/>
          <w:szCs w:val="22"/>
        </w:rPr>
        <w:t xml:space="preserve">. </w:t>
      </w:r>
      <w:r w:rsidR="3A445E16" w:rsidRPr="00417E18">
        <w:rPr>
          <w:rFonts w:eastAsia="Calibri" w:cs="Calibri"/>
          <w:noProof/>
          <w:sz w:val="22"/>
          <w:szCs w:val="22"/>
        </w:rPr>
        <w:t xml:space="preserve">First </w:t>
      </w:r>
      <w:r w:rsidR="5077EB87" w:rsidRPr="00417E18">
        <w:rPr>
          <w:rFonts w:eastAsia="Calibri" w:cs="Calibri"/>
          <w:noProof/>
          <w:sz w:val="22"/>
          <w:szCs w:val="22"/>
        </w:rPr>
        <w:t>e</w:t>
      </w:r>
      <w:r w:rsidR="038758EE" w:rsidRPr="00417E18">
        <w:rPr>
          <w:noProof/>
          <w:sz w:val="22"/>
          <w:szCs w:val="22"/>
        </w:rPr>
        <w:t>nforcement</w:t>
      </w:r>
      <w:r w:rsidR="00AE5131" w:rsidRPr="00417E18">
        <w:rPr>
          <w:noProof/>
          <w:sz w:val="22"/>
          <w:szCs w:val="22"/>
        </w:rPr>
        <w:t xml:space="preserve"> actions have been taken against </w:t>
      </w:r>
      <w:r w:rsidR="00BE50BE">
        <w:rPr>
          <w:noProof/>
          <w:sz w:val="22"/>
          <w:szCs w:val="22"/>
        </w:rPr>
        <w:t>the providers of</w:t>
      </w:r>
      <w:r w:rsidR="00AE5131" w:rsidRPr="00417E18">
        <w:rPr>
          <w:noProof/>
          <w:sz w:val="22"/>
          <w:szCs w:val="22"/>
        </w:rPr>
        <w:t xml:space="preserve"> TikTok, Facebook and Instagram as well as pornographic-content online platforms. These investigations concern issues such as accessing age-inappropriate content, addictive behaviour, account settings and appropriate age assurance methods. </w:t>
      </w:r>
      <w:r w:rsidR="5017A4F2" w:rsidRPr="00417E18">
        <w:rPr>
          <w:noProof/>
          <w:sz w:val="22"/>
          <w:szCs w:val="22"/>
        </w:rPr>
        <w:t>Additionally</w:t>
      </w:r>
      <w:r w:rsidR="60A55362" w:rsidRPr="00417E18">
        <w:rPr>
          <w:noProof/>
          <w:sz w:val="22"/>
          <w:szCs w:val="22"/>
        </w:rPr>
        <w:t xml:space="preserve">, </w:t>
      </w:r>
      <w:r w:rsidR="4FED7018" w:rsidRPr="00417E18">
        <w:rPr>
          <w:noProof/>
          <w:sz w:val="22"/>
          <w:szCs w:val="22"/>
        </w:rPr>
        <w:t xml:space="preserve">Digital Services Coordinators (DSCs) have started to enforce Article 28 </w:t>
      </w:r>
      <w:r w:rsidR="6449B0A7" w:rsidRPr="00417E18">
        <w:rPr>
          <w:noProof/>
          <w:sz w:val="22"/>
          <w:szCs w:val="22"/>
        </w:rPr>
        <w:t xml:space="preserve">of the DSA </w:t>
      </w:r>
      <w:r w:rsidR="447E1953" w:rsidRPr="00417E18">
        <w:rPr>
          <w:noProof/>
          <w:sz w:val="22"/>
          <w:szCs w:val="22"/>
        </w:rPr>
        <w:t xml:space="preserve">at the national level </w:t>
      </w:r>
      <w:r w:rsidR="007C583A" w:rsidRPr="00417E18">
        <w:rPr>
          <w:rStyle w:val="FootnoteReference"/>
          <w:noProof/>
          <w:sz w:val="22"/>
          <w:szCs w:val="22"/>
        </w:rPr>
        <w:footnoteReference w:id="74"/>
      </w:r>
      <w:r w:rsidR="6E2F88CE" w:rsidRPr="00417E18">
        <w:rPr>
          <w:noProof/>
          <w:sz w:val="22"/>
          <w:szCs w:val="22"/>
        </w:rPr>
        <w:t>.</w:t>
      </w:r>
    </w:p>
    <w:p w14:paraId="331F9C57" w14:textId="1660EE89" w:rsidR="746EDE39" w:rsidRPr="00417E18" w:rsidRDefault="22DDDB5C" w:rsidP="7873832E">
      <w:pPr>
        <w:spacing w:before="0" w:after="120" w:line="276" w:lineRule="auto"/>
        <w:rPr>
          <w:rFonts w:cs="Calibri"/>
          <w:noProof/>
          <w:sz w:val="22"/>
          <w:szCs w:val="22"/>
        </w:rPr>
      </w:pPr>
      <w:r w:rsidRPr="00417E18">
        <w:rPr>
          <w:b/>
          <w:bCs/>
          <w:noProof/>
          <w:sz w:val="22"/>
          <w:szCs w:val="22"/>
        </w:rPr>
        <w:t xml:space="preserve">To </w:t>
      </w:r>
      <w:r w:rsidR="251E7700" w:rsidRPr="07868930">
        <w:rPr>
          <w:b/>
          <w:bCs/>
          <w:noProof/>
          <w:sz w:val="22"/>
          <w:szCs w:val="22"/>
        </w:rPr>
        <w:t>strengthen</w:t>
      </w:r>
      <w:r w:rsidRPr="00417E18">
        <w:rPr>
          <w:b/>
          <w:bCs/>
          <w:noProof/>
          <w:sz w:val="22"/>
          <w:szCs w:val="22"/>
        </w:rPr>
        <w:t xml:space="preserve"> protection for young audiences in an evolving digital landscape</w:t>
      </w:r>
      <w:r w:rsidR="00B75503">
        <w:rPr>
          <w:b/>
          <w:bCs/>
          <w:noProof/>
          <w:sz w:val="22"/>
          <w:szCs w:val="22"/>
        </w:rPr>
        <w:t>,</w:t>
      </w:r>
      <w:r w:rsidRPr="00417E18">
        <w:rPr>
          <w:b/>
          <w:bCs/>
          <w:noProof/>
          <w:sz w:val="22"/>
          <w:szCs w:val="22"/>
        </w:rPr>
        <w:t xml:space="preserve"> the </w:t>
      </w:r>
      <w:r w:rsidR="746EDE39" w:rsidRPr="00417E18">
        <w:rPr>
          <w:b/>
          <w:bCs/>
          <w:noProof/>
          <w:sz w:val="22"/>
          <w:szCs w:val="22"/>
        </w:rPr>
        <w:t>Audiovisual Media Services Directive (AVMSD</w:t>
      </w:r>
      <w:r w:rsidRPr="00417E18">
        <w:rPr>
          <w:b/>
          <w:bCs/>
          <w:noProof/>
          <w:sz w:val="22"/>
          <w:szCs w:val="22"/>
        </w:rPr>
        <w:t>) imposes obligations on video sharing pl</w:t>
      </w:r>
      <w:r w:rsidR="6DE163EE" w:rsidRPr="00417E18">
        <w:rPr>
          <w:b/>
          <w:bCs/>
          <w:noProof/>
          <w:sz w:val="22"/>
          <w:szCs w:val="22"/>
        </w:rPr>
        <w:t xml:space="preserve">atforms </w:t>
      </w:r>
      <w:r w:rsidR="007D20F5">
        <w:rPr>
          <w:b/>
          <w:bCs/>
          <w:noProof/>
          <w:sz w:val="22"/>
          <w:szCs w:val="22"/>
        </w:rPr>
        <w:t xml:space="preserve">providers </w:t>
      </w:r>
      <w:r w:rsidR="6DE163EE" w:rsidRPr="00417E18">
        <w:rPr>
          <w:b/>
          <w:bCs/>
          <w:noProof/>
          <w:sz w:val="22"/>
          <w:szCs w:val="22"/>
        </w:rPr>
        <w:t xml:space="preserve">to embed EU content standards and child-safeguarding measures into their operations. </w:t>
      </w:r>
      <w:r w:rsidR="699DFF4C" w:rsidRPr="00417E18">
        <w:rPr>
          <w:noProof/>
          <w:sz w:val="22"/>
          <w:szCs w:val="22"/>
        </w:rPr>
        <w:t>Under the AVMSD,</w:t>
      </w:r>
      <w:r w:rsidR="746EDE39" w:rsidRPr="00417E18">
        <w:rPr>
          <w:noProof/>
          <w:sz w:val="22"/>
          <w:szCs w:val="22"/>
        </w:rPr>
        <w:t xml:space="preserve"> </w:t>
      </w:r>
      <w:r w:rsidR="7873832E" w:rsidRPr="00417E18">
        <w:rPr>
          <w:rFonts w:cs="Calibri"/>
          <w:noProof/>
          <w:sz w:val="22"/>
          <w:szCs w:val="22"/>
        </w:rPr>
        <w:t>all video-sharing platforms (VSPs) must include EU media content standards, notably those aimed at protecting minors from harmful content, in their terms and conditions. The</w:t>
      </w:r>
      <w:r w:rsidR="007D20F5">
        <w:rPr>
          <w:rFonts w:cs="Calibri"/>
          <w:noProof/>
          <w:sz w:val="22"/>
          <w:szCs w:val="22"/>
        </w:rPr>
        <w:t>ir providers</w:t>
      </w:r>
      <w:r w:rsidR="7873832E" w:rsidRPr="00417E18">
        <w:rPr>
          <w:rFonts w:cs="Calibri"/>
          <w:noProof/>
          <w:sz w:val="22"/>
          <w:szCs w:val="22"/>
        </w:rPr>
        <w:t xml:space="preserve"> are also required to take appropriate measures (e.g. mechanisms to report or flag harmful content, age verification, parental control and content rating systems) to </w:t>
      </w:r>
      <w:r w:rsidR="251E7700" w:rsidRPr="07868930">
        <w:rPr>
          <w:rFonts w:cs="Calibri"/>
          <w:noProof/>
          <w:sz w:val="22"/>
          <w:szCs w:val="22"/>
        </w:rPr>
        <w:t>prevent</w:t>
      </w:r>
      <w:r w:rsidR="7873832E" w:rsidRPr="00417E18">
        <w:rPr>
          <w:rFonts w:cs="Calibri"/>
          <w:noProof/>
          <w:sz w:val="22"/>
          <w:szCs w:val="22"/>
        </w:rPr>
        <w:t xml:space="preserve"> minors </w:t>
      </w:r>
      <w:r w:rsidR="007D20F5">
        <w:rPr>
          <w:rFonts w:cs="Calibri"/>
          <w:noProof/>
          <w:sz w:val="22"/>
          <w:szCs w:val="22"/>
        </w:rPr>
        <w:t xml:space="preserve">from </w:t>
      </w:r>
      <w:r w:rsidR="4D0660CF" w:rsidRPr="00417E18">
        <w:rPr>
          <w:rFonts w:cs="Calibri"/>
          <w:noProof/>
          <w:sz w:val="22"/>
          <w:szCs w:val="22"/>
        </w:rPr>
        <w:t>viewing</w:t>
      </w:r>
      <w:r w:rsidR="7873832E" w:rsidRPr="00417E18">
        <w:rPr>
          <w:rFonts w:cs="Calibri"/>
          <w:noProof/>
          <w:sz w:val="22"/>
          <w:szCs w:val="22"/>
        </w:rPr>
        <w:t xml:space="preserve"> harmful content.</w:t>
      </w:r>
      <w:r w:rsidR="2AD9A671" w:rsidRPr="00417E18">
        <w:rPr>
          <w:rFonts w:cs="Calibri"/>
          <w:noProof/>
          <w:sz w:val="22"/>
          <w:szCs w:val="22"/>
        </w:rPr>
        <w:t xml:space="preserve"> </w:t>
      </w:r>
      <w:r w:rsidR="55410178" w:rsidRPr="00417E18">
        <w:rPr>
          <w:rFonts w:cs="Calibri"/>
          <w:noProof/>
          <w:sz w:val="22"/>
          <w:szCs w:val="22"/>
        </w:rPr>
        <w:t>The Commission continues to monitor the implementation of the</w:t>
      </w:r>
      <w:r w:rsidR="2AD9A671" w:rsidRPr="00417E18">
        <w:rPr>
          <w:rFonts w:cs="Calibri"/>
          <w:noProof/>
          <w:sz w:val="22"/>
          <w:szCs w:val="22"/>
        </w:rPr>
        <w:t xml:space="preserve"> AVMSD by the Member States, including the provisions pertaining to the protection of minors. In addition, the Directive’s ongoing evaluation and review planned by Q3 2026 will assess whether more should be done to ensure that minors are protected when they view audiovisual content online, including when made available by influencers</w:t>
      </w:r>
      <w:r w:rsidR="4CD03D55" w:rsidRPr="19043818">
        <w:rPr>
          <w:rFonts w:cs="Calibri"/>
          <w:noProof/>
          <w:sz w:val="22"/>
          <w:szCs w:val="22"/>
        </w:rPr>
        <w:t xml:space="preserve"> when they qualify as audiovisual media service providers</w:t>
      </w:r>
      <w:r w:rsidR="2AD9A671" w:rsidRPr="19043818">
        <w:rPr>
          <w:rFonts w:cs="Calibri"/>
          <w:noProof/>
          <w:sz w:val="22"/>
          <w:szCs w:val="22"/>
        </w:rPr>
        <w:t>.</w:t>
      </w:r>
    </w:p>
    <w:p w14:paraId="557188C4" w14:textId="0120A538" w:rsidR="00E81DF9" w:rsidRPr="00417E18" w:rsidRDefault="0F1B6B49" w:rsidP="00C20644">
      <w:pPr>
        <w:spacing w:before="0" w:after="120" w:line="276" w:lineRule="auto"/>
        <w:rPr>
          <w:rFonts w:eastAsia="Calibri" w:cs="Calibri"/>
          <w:noProof/>
          <w:sz w:val="22"/>
          <w:szCs w:val="22"/>
        </w:rPr>
      </w:pPr>
      <w:r w:rsidRPr="00417E18">
        <w:rPr>
          <w:rFonts w:eastAsia="Calibri" w:cs="Calibri"/>
          <w:noProof/>
          <w:sz w:val="22"/>
          <w:szCs w:val="22"/>
        </w:rPr>
        <w:t>In response to the growing epidemic of cyberbullying</w:t>
      </w:r>
      <w:r w:rsidR="1C84D7AA" w:rsidRPr="00417E18">
        <w:rPr>
          <w:rStyle w:val="FootnoteReference"/>
          <w:rFonts w:eastAsia="Calibri" w:cs="Calibri"/>
          <w:noProof/>
          <w:sz w:val="22"/>
          <w:szCs w:val="22"/>
        </w:rPr>
        <w:footnoteReference w:id="75"/>
      </w:r>
      <w:r w:rsidRPr="5FCDC78E">
        <w:rPr>
          <w:rStyle w:val="FootnoteReference"/>
          <w:rFonts w:eastAsia="Calibri" w:cs="Calibri"/>
          <w:noProof/>
          <w:sz w:val="22"/>
          <w:szCs w:val="22"/>
        </w:rPr>
        <w:t xml:space="preserve"> </w:t>
      </w:r>
      <w:r w:rsidRPr="00417E18">
        <w:rPr>
          <w:rFonts w:eastAsia="Calibri" w:cs="Calibri"/>
          <w:noProof/>
          <w:sz w:val="22"/>
          <w:szCs w:val="22"/>
        </w:rPr>
        <w:t>the Commission has adopted an action plan against cyberbullying</w:t>
      </w:r>
      <w:r w:rsidR="00623F5C" w:rsidRPr="00417E18">
        <w:rPr>
          <w:rStyle w:val="FootnoteReference"/>
          <w:rFonts w:eastAsia="Calibri" w:cs="Calibri"/>
          <w:noProof/>
          <w:sz w:val="22"/>
          <w:szCs w:val="22"/>
        </w:rPr>
        <w:footnoteReference w:id="76"/>
      </w:r>
      <w:r w:rsidR="6CA4D0E1" w:rsidRPr="0C856F1D">
        <w:rPr>
          <w:rFonts w:eastAsia="Calibri" w:cs="Calibri"/>
          <w:noProof/>
          <w:sz w:val="22"/>
          <w:szCs w:val="22"/>
        </w:rPr>
        <w:t>.</w:t>
      </w:r>
      <w:r w:rsidR="4A7BE7EF" w:rsidRPr="0C856F1D">
        <w:rPr>
          <w:rFonts w:eastAsia="Calibri" w:cs="Calibri"/>
          <w:noProof/>
          <w:sz w:val="22"/>
          <w:szCs w:val="22"/>
        </w:rPr>
        <w:t xml:space="preserve"> </w:t>
      </w:r>
      <w:r w:rsidR="755A5B18" w:rsidRPr="00417E18">
        <w:rPr>
          <w:rFonts w:eastAsia="Calibri" w:cs="Calibri"/>
          <w:noProof/>
          <w:sz w:val="22"/>
          <w:szCs w:val="22"/>
        </w:rPr>
        <w:t>T</w:t>
      </w:r>
      <w:r w:rsidR="4A7BE7EF" w:rsidRPr="00417E18">
        <w:rPr>
          <w:rFonts w:eastAsia="Calibri" w:cs="Calibri"/>
          <w:noProof/>
          <w:sz w:val="22"/>
          <w:szCs w:val="22"/>
        </w:rPr>
        <w:t>he</w:t>
      </w:r>
      <w:r w:rsidRPr="00417E18">
        <w:rPr>
          <w:rFonts w:eastAsia="Calibri" w:cs="Calibri"/>
          <w:noProof/>
          <w:sz w:val="22"/>
          <w:szCs w:val="22"/>
        </w:rPr>
        <w:t xml:space="preserve"> initiative aims to strengthen the capacity to </w:t>
      </w:r>
      <w:r w:rsidR="166EE10D" w:rsidRPr="00417E18">
        <w:rPr>
          <w:rFonts w:eastAsia="Calibri" w:cs="Calibri"/>
          <w:noProof/>
          <w:sz w:val="22"/>
          <w:szCs w:val="22"/>
        </w:rPr>
        <w:t>prevent</w:t>
      </w:r>
      <w:r w:rsidR="262BB00F" w:rsidRPr="00417E18">
        <w:rPr>
          <w:rFonts w:eastAsia="Calibri" w:cs="Calibri"/>
          <w:noProof/>
          <w:sz w:val="22"/>
          <w:szCs w:val="22"/>
        </w:rPr>
        <w:t xml:space="preserve">, </w:t>
      </w:r>
      <w:r w:rsidRPr="00417E18">
        <w:rPr>
          <w:rFonts w:eastAsia="Calibri" w:cs="Calibri"/>
          <w:noProof/>
          <w:sz w:val="22"/>
          <w:szCs w:val="22"/>
        </w:rPr>
        <w:t>report and combat cyberbullying. The plan was prepared through targeted and public consultations involving children, researchers, experts</w:t>
      </w:r>
      <w:r w:rsidR="579C35BB" w:rsidRPr="00417E18">
        <w:rPr>
          <w:rFonts w:eastAsia="Calibri" w:cs="Calibri"/>
          <w:noProof/>
          <w:sz w:val="22"/>
          <w:szCs w:val="22"/>
        </w:rPr>
        <w:t>,</w:t>
      </w:r>
      <w:r w:rsidRPr="00417E18">
        <w:rPr>
          <w:rFonts w:eastAsia="Calibri" w:cs="Calibri"/>
          <w:noProof/>
          <w:sz w:val="22"/>
          <w:szCs w:val="22"/>
        </w:rPr>
        <w:t xml:space="preserve"> and the wider public.</w:t>
      </w:r>
    </w:p>
    <w:p w14:paraId="7F98A9A8" w14:textId="77777777" w:rsidR="00E81DF9" w:rsidRPr="00417E18" w:rsidRDefault="00E81DF9" w:rsidP="00E81DF9">
      <w:pPr>
        <w:spacing w:before="200" w:after="120" w:line="276" w:lineRule="auto"/>
        <w:rPr>
          <w:rFonts w:eastAsia="Calibri" w:cs="Calibri"/>
          <w:noProof/>
          <w:sz w:val="22"/>
          <w:szCs w:val="22"/>
        </w:rPr>
      </w:pPr>
      <w:r w:rsidRPr="00417E18">
        <w:rPr>
          <w:rFonts w:eastAsia="Calibri" w:cs="Calibri"/>
          <w:noProof/>
          <w:sz w:val="22"/>
          <w:szCs w:val="22"/>
        </w:rPr>
        <w:t>The action plan is structured around three pillars:</w:t>
      </w:r>
    </w:p>
    <w:p w14:paraId="1EB185CC" w14:textId="1F405F71" w:rsidR="00E81DF9" w:rsidRPr="00417E18" w:rsidRDefault="00E81DF9" w:rsidP="620B2450">
      <w:pPr>
        <w:pStyle w:val="ListParagraph"/>
        <w:numPr>
          <w:ilvl w:val="0"/>
          <w:numId w:val="7"/>
        </w:numPr>
        <w:spacing w:before="200" w:after="120" w:line="276" w:lineRule="auto"/>
        <w:rPr>
          <w:rFonts w:eastAsia="Calibri" w:cs="Calibri"/>
          <w:noProof/>
          <w:sz w:val="22"/>
          <w:szCs w:val="22"/>
        </w:rPr>
      </w:pPr>
      <w:r w:rsidRPr="00417E18">
        <w:rPr>
          <w:rFonts w:eastAsia="Calibri" w:cs="Calibri"/>
          <w:b/>
          <w:noProof/>
          <w:sz w:val="22"/>
          <w:szCs w:val="22"/>
        </w:rPr>
        <w:t>A coordinated EU approach to protection</w:t>
      </w:r>
      <w:r w:rsidR="430D9080" w:rsidRPr="00417E18">
        <w:rPr>
          <w:rFonts w:eastAsia="Calibri" w:cs="Calibri"/>
          <w:b/>
          <w:noProof/>
          <w:sz w:val="22"/>
          <w:szCs w:val="22"/>
        </w:rPr>
        <w:t>:</w:t>
      </w:r>
      <w:r w:rsidR="1B96BA6C" w:rsidRPr="00417E18">
        <w:rPr>
          <w:rFonts w:eastAsia="Calibri" w:cs="Calibri"/>
          <w:b/>
          <w:noProof/>
          <w:sz w:val="22"/>
          <w:szCs w:val="22"/>
        </w:rPr>
        <w:t xml:space="preserve"> </w:t>
      </w:r>
      <w:r w:rsidRPr="00417E18">
        <w:rPr>
          <w:rFonts w:eastAsia="Calibri" w:cs="Calibri"/>
          <w:noProof/>
          <w:sz w:val="22"/>
          <w:szCs w:val="22"/>
        </w:rPr>
        <w:t xml:space="preserve">The Commission will enforce existing laws while strengthening their focus on </w:t>
      </w:r>
      <w:r w:rsidR="6523E247" w:rsidRPr="00417E18">
        <w:rPr>
          <w:rFonts w:eastAsia="Calibri" w:cs="Calibri"/>
          <w:noProof/>
          <w:sz w:val="22"/>
          <w:szCs w:val="22"/>
        </w:rPr>
        <w:t>cyberbullying and</w:t>
      </w:r>
      <w:r w:rsidRPr="00417E18">
        <w:rPr>
          <w:rFonts w:eastAsia="Calibri" w:cs="Calibri"/>
          <w:noProof/>
          <w:sz w:val="22"/>
          <w:szCs w:val="22"/>
        </w:rPr>
        <w:t xml:space="preserve"> invites Member States to develop national policies based on a shared understanding of the issue.</w:t>
      </w:r>
    </w:p>
    <w:p w14:paraId="01F139CC" w14:textId="02DEB0BC" w:rsidR="00E81DF9" w:rsidRPr="00417E18" w:rsidRDefault="00E81DF9" w:rsidP="620B2450">
      <w:pPr>
        <w:pStyle w:val="ListParagraph"/>
        <w:numPr>
          <w:ilvl w:val="0"/>
          <w:numId w:val="6"/>
        </w:numPr>
        <w:spacing w:before="200" w:after="120" w:line="276" w:lineRule="auto"/>
        <w:rPr>
          <w:rFonts w:eastAsia="Calibri" w:cs="Calibri"/>
          <w:noProof/>
          <w:sz w:val="22"/>
          <w:szCs w:val="22"/>
        </w:rPr>
      </w:pPr>
      <w:r w:rsidRPr="00417E18">
        <w:rPr>
          <w:rFonts w:eastAsia="Calibri" w:cs="Calibri"/>
          <w:b/>
          <w:noProof/>
          <w:sz w:val="22"/>
          <w:szCs w:val="22"/>
        </w:rPr>
        <w:t>Prevention and awareness</w:t>
      </w:r>
      <w:r w:rsidR="78567C20" w:rsidRPr="00417E18">
        <w:rPr>
          <w:rFonts w:eastAsia="Calibri" w:cs="Calibri"/>
          <w:b/>
          <w:noProof/>
          <w:sz w:val="22"/>
          <w:szCs w:val="22"/>
        </w:rPr>
        <w:t>:</w:t>
      </w:r>
      <w:r w:rsidR="2683A02C" w:rsidRPr="00417E18">
        <w:rPr>
          <w:rFonts w:eastAsia="Calibri" w:cs="Calibri"/>
          <w:b/>
          <w:noProof/>
          <w:sz w:val="22"/>
          <w:szCs w:val="22"/>
        </w:rPr>
        <w:t xml:space="preserve"> </w:t>
      </w:r>
      <w:r w:rsidRPr="00417E18">
        <w:rPr>
          <w:rFonts w:eastAsia="Calibri" w:cs="Calibri"/>
          <w:noProof/>
          <w:sz w:val="22"/>
          <w:szCs w:val="22"/>
        </w:rPr>
        <w:t>The plan promotes responsible digital habits from an early age and will provide EU-level tools developed with input from key stakeholders.</w:t>
      </w:r>
    </w:p>
    <w:p w14:paraId="132CB92F" w14:textId="2233B996" w:rsidR="00E81DF9" w:rsidRPr="00417E18" w:rsidRDefault="00E81DF9" w:rsidP="70E62784">
      <w:pPr>
        <w:pStyle w:val="ListParagraph"/>
        <w:numPr>
          <w:ilvl w:val="0"/>
          <w:numId w:val="6"/>
        </w:numPr>
        <w:spacing w:before="200" w:after="120" w:line="276" w:lineRule="auto"/>
        <w:rPr>
          <w:rFonts w:eastAsia="Calibri" w:cs="Calibri"/>
          <w:noProof/>
          <w:sz w:val="22"/>
          <w:szCs w:val="22"/>
        </w:rPr>
      </w:pPr>
      <w:r w:rsidRPr="00417E18">
        <w:rPr>
          <w:rFonts w:eastAsia="Calibri" w:cs="Calibri"/>
          <w:b/>
          <w:bCs/>
          <w:noProof/>
          <w:sz w:val="22"/>
          <w:szCs w:val="22"/>
        </w:rPr>
        <w:t>Reporting and support</w:t>
      </w:r>
      <w:r w:rsidR="193CD214" w:rsidRPr="00417E18">
        <w:rPr>
          <w:rFonts w:eastAsia="Calibri" w:cs="Calibri"/>
          <w:b/>
          <w:bCs/>
          <w:noProof/>
          <w:sz w:val="22"/>
          <w:szCs w:val="22"/>
        </w:rPr>
        <w:t>:</w:t>
      </w:r>
      <w:r w:rsidR="048B1C8F" w:rsidRPr="00417E18">
        <w:rPr>
          <w:rFonts w:eastAsia="Calibri" w:cs="Calibri"/>
          <w:b/>
          <w:bCs/>
          <w:noProof/>
          <w:sz w:val="22"/>
          <w:szCs w:val="22"/>
        </w:rPr>
        <w:t xml:space="preserve"> </w:t>
      </w:r>
      <w:r w:rsidRPr="00417E18">
        <w:rPr>
          <w:rFonts w:eastAsia="Calibri" w:cs="Calibri"/>
          <w:noProof/>
          <w:sz w:val="22"/>
          <w:szCs w:val="22"/>
        </w:rPr>
        <w:t xml:space="preserve">The plan ensures clear and accessible reporting and support for all, especially victims and bystanders. The Commission will support the rollout of an online safety app </w:t>
      </w:r>
      <w:r w:rsidR="2B466901" w:rsidRPr="00417E18">
        <w:rPr>
          <w:rFonts w:eastAsia="Calibri" w:cs="Calibri"/>
          <w:noProof/>
          <w:sz w:val="22"/>
          <w:szCs w:val="22"/>
        </w:rPr>
        <w:t xml:space="preserve">across Member States </w:t>
      </w:r>
      <w:r w:rsidRPr="00417E18">
        <w:rPr>
          <w:rFonts w:eastAsia="Calibri" w:cs="Calibri"/>
          <w:noProof/>
          <w:sz w:val="22"/>
          <w:szCs w:val="22"/>
        </w:rPr>
        <w:t>to help children report cyberbullying, store evidence and access assistance.</w:t>
      </w:r>
    </w:p>
    <w:p w14:paraId="0D94C72D" w14:textId="302CD006" w:rsidR="003A53C2" w:rsidRPr="00417E18" w:rsidRDefault="08098F1C" w:rsidP="00DD14DC">
      <w:pPr>
        <w:spacing w:before="200" w:after="120" w:line="276" w:lineRule="auto"/>
        <w:rPr>
          <w:rFonts w:eastAsia="Calibri" w:cs="Calibri"/>
          <w:noProof/>
          <w:color w:val="000000" w:themeColor="text1"/>
          <w:sz w:val="22"/>
          <w:szCs w:val="22"/>
        </w:rPr>
      </w:pPr>
      <w:r w:rsidRPr="00417E18">
        <w:rPr>
          <w:rFonts w:eastAsia="Calibri" w:cs="Calibri"/>
          <w:noProof/>
          <w:sz w:val="22"/>
          <w:szCs w:val="22"/>
        </w:rPr>
        <w:t xml:space="preserve">Lastly, </w:t>
      </w:r>
      <w:r w:rsidR="46C6BDED" w:rsidRPr="002C1E29">
        <w:rPr>
          <w:rFonts w:eastAsia="Calibri" w:cs="Calibri"/>
          <w:noProof/>
          <w:sz w:val="22"/>
          <w:szCs w:val="22"/>
        </w:rPr>
        <w:t xml:space="preserve">efforts to </w:t>
      </w:r>
      <w:r w:rsidR="0058090B">
        <w:rPr>
          <w:rFonts w:eastAsia="Calibri" w:cs="Calibri"/>
          <w:noProof/>
          <w:sz w:val="22"/>
          <w:szCs w:val="22"/>
        </w:rPr>
        <w:t>establish an EU-wide</w:t>
      </w:r>
      <w:r w:rsidR="000768C6">
        <w:rPr>
          <w:rFonts w:eastAsia="Calibri" w:cs="Calibri"/>
          <w:noProof/>
          <w:sz w:val="22"/>
          <w:szCs w:val="22"/>
        </w:rPr>
        <w:t xml:space="preserve"> approach </w:t>
      </w:r>
      <w:r w:rsidR="001C2D95">
        <w:rPr>
          <w:rFonts w:eastAsia="Calibri" w:cs="Calibri"/>
          <w:noProof/>
          <w:sz w:val="22"/>
          <w:szCs w:val="22"/>
        </w:rPr>
        <w:t xml:space="preserve">to </w:t>
      </w:r>
      <w:r w:rsidR="5651056F" w:rsidRPr="19043818">
        <w:rPr>
          <w:rFonts w:eastAsia="Calibri" w:cs="Calibri"/>
          <w:noProof/>
          <w:sz w:val="22"/>
          <w:szCs w:val="22"/>
        </w:rPr>
        <w:t xml:space="preserve">age verification are advancing, with the release of the blueprint for </w:t>
      </w:r>
      <w:r w:rsidR="007D1D0C">
        <w:rPr>
          <w:rFonts w:eastAsia="Calibri" w:cs="Calibri"/>
          <w:noProof/>
          <w:sz w:val="22"/>
          <w:szCs w:val="22"/>
        </w:rPr>
        <w:t>a secure</w:t>
      </w:r>
      <w:r w:rsidR="56F08E76" w:rsidRPr="19043818">
        <w:rPr>
          <w:rFonts w:eastAsia="Calibri" w:cs="Calibri"/>
          <w:noProof/>
          <w:sz w:val="22"/>
          <w:szCs w:val="22"/>
        </w:rPr>
        <w:t>, privacy-</w:t>
      </w:r>
      <w:r w:rsidR="6E27C7B6" w:rsidRPr="19043818">
        <w:rPr>
          <w:rFonts w:eastAsia="Calibri" w:cs="Calibri"/>
          <w:noProof/>
          <w:sz w:val="22"/>
          <w:szCs w:val="22"/>
        </w:rPr>
        <w:t>preserving</w:t>
      </w:r>
      <w:r w:rsidR="007D1D0C" w:rsidRPr="19043818">
        <w:rPr>
          <w:rFonts w:eastAsia="Calibri" w:cs="Calibri"/>
          <w:noProof/>
          <w:sz w:val="22"/>
          <w:szCs w:val="22"/>
        </w:rPr>
        <w:t xml:space="preserve"> and</w:t>
      </w:r>
      <w:r w:rsidR="05B170EA" w:rsidRPr="19043818">
        <w:rPr>
          <w:rFonts w:eastAsia="Calibri" w:cs="Calibri"/>
          <w:noProof/>
          <w:sz w:val="22"/>
          <w:szCs w:val="22"/>
        </w:rPr>
        <w:t xml:space="preserve"> </w:t>
      </w:r>
      <w:r w:rsidR="6111BF4A" w:rsidRPr="19043818">
        <w:rPr>
          <w:rFonts w:eastAsia="Calibri" w:cs="Calibri"/>
          <w:noProof/>
          <w:sz w:val="22"/>
          <w:szCs w:val="22"/>
        </w:rPr>
        <w:t xml:space="preserve">fully </w:t>
      </w:r>
      <w:r w:rsidR="5AF807F1" w:rsidRPr="19043818">
        <w:rPr>
          <w:rFonts w:eastAsia="Calibri" w:cs="Calibri"/>
          <w:noProof/>
          <w:sz w:val="22"/>
          <w:szCs w:val="22"/>
        </w:rPr>
        <w:t>data-protection</w:t>
      </w:r>
      <w:r w:rsidR="7E25EB34" w:rsidRPr="19043818">
        <w:rPr>
          <w:rFonts w:eastAsia="Calibri" w:cs="Calibri"/>
          <w:noProof/>
          <w:sz w:val="22"/>
          <w:szCs w:val="22"/>
        </w:rPr>
        <w:t>-</w:t>
      </w:r>
      <w:r w:rsidR="6111BF4A" w:rsidRPr="19043818">
        <w:rPr>
          <w:rFonts w:eastAsia="Calibri" w:cs="Calibri"/>
          <w:noProof/>
          <w:sz w:val="22"/>
          <w:szCs w:val="22"/>
        </w:rPr>
        <w:t>compliant</w:t>
      </w:r>
      <w:r w:rsidR="05B170EA" w:rsidRPr="002C1E29">
        <w:rPr>
          <w:rFonts w:eastAsia="Calibri" w:cs="Calibri"/>
          <w:noProof/>
          <w:sz w:val="22"/>
          <w:szCs w:val="22"/>
        </w:rPr>
        <w:t xml:space="preserve"> </w:t>
      </w:r>
      <w:r w:rsidRPr="00417E18">
        <w:rPr>
          <w:rFonts w:eastAsia="Calibri" w:cs="Calibri"/>
          <w:b/>
          <w:noProof/>
          <w:color w:val="000000" w:themeColor="text1"/>
          <w:sz w:val="22"/>
          <w:szCs w:val="22"/>
        </w:rPr>
        <w:t xml:space="preserve">EU Age Verification </w:t>
      </w:r>
      <w:r w:rsidR="2C2B6E5F" w:rsidRPr="002C1E29">
        <w:rPr>
          <w:rFonts w:eastAsia="Calibri" w:cs="Calibri"/>
          <w:b/>
          <w:bCs/>
          <w:noProof/>
          <w:color w:val="000000" w:themeColor="text1"/>
          <w:sz w:val="22"/>
          <w:szCs w:val="22"/>
        </w:rPr>
        <w:t>solution</w:t>
      </w:r>
      <w:r w:rsidR="2C2B6E5F">
        <w:rPr>
          <w:rFonts w:eastAsia="Calibri" w:cs="Calibri"/>
          <w:noProof/>
          <w:color w:val="000000" w:themeColor="text1"/>
          <w:sz w:val="22"/>
          <w:szCs w:val="22"/>
        </w:rPr>
        <w:t xml:space="preserve"> </w:t>
      </w:r>
      <w:r w:rsidR="00540729">
        <w:rPr>
          <w:rFonts w:eastAsia="Calibri" w:cs="Calibri"/>
          <w:noProof/>
          <w:color w:val="000000" w:themeColor="text1"/>
          <w:sz w:val="22"/>
          <w:szCs w:val="22"/>
        </w:rPr>
        <w:t xml:space="preserve">in </w:t>
      </w:r>
      <w:r w:rsidR="00871646">
        <w:rPr>
          <w:rFonts w:eastAsia="Calibri" w:cs="Calibri"/>
          <w:noProof/>
          <w:color w:val="000000" w:themeColor="text1"/>
          <w:sz w:val="22"/>
          <w:szCs w:val="22"/>
        </w:rPr>
        <w:t>July 2025</w:t>
      </w:r>
      <w:r w:rsidR="00524ADB">
        <w:rPr>
          <w:rFonts w:eastAsia="Calibri" w:cs="Calibri"/>
          <w:noProof/>
          <w:color w:val="000000" w:themeColor="text1"/>
          <w:sz w:val="22"/>
          <w:szCs w:val="22"/>
        </w:rPr>
        <w:t xml:space="preserve">. </w:t>
      </w:r>
      <w:r w:rsidR="00524ADB" w:rsidRPr="7FC664B4">
        <w:rPr>
          <w:rFonts w:eastAsia="Calibri" w:cs="Calibri"/>
          <w:noProof/>
          <w:color w:val="000000" w:themeColor="text1"/>
          <w:sz w:val="22"/>
          <w:szCs w:val="22"/>
        </w:rPr>
        <w:t>O</w:t>
      </w:r>
      <w:r w:rsidR="699C912D" w:rsidRPr="7FC664B4">
        <w:rPr>
          <w:rFonts w:eastAsia="Calibri" w:cs="Calibri"/>
          <w:noProof/>
          <w:color w:val="000000" w:themeColor="text1"/>
          <w:sz w:val="22"/>
          <w:szCs w:val="22"/>
        </w:rPr>
        <w:t xml:space="preserve">n </w:t>
      </w:r>
      <w:r w:rsidR="00871646" w:rsidRPr="7FC664B4">
        <w:rPr>
          <w:rFonts w:eastAsia="Calibri" w:cs="Calibri"/>
          <w:noProof/>
          <w:color w:val="000000" w:themeColor="text1"/>
          <w:sz w:val="22"/>
          <w:szCs w:val="22"/>
        </w:rPr>
        <w:t>15</w:t>
      </w:r>
      <w:r w:rsidR="699C912D" w:rsidRPr="002C1E29">
        <w:rPr>
          <w:rFonts w:eastAsia="Calibri" w:cs="Calibri"/>
          <w:noProof/>
          <w:color w:val="000000" w:themeColor="text1"/>
          <w:sz w:val="22"/>
          <w:szCs w:val="22"/>
        </w:rPr>
        <w:t xml:space="preserve"> April 2026</w:t>
      </w:r>
      <w:r w:rsidR="00524ADB">
        <w:rPr>
          <w:rFonts w:eastAsia="Calibri" w:cs="Calibri"/>
          <w:noProof/>
          <w:color w:val="000000" w:themeColor="text1"/>
          <w:sz w:val="22"/>
          <w:szCs w:val="22"/>
        </w:rPr>
        <w:t xml:space="preserve">, the Commission presented </w:t>
      </w:r>
      <w:r w:rsidRPr="00417E18">
        <w:rPr>
          <w:rFonts w:eastAsia="Calibri" w:cs="Calibri"/>
          <w:noProof/>
          <w:color w:val="000000" w:themeColor="text1"/>
          <w:sz w:val="22"/>
          <w:szCs w:val="22"/>
        </w:rPr>
        <w:t xml:space="preserve">the </w:t>
      </w:r>
      <w:r w:rsidR="006546E7">
        <w:rPr>
          <w:rFonts w:eastAsia="Calibri" w:cs="Calibri"/>
          <w:noProof/>
          <w:color w:val="000000" w:themeColor="text1"/>
          <w:sz w:val="22"/>
          <w:szCs w:val="22"/>
        </w:rPr>
        <w:t xml:space="preserve">feature-complete EU age verification </w:t>
      </w:r>
      <w:r w:rsidR="0023385E">
        <w:rPr>
          <w:rFonts w:eastAsia="Calibri" w:cs="Calibri"/>
          <w:noProof/>
          <w:color w:val="000000" w:themeColor="text1"/>
          <w:sz w:val="22"/>
          <w:szCs w:val="22"/>
        </w:rPr>
        <w:t>solution</w:t>
      </w:r>
      <w:r w:rsidRPr="002C1E29">
        <w:rPr>
          <w:rFonts w:eastAsia="Calibri" w:cs="Calibri"/>
          <w:noProof/>
          <w:color w:val="000000" w:themeColor="text1"/>
          <w:sz w:val="22"/>
          <w:szCs w:val="22"/>
        </w:rPr>
        <w:t>.</w:t>
      </w:r>
      <w:r w:rsidR="442C7072" w:rsidRPr="002C1E29">
        <w:rPr>
          <w:rFonts w:eastAsia="Calibri" w:cs="Calibri"/>
          <w:noProof/>
          <w:color w:val="000000" w:themeColor="text1"/>
          <w:sz w:val="22"/>
          <w:szCs w:val="22"/>
        </w:rPr>
        <w:t xml:space="preserve"> In parallel, </w:t>
      </w:r>
      <w:r w:rsidR="009F50FD">
        <w:rPr>
          <w:rFonts w:eastAsia="Calibri" w:cs="Calibri"/>
          <w:noProof/>
          <w:color w:val="000000" w:themeColor="text1"/>
          <w:sz w:val="22"/>
          <w:szCs w:val="22"/>
        </w:rPr>
        <w:t xml:space="preserve">and to accelerate </w:t>
      </w:r>
      <w:r w:rsidR="00CB5A84">
        <w:rPr>
          <w:rFonts w:eastAsia="Calibri" w:cs="Calibri"/>
          <w:noProof/>
          <w:color w:val="000000" w:themeColor="text1"/>
          <w:sz w:val="22"/>
          <w:szCs w:val="22"/>
        </w:rPr>
        <w:t>progress across the EU</w:t>
      </w:r>
      <w:r w:rsidR="442C7072" w:rsidRPr="002C1E29">
        <w:rPr>
          <w:rFonts w:eastAsia="Calibri" w:cs="Calibri"/>
          <w:noProof/>
          <w:color w:val="000000" w:themeColor="text1"/>
          <w:sz w:val="22"/>
          <w:szCs w:val="22"/>
        </w:rPr>
        <w:t xml:space="preserve">, the Commission adopted a recommendation </w:t>
      </w:r>
      <w:r w:rsidR="00792CFB">
        <w:rPr>
          <w:rFonts w:eastAsia="Calibri" w:cs="Calibri"/>
          <w:noProof/>
          <w:color w:val="000000" w:themeColor="text1"/>
          <w:sz w:val="22"/>
          <w:szCs w:val="22"/>
        </w:rPr>
        <w:t>on 29 April 2026</w:t>
      </w:r>
      <w:r w:rsidR="442C7072" w:rsidRPr="002C1E29">
        <w:rPr>
          <w:rFonts w:eastAsia="Calibri" w:cs="Calibri"/>
          <w:noProof/>
          <w:color w:val="000000" w:themeColor="text1"/>
          <w:sz w:val="22"/>
          <w:szCs w:val="22"/>
        </w:rPr>
        <w:t xml:space="preserve"> urging Member States to </w:t>
      </w:r>
      <w:r w:rsidR="005A2689">
        <w:rPr>
          <w:rFonts w:eastAsia="Calibri" w:cs="Calibri"/>
          <w:noProof/>
          <w:color w:val="000000" w:themeColor="text1"/>
          <w:sz w:val="22"/>
          <w:szCs w:val="22"/>
        </w:rPr>
        <w:t>make use</w:t>
      </w:r>
      <w:r w:rsidRPr="00417E18">
        <w:rPr>
          <w:rFonts w:eastAsia="Calibri" w:cs="Calibri"/>
          <w:noProof/>
          <w:color w:val="000000" w:themeColor="text1"/>
          <w:sz w:val="22"/>
          <w:szCs w:val="22"/>
        </w:rPr>
        <w:t xml:space="preserve"> of </w:t>
      </w:r>
      <w:r w:rsidR="005A2689">
        <w:rPr>
          <w:rFonts w:eastAsia="Calibri" w:cs="Calibri"/>
          <w:noProof/>
          <w:color w:val="000000" w:themeColor="text1"/>
          <w:sz w:val="22"/>
          <w:szCs w:val="22"/>
        </w:rPr>
        <w:t>the age verification blueprint</w:t>
      </w:r>
      <w:r w:rsidR="00EC191C">
        <w:rPr>
          <w:rFonts w:eastAsia="Calibri" w:cs="Calibri"/>
          <w:noProof/>
          <w:color w:val="000000" w:themeColor="text1"/>
          <w:sz w:val="22"/>
          <w:szCs w:val="22"/>
        </w:rPr>
        <w:t xml:space="preserve"> and </w:t>
      </w:r>
      <w:r w:rsidR="001E0D8E">
        <w:rPr>
          <w:rFonts w:eastAsia="Calibri" w:cs="Calibri"/>
          <w:noProof/>
          <w:color w:val="000000" w:themeColor="text1"/>
          <w:sz w:val="22"/>
          <w:szCs w:val="22"/>
        </w:rPr>
        <w:t xml:space="preserve">draw up implementation plans </w:t>
      </w:r>
      <w:r w:rsidR="000C528F">
        <w:rPr>
          <w:rFonts w:eastAsia="Calibri" w:cs="Calibri"/>
          <w:noProof/>
          <w:color w:val="000000" w:themeColor="text1"/>
          <w:sz w:val="22"/>
          <w:szCs w:val="22"/>
        </w:rPr>
        <w:t xml:space="preserve">to ensure swift </w:t>
      </w:r>
      <w:r w:rsidR="001F1F24">
        <w:rPr>
          <w:rFonts w:eastAsia="Calibri" w:cs="Calibri"/>
          <w:noProof/>
          <w:color w:val="000000" w:themeColor="text1"/>
          <w:sz w:val="22"/>
          <w:szCs w:val="22"/>
        </w:rPr>
        <w:t>adoption</w:t>
      </w:r>
      <w:r w:rsidR="00792CFB">
        <w:rPr>
          <w:rFonts w:eastAsia="Calibri" w:cs="Calibri"/>
          <w:noProof/>
          <w:color w:val="000000" w:themeColor="text1"/>
          <w:sz w:val="22"/>
          <w:szCs w:val="22"/>
        </w:rPr>
        <w:t xml:space="preserve"> of </w:t>
      </w:r>
      <w:r w:rsidR="004F212D" w:rsidRPr="7FC664B4">
        <w:rPr>
          <w:rFonts w:eastAsia="Calibri" w:cs="Calibri"/>
          <w:noProof/>
          <w:color w:val="000000" w:themeColor="text1"/>
          <w:sz w:val="22"/>
          <w:szCs w:val="22"/>
        </w:rPr>
        <w:t>national</w:t>
      </w:r>
      <w:r w:rsidR="61EB59B5" w:rsidRPr="002C1E29">
        <w:rPr>
          <w:rFonts w:eastAsia="Calibri" w:cs="Calibri"/>
          <w:noProof/>
          <w:color w:val="000000" w:themeColor="text1"/>
          <w:sz w:val="22"/>
          <w:szCs w:val="22"/>
        </w:rPr>
        <w:t xml:space="preserve"> age verification </w:t>
      </w:r>
      <w:r w:rsidR="00C26CE5" w:rsidRPr="7FC664B4">
        <w:rPr>
          <w:rFonts w:eastAsia="Calibri" w:cs="Calibri"/>
          <w:noProof/>
          <w:color w:val="000000" w:themeColor="text1"/>
          <w:sz w:val="22"/>
          <w:szCs w:val="22"/>
        </w:rPr>
        <w:t>solutions</w:t>
      </w:r>
      <w:r w:rsidR="61EB59B5" w:rsidRPr="7FC664B4">
        <w:rPr>
          <w:rFonts w:eastAsia="Calibri" w:cs="Calibri"/>
          <w:noProof/>
          <w:color w:val="000000" w:themeColor="text1"/>
          <w:sz w:val="22"/>
          <w:szCs w:val="22"/>
        </w:rPr>
        <w:t xml:space="preserve"> </w:t>
      </w:r>
      <w:r w:rsidR="61EB59B5" w:rsidRPr="002C1E29">
        <w:rPr>
          <w:rFonts w:eastAsia="Calibri" w:cs="Calibri"/>
          <w:noProof/>
          <w:color w:val="000000" w:themeColor="text1"/>
          <w:sz w:val="22"/>
          <w:szCs w:val="22"/>
        </w:rPr>
        <w:t>by 31 December 2026.</w:t>
      </w:r>
      <w:r w:rsidR="442C7072" w:rsidRPr="002C1E29">
        <w:rPr>
          <w:rFonts w:eastAsia="Calibri" w:cs="Calibri"/>
          <w:noProof/>
          <w:color w:val="000000" w:themeColor="text1"/>
          <w:sz w:val="22"/>
          <w:szCs w:val="22"/>
        </w:rPr>
        <w:t xml:space="preserve"> </w:t>
      </w:r>
      <w:r w:rsidRPr="00417E18">
        <w:rPr>
          <w:rFonts w:eastAsia="Calibri" w:cs="Calibri"/>
          <w:noProof/>
          <w:color w:val="000000" w:themeColor="text1"/>
          <w:sz w:val="22"/>
          <w:szCs w:val="22"/>
        </w:rPr>
        <w:t xml:space="preserve">The forerunner Member States </w:t>
      </w:r>
      <w:r w:rsidR="008F447E">
        <w:rPr>
          <w:rFonts w:eastAsia="Calibri" w:cs="Calibri"/>
          <w:noProof/>
          <w:color w:val="000000" w:themeColor="text1"/>
          <w:sz w:val="22"/>
          <w:szCs w:val="22"/>
        </w:rPr>
        <w:t>(DK, FR, GR, IT, ES, CY</w:t>
      </w:r>
      <w:r w:rsidR="005761A5">
        <w:rPr>
          <w:rFonts w:eastAsia="Calibri" w:cs="Calibri"/>
          <w:noProof/>
          <w:color w:val="000000" w:themeColor="text1"/>
          <w:sz w:val="22"/>
          <w:szCs w:val="22"/>
        </w:rPr>
        <w:t xml:space="preserve"> and IE</w:t>
      </w:r>
      <w:r w:rsidR="00BB6E4F">
        <w:rPr>
          <w:rFonts w:eastAsia="Calibri" w:cs="Calibri"/>
          <w:noProof/>
          <w:color w:val="000000" w:themeColor="text1"/>
          <w:sz w:val="22"/>
          <w:szCs w:val="22"/>
        </w:rPr>
        <w:t>)</w:t>
      </w:r>
      <w:r w:rsidRPr="00417E18">
        <w:rPr>
          <w:rFonts w:eastAsia="Calibri" w:cs="Calibri"/>
          <w:noProof/>
          <w:color w:val="000000" w:themeColor="text1"/>
          <w:sz w:val="22"/>
          <w:szCs w:val="22"/>
        </w:rPr>
        <w:t xml:space="preserve"> are </w:t>
      </w:r>
      <w:r w:rsidR="028633D8" w:rsidRPr="00417E18">
        <w:rPr>
          <w:rFonts w:eastAsia="Calibri" w:cs="Calibri"/>
          <w:noProof/>
          <w:color w:val="000000" w:themeColor="text1"/>
          <w:sz w:val="22"/>
          <w:szCs w:val="22"/>
        </w:rPr>
        <w:t xml:space="preserve">advancing </w:t>
      </w:r>
      <w:r w:rsidRPr="00417E18">
        <w:rPr>
          <w:rFonts w:eastAsia="Calibri" w:cs="Calibri"/>
          <w:noProof/>
          <w:color w:val="000000" w:themeColor="text1"/>
          <w:sz w:val="22"/>
          <w:szCs w:val="22"/>
        </w:rPr>
        <w:t xml:space="preserve">with their implementation of the Age Verification solution, and </w:t>
      </w:r>
      <w:r w:rsidR="57E01C3B" w:rsidRPr="002C1E29">
        <w:rPr>
          <w:rFonts w:eastAsia="Calibri" w:cs="Calibri"/>
          <w:noProof/>
          <w:color w:val="000000" w:themeColor="text1"/>
          <w:sz w:val="22"/>
          <w:szCs w:val="22"/>
        </w:rPr>
        <w:t xml:space="preserve">the </w:t>
      </w:r>
      <w:r w:rsidRPr="00417E18">
        <w:rPr>
          <w:rFonts w:eastAsia="Calibri" w:cs="Calibri"/>
          <w:noProof/>
          <w:color w:val="000000" w:themeColor="text1"/>
          <w:sz w:val="22"/>
          <w:szCs w:val="22"/>
        </w:rPr>
        <w:t xml:space="preserve">first national solutions are expected to be available </w:t>
      </w:r>
      <w:r w:rsidR="3D531F4D" w:rsidRPr="002C1E29">
        <w:rPr>
          <w:rFonts w:eastAsia="Calibri" w:cs="Calibri"/>
          <w:noProof/>
          <w:color w:val="000000" w:themeColor="text1"/>
          <w:sz w:val="22"/>
          <w:szCs w:val="22"/>
        </w:rPr>
        <w:t>mid-</w:t>
      </w:r>
      <w:r w:rsidRPr="00417E18">
        <w:rPr>
          <w:rFonts w:eastAsia="Calibri" w:cs="Calibri"/>
          <w:noProof/>
          <w:color w:val="000000" w:themeColor="text1"/>
          <w:sz w:val="22"/>
          <w:szCs w:val="22"/>
        </w:rPr>
        <w:t>2026</w:t>
      </w:r>
      <w:r w:rsidR="592926BB" w:rsidRPr="00417E18">
        <w:rPr>
          <w:rFonts w:eastAsia="Calibri" w:cs="Calibri"/>
          <w:noProof/>
          <w:color w:val="000000" w:themeColor="text1"/>
          <w:sz w:val="22"/>
          <w:szCs w:val="22"/>
        </w:rPr>
        <w:t>.</w:t>
      </w:r>
    </w:p>
    <w:tbl>
      <w:tblPr>
        <w:tblStyle w:val="TableGrid"/>
        <w:tblW w:w="9356" w:type="dxa"/>
        <w:tblInd w:w="-5" w:type="dxa"/>
        <w:tblLook w:val="06A0" w:firstRow="1" w:lastRow="0" w:firstColumn="1" w:lastColumn="0" w:noHBand="1" w:noVBand="1"/>
      </w:tblPr>
      <w:tblGrid>
        <w:gridCol w:w="9356"/>
      </w:tblGrid>
      <w:tr w:rsidR="51BDE76C" w:rsidRPr="00417E18" w14:paraId="0FF034D0" w14:textId="77777777" w:rsidTr="468C9DB1">
        <w:trPr>
          <w:trHeight w:val="300"/>
        </w:trPr>
        <w:tc>
          <w:tcPr>
            <w:tcW w:w="9356" w:type="dxa"/>
            <w:shd w:val="clear" w:color="auto" w:fill="D4F1EE"/>
          </w:tcPr>
          <w:p w14:paraId="1C35F59F" w14:textId="0CF5B25A" w:rsidR="51BDE76C" w:rsidRPr="00417E18" w:rsidRDefault="4966DFEF" w:rsidP="50A16846">
            <w:pPr>
              <w:ind w:left="-106"/>
              <w:jc w:val="left"/>
              <w:rPr>
                <w:b/>
                <w:bCs/>
                <w:noProof/>
              </w:rPr>
            </w:pPr>
            <w:r w:rsidRPr="00417E18">
              <w:rPr>
                <w:b/>
                <w:noProof/>
              </w:rPr>
              <w:t xml:space="preserve">Recommendation: </w:t>
            </w:r>
          </w:p>
          <w:p w14:paraId="526257E0" w14:textId="74996DD6" w:rsidR="51BDE76C" w:rsidRPr="00417E18" w:rsidRDefault="3B5DC1C2" w:rsidP="04A95214">
            <w:pPr>
              <w:spacing w:line="278" w:lineRule="auto"/>
              <w:rPr>
                <w:rFonts w:eastAsia="Calibri" w:cs="Calibri"/>
                <w:noProof/>
              </w:rPr>
            </w:pPr>
            <w:r w:rsidRPr="00417E18">
              <w:rPr>
                <w:rFonts w:eastAsia="Calibri" w:cs="Calibri"/>
                <w:noProof/>
              </w:rPr>
              <w:t xml:space="preserve">Member States should reinforce the protection of people and minors in the online </w:t>
            </w:r>
            <w:r w:rsidR="002134F1" w:rsidRPr="00417E18">
              <w:rPr>
                <w:rFonts w:eastAsia="Calibri" w:cs="Calibri"/>
                <w:noProof/>
              </w:rPr>
              <w:t xml:space="preserve">space, </w:t>
            </w:r>
            <w:r w:rsidR="002134F1" w:rsidRPr="22187FB5">
              <w:rPr>
                <w:rFonts w:eastAsia="Calibri" w:cs="Calibri"/>
                <w:noProof/>
              </w:rPr>
              <w:t>by</w:t>
            </w:r>
            <w:r w:rsidRPr="00417E18">
              <w:rPr>
                <w:rFonts w:eastAsia="Calibri" w:cs="Calibri"/>
                <w:noProof/>
              </w:rPr>
              <w:t>:</w:t>
            </w:r>
          </w:p>
          <w:p w14:paraId="1F69E409" w14:textId="008E4EC9" w:rsidR="51BDE76C" w:rsidRPr="00417E18" w:rsidRDefault="492F9C68" w:rsidP="00F36E2D">
            <w:pPr>
              <w:pStyle w:val="ListParagraph"/>
              <w:numPr>
                <w:ilvl w:val="0"/>
                <w:numId w:val="21"/>
              </w:numPr>
              <w:spacing w:before="0" w:after="0" w:line="278" w:lineRule="auto"/>
              <w:rPr>
                <w:rFonts w:eastAsia="Calibri" w:cs="Calibri"/>
                <w:noProof/>
              </w:rPr>
            </w:pPr>
            <w:r w:rsidRPr="00417E18">
              <w:rPr>
                <w:rFonts w:eastAsia="Calibri" w:cs="Calibri"/>
                <w:noProof/>
              </w:rPr>
              <w:t xml:space="preserve">strengthening national implementation and enforcement of the Digital Services Act, including with targeted strategies countering Foreign Information Manipulation and Interference (FIMI), drawing on the FIMI Toolbox to integrate cross-sectoral coordination, dedicate funds to </w:t>
            </w:r>
            <w:r w:rsidR="0EC95F07" w:rsidRPr="4A0F7796">
              <w:rPr>
                <w:rFonts w:eastAsia="Calibri" w:cs="Calibri"/>
                <w:noProof/>
              </w:rPr>
              <w:t xml:space="preserve">research, </w:t>
            </w:r>
            <w:r w:rsidRPr="00417E18">
              <w:rPr>
                <w:rFonts w:eastAsia="Calibri" w:cs="Calibri"/>
                <w:noProof/>
              </w:rPr>
              <w:t>fact-checking and media literacy initiatives, and implement secure information-sharing mechanisms;</w:t>
            </w:r>
          </w:p>
          <w:p w14:paraId="269D7CCB" w14:textId="2E88DB3F" w:rsidR="009A2C90" w:rsidRDefault="00711647" w:rsidP="00F36E2D">
            <w:pPr>
              <w:pStyle w:val="ListParagraph"/>
              <w:numPr>
                <w:ilvl w:val="0"/>
                <w:numId w:val="21"/>
              </w:numPr>
              <w:spacing w:before="0" w:after="0" w:line="278" w:lineRule="auto"/>
              <w:rPr>
                <w:rFonts w:eastAsia="Calibri" w:cs="Calibri"/>
                <w:noProof/>
              </w:rPr>
            </w:pPr>
            <w:r w:rsidRPr="468C9DB1">
              <w:rPr>
                <w:rFonts w:eastAsia="Calibri" w:cs="Calibri"/>
                <w:noProof/>
              </w:rPr>
              <w:t xml:space="preserve">Member States should reinforce the protection of people and minors in the online space by </w:t>
            </w:r>
            <w:r w:rsidR="004C2913" w:rsidRPr="004C2913">
              <w:rPr>
                <w:rFonts w:eastAsia="Calibri" w:cs="Calibri"/>
                <w:noProof/>
              </w:rPr>
              <w:t>ensuring sufficient administrative capacity of the Digital Services Coordinators to effectively enforce the Digital Services Act</w:t>
            </w:r>
            <w:r w:rsidR="008F4E61">
              <w:rPr>
                <w:rFonts w:eastAsia="Calibri" w:cs="Calibri"/>
                <w:noProof/>
              </w:rPr>
              <w:t>;</w:t>
            </w:r>
          </w:p>
          <w:p w14:paraId="71098590" w14:textId="6C42157C" w:rsidR="51BDE76C" w:rsidRPr="00417E18" w:rsidRDefault="492F9C68" w:rsidP="00F36E2D">
            <w:pPr>
              <w:pStyle w:val="ListParagraph"/>
              <w:numPr>
                <w:ilvl w:val="0"/>
                <w:numId w:val="21"/>
              </w:numPr>
              <w:spacing w:before="0" w:after="0" w:line="278" w:lineRule="auto"/>
              <w:rPr>
                <w:rFonts w:eastAsia="Calibri" w:cs="Calibri"/>
                <w:noProof/>
              </w:rPr>
            </w:pPr>
            <w:r w:rsidRPr="00417E18">
              <w:rPr>
                <w:rFonts w:eastAsia="Calibri" w:cs="Calibri"/>
                <w:noProof/>
              </w:rPr>
              <w:t xml:space="preserve">implementing the harmonised </w:t>
            </w:r>
            <w:r w:rsidR="00D236E0">
              <w:rPr>
                <w:rFonts w:eastAsia="Calibri" w:cs="Calibri"/>
                <w:noProof/>
              </w:rPr>
              <w:t xml:space="preserve">privacy preserving </w:t>
            </w:r>
            <w:r w:rsidRPr="00417E18">
              <w:rPr>
                <w:rFonts w:eastAsia="Calibri" w:cs="Calibri"/>
                <w:noProof/>
              </w:rPr>
              <w:t>EU age verification solution in the national EUDI Wallets</w:t>
            </w:r>
            <w:r w:rsidR="73CB2A30" w:rsidRPr="737CD492">
              <w:rPr>
                <w:rFonts w:eastAsia="Calibri" w:cs="Calibri"/>
                <w:noProof/>
              </w:rPr>
              <w:t xml:space="preserve"> or stand</w:t>
            </w:r>
            <w:r w:rsidR="73CB2A30" w:rsidRPr="33EDA2CA">
              <w:rPr>
                <w:rFonts w:eastAsia="Calibri" w:cs="Calibri"/>
                <w:noProof/>
              </w:rPr>
              <w:t>-alone applications</w:t>
            </w:r>
            <w:r w:rsidRPr="00417E18">
              <w:rPr>
                <w:rFonts w:eastAsia="Calibri" w:cs="Calibri"/>
                <w:noProof/>
              </w:rPr>
              <w:t>, including systems for issuing proof-of-age attestations, and accelerating the issuance of electronic means of identification to minors;</w:t>
            </w:r>
          </w:p>
          <w:p w14:paraId="0A9D6BD7" w14:textId="05B8588F" w:rsidR="51BDE76C" w:rsidRPr="00417E18" w:rsidRDefault="492F9C68" w:rsidP="00F36E2D">
            <w:pPr>
              <w:pStyle w:val="ListParagraph"/>
              <w:numPr>
                <w:ilvl w:val="0"/>
                <w:numId w:val="21"/>
              </w:numPr>
              <w:spacing w:before="0" w:after="0" w:line="278" w:lineRule="auto"/>
              <w:rPr>
                <w:rFonts w:eastAsia="Calibri" w:cs="Calibri"/>
                <w:noProof/>
              </w:rPr>
            </w:pPr>
            <w:r w:rsidRPr="109DB379">
              <w:rPr>
                <w:rFonts w:eastAsia="Calibri" w:cs="Calibri"/>
                <w:noProof/>
              </w:rPr>
              <w:t xml:space="preserve">implementing the </w:t>
            </w:r>
            <w:r w:rsidR="183EDB5F" w:rsidRPr="29246499">
              <w:rPr>
                <w:rFonts w:eastAsia="Calibri" w:cs="Calibri"/>
                <w:noProof/>
              </w:rPr>
              <w:t>a</w:t>
            </w:r>
            <w:r w:rsidRPr="29246499">
              <w:rPr>
                <w:rFonts w:eastAsia="Calibri" w:cs="Calibri"/>
                <w:noProof/>
              </w:rPr>
              <w:t xml:space="preserve">ction </w:t>
            </w:r>
            <w:r w:rsidR="37CCA524" w:rsidRPr="29246499">
              <w:rPr>
                <w:rFonts w:eastAsia="Calibri" w:cs="Calibri"/>
                <w:noProof/>
              </w:rPr>
              <w:t>p</w:t>
            </w:r>
            <w:r w:rsidRPr="109DB379">
              <w:rPr>
                <w:rFonts w:eastAsia="Calibri" w:cs="Calibri"/>
                <w:noProof/>
              </w:rPr>
              <w:t>lan against cyberbullying through coordinated national approaches, prevention and awareness measures, and accessible reporting and support mechanisms</w:t>
            </w:r>
            <w:r w:rsidR="0048672E">
              <w:rPr>
                <w:rFonts w:eastAsia="Calibri" w:cs="Calibri"/>
                <w:noProof/>
              </w:rPr>
              <w:t>;</w:t>
            </w:r>
          </w:p>
          <w:p w14:paraId="6E422AE8" w14:textId="4BF0A50D" w:rsidR="51BDE76C" w:rsidRPr="00417E18" w:rsidRDefault="7D2315B7" w:rsidP="109DB379">
            <w:pPr>
              <w:pStyle w:val="ListParagraph"/>
              <w:numPr>
                <w:ilvl w:val="0"/>
                <w:numId w:val="21"/>
              </w:numPr>
              <w:spacing w:before="0" w:after="0" w:line="278" w:lineRule="auto"/>
              <w:rPr>
                <w:rFonts w:eastAsia="Calibri" w:cs="Calibri"/>
                <w:noProof/>
                <w:sz w:val="24"/>
                <w:szCs w:val="24"/>
              </w:rPr>
            </w:pPr>
            <w:r w:rsidRPr="468C9DB1">
              <w:rPr>
                <w:rFonts w:eastAsia="Calibri" w:cs="Calibri"/>
                <w:noProof/>
              </w:rPr>
              <w:t>Member States should reinforce the protection of people and minors in the online space by ensuring sufficient administrative capacity of the Digital Services Coordinators to effectively enforce the Digital Services Act</w:t>
            </w:r>
            <w:r w:rsidR="0048672E">
              <w:rPr>
                <w:rFonts w:eastAsia="Calibri" w:cs="Calibri"/>
                <w:noProof/>
              </w:rPr>
              <w:t>.</w:t>
            </w:r>
          </w:p>
        </w:tc>
      </w:tr>
    </w:tbl>
    <w:p w14:paraId="0E194747" w14:textId="2144D20D" w:rsidR="003A53C2" w:rsidRPr="00417E18" w:rsidRDefault="4DB62358" w:rsidP="00E11929">
      <w:pPr>
        <w:pStyle w:val="Heading2"/>
        <w:numPr>
          <w:ilvl w:val="1"/>
          <w:numId w:val="40"/>
        </w:numPr>
        <w:rPr>
          <w:noProof/>
          <w:sz w:val="28"/>
          <w:szCs w:val="28"/>
        </w:rPr>
      </w:pPr>
      <w:bookmarkStart w:id="98" w:name="_Toc226710912"/>
      <w:bookmarkStart w:id="99" w:name="_Toc1711863604"/>
      <w:bookmarkStart w:id="100" w:name="_Toc1356560472"/>
      <w:bookmarkStart w:id="101" w:name="_Toc231830067"/>
      <w:r w:rsidRPr="00417E18">
        <w:rPr>
          <w:noProof/>
          <w:sz w:val="28"/>
          <w:szCs w:val="28"/>
        </w:rPr>
        <w:t>Efficient public services and administrative burden reduction</w:t>
      </w:r>
      <w:bookmarkEnd w:id="98"/>
      <w:bookmarkEnd w:id="99"/>
      <w:bookmarkEnd w:id="100"/>
      <w:bookmarkEnd w:id="101"/>
    </w:p>
    <w:p w14:paraId="502200C7" w14:textId="77A89ED7" w:rsidR="003A53C2" w:rsidRPr="00417E18" w:rsidRDefault="3DA44757" w:rsidP="331E198E">
      <w:pPr>
        <w:spacing w:before="200" w:after="120" w:line="276" w:lineRule="auto"/>
        <w:rPr>
          <w:noProof/>
          <w:sz w:val="22"/>
          <w:szCs w:val="22"/>
        </w:rPr>
      </w:pPr>
      <w:r w:rsidRPr="00417E18">
        <w:rPr>
          <w:noProof/>
          <w:sz w:val="22"/>
          <w:szCs w:val="22"/>
        </w:rPr>
        <w:t>This section examines how the digital transformation of public services can improve efficiency, reduce administrative burden, and enhance accessibility for citizens and businesses across the Union. Building on the Digital Decade principles, it focuses on key enablers such as secure digital identity, interoperable services, and access to essential public services online. While progress is ongoing, further efforts are needed to streamline procedures, strengthen cross-border functionality, and ensure that digital solutions deliver tangible simplification benefits.</w:t>
      </w:r>
    </w:p>
    <w:p w14:paraId="160D64EE" w14:textId="372306B9" w:rsidR="00283CC0" w:rsidRPr="00417E18" w:rsidRDefault="5F19BB46" w:rsidP="331E198E">
      <w:pPr>
        <w:spacing w:before="200" w:after="120" w:line="276" w:lineRule="auto"/>
        <w:rPr>
          <w:noProof/>
          <w:sz w:val="22"/>
          <w:szCs w:val="22"/>
        </w:rPr>
      </w:pPr>
      <w:r w:rsidRPr="07868930">
        <w:rPr>
          <w:noProof/>
          <w:sz w:val="22"/>
          <w:szCs w:val="22"/>
        </w:rPr>
        <w:t>The</w:t>
      </w:r>
      <w:r w:rsidR="614A5432" w:rsidRPr="00417E18">
        <w:rPr>
          <w:noProof/>
          <w:sz w:val="22"/>
          <w:szCs w:val="22"/>
        </w:rPr>
        <w:t xml:space="preserve"> European Digital Rights </w:t>
      </w:r>
      <w:r w:rsidR="2D7BA000" w:rsidRPr="07868930">
        <w:rPr>
          <w:noProof/>
          <w:sz w:val="22"/>
          <w:szCs w:val="22"/>
        </w:rPr>
        <w:t>framework</w:t>
      </w:r>
      <w:r w:rsidR="128EB69E" w:rsidRPr="07868930">
        <w:rPr>
          <w:noProof/>
          <w:sz w:val="22"/>
          <w:szCs w:val="22"/>
        </w:rPr>
        <w:t xml:space="preserve"> requires</w:t>
      </w:r>
      <w:r w:rsidR="614A5432" w:rsidRPr="00417E18">
        <w:rPr>
          <w:noProof/>
          <w:sz w:val="22"/>
          <w:szCs w:val="22"/>
        </w:rPr>
        <w:t xml:space="preserve"> all Member States to </w:t>
      </w:r>
      <w:r w:rsidR="128EB69E" w:rsidRPr="07868930">
        <w:rPr>
          <w:noProof/>
          <w:sz w:val="22"/>
          <w:szCs w:val="22"/>
        </w:rPr>
        <w:t xml:space="preserve">offer </w:t>
      </w:r>
      <w:r w:rsidR="614A5432" w:rsidRPr="07868930">
        <w:rPr>
          <w:noProof/>
          <w:sz w:val="22"/>
          <w:szCs w:val="22"/>
        </w:rPr>
        <w:t xml:space="preserve">citizens </w:t>
      </w:r>
      <w:r w:rsidR="614A5432" w:rsidRPr="00417E18">
        <w:rPr>
          <w:noProof/>
          <w:sz w:val="22"/>
          <w:szCs w:val="22"/>
        </w:rPr>
        <w:t>an accessible, voluntary, secure and trusted digital identity</w:t>
      </w:r>
      <w:r w:rsidR="1D4CAD4A" w:rsidRPr="07868930">
        <w:rPr>
          <w:noProof/>
          <w:sz w:val="22"/>
          <w:szCs w:val="22"/>
        </w:rPr>
        <w:t xml:space="preserve">. This </w:t>
      </w:r>
      <w:r w:rsidR="1D4CAD4A" w:rsidRPr="0C856F1D">
        <w:rPr>
          <w:noProof/>
          <w:sz w:val="22"/>
          <w:szCs w:val="22"/>
        </w:rPr>
        <w:t xml:space="preserve">should </w:t>
      </w:r>
      <w:r w:rsidR="005D103F" w:rsidRPr="07868930">
        <w:rPr>
          <w:noProof/>
          <w:sz w:val="22"/>
          <w:szCs w:val="22"/>
        </w:rPr>
        <w:t xml:space="preserve">in turn allow </w:t>
      </w:r>
      <w:r w:rsidR="1D4CAD4A" w:rsidRPr="0C856F1D">
        <w:rPr>
          <w:noProof/>
          <w:sz w:val="22"/>
          <w:szCs w:val="22"/>
        </w:rPr>
        <w:t>people to</w:t>
      </w:r>
      <w:r w:rsidR="614A5432" w:rsidRPr="0C856F1D" w:rsidDel="614A5432">
        <w:rPr>
          <w:noProof/>
          <w:sz w:val="22"/>
          <w:szCs w:val="22"/>
        </w:rPr>
        <w:t xml:space="preserve"> </w:t>
      </w:r>
      <w:r w:rsidR="614A5432" w:rsidRPr="00417E18">
        <w:rPr>
          <w:noProof/>
          <w:sz w:val="22"/>
          <w:szCs w:val="22"/>
        </w:rPr>
        <w:t xml:space="preserve">access </w:t>
      </w:r>
      <w:r w:rsidR="59770447" w:rsidRPr="0C856F1D">
        <w:rPr>
          <w:noProof/>
          <w:sz w:val="22"/>
          <w:szCs w:val="22"/>
        </w:rPr>
        <w:t>a</w:t>
      </w:r>
      <w:r w:rsidR="614A5432" w:rsidRPr="00417E18">
        <w:rPr>
          <w:noProof/>
          <w:sz w:val="22"/>
          <w:szCs w:val="22"/>
        </w:rPr>
        <w:t xml:space="preserve"> range of online services, including </w:t>
      </w:r>
      <w:r w:rsidR="12550630" w:rsidRPr="0C856F1D">
        <w:rPr>
          <w:noProof/>
          <w:sz w:val="22"/>
          <w:szCs w:val="22"/>
        </w:rPr>
        <w:t>medical</w:t>
      </w:r>
      <w:r w:rsidR="614A5432" w:rsidRPr="00417E18">
        <w:rPr>
          <w:noProof/>
          <w:sz w:val="22"/>
          <w:szCs w:val="22"/>
        </w:rPr>
        <w:t xml:space="preserve"> records</w:t>
      </w:r>
      <w:r w:rsidR="12550630" w:rsidRPr="0C856F1D">
        <w:rPr>
          <w:noProof/>
          <w:sz w:val="22"/>
          <w:szCs w:val="22"/>
        </w:rPr>
        <w:t xml:space="preserve"> and other </w:t>
      </w:r>
      <w:r w:rsidR="614A5432" w:rsidRPr="07868930">
        <w:rPr>
          <w:noProof/>
          <w:sz w:val="22"/>
          <w:szCs w:val="22"/>
        </w:rPr>
        <w:t xml:space="preserve">healthcare </w:t>
      </w:r>
      <w:r w:rsidR="47920CC9" w:rsidRPr="07868930">
        <w:rPr>
          <w:noProof/>
          <w:sz w:val="22"/>
          <w:szCs w:val="22"/>
        </w:rPr>
        <w:t>data</w:t>
      </w:r>
      <w:r w:rsidR="614A5432" w:rsidRPr="07868930">
        <w:rPr>
          <w:noProof/>
          <w:sz w:val="22"/>
          <w:szCs w:val="22"/>
        </w:rPr>
        <w:t>.</w:t>
      </w:r>
      <w:r w:rsidR="614A5432" w:rsidRPr="00417E18">
        <w:rPr>
          <w:noProof/>
          <w:sz w:val="22"/>
          <w:szCs w:val="22"/>
        </w:rPr>
        <w:t xml:space="preserve"> According to the Digital Decade Eurobarometer 2026, 79% of Europeans think EU should cooperate with Member States to develop shared digital public services (e.g. digital ID, e</w:t>
      </w:r>
      <w:r w:rsidR="0044191F">
        <w:rPr>
          <w:noProof/>
          <w:sz w:val="22"/>
          <w:szCs w:val="22"/>
        </w:rPr>
        <w:t>-</w:t>
      </w:r>
      <w:r w:rsidR="614A5432" w:rsidRPr="00417E18">
        <w:rPr>
          <w:noProof/>
          <w:sz w:val="22"/>
          <w:szCs w:val="22"/>
        </w:rPr>
        <w:t>Health).</w:t>
      </w:r>
    </w:p>
    <w:p w14:paraId="0021CFFD" w14:textId="2BBC3F65" w:rsidR="00283CC0" w:rsidRPr="00417E18" w:rsidRDefault="6316A8ED" w:rsidP="00E11929">
      <w:pPr>
        <w:pStyle w:val="Heading3"/>
        <w:numPr>
          <w:ilvl w:val="2"/>
          <w:numId w:val="40"/>
        </w:numPr>
        <w:rPr>
          <w:noProof/>
        </w:rPr>
      </w:pPr>
      <w:bookmarkStart w:id="102" w:name="_Toc226710913"/>
      <w:bookmarkStart w:id="103" w:name="_Toc863395601"/>
      <w:bookmarkStart w:id="104" w:name="_Toc456091638"/>
      <w:bookmarkStart w:id="105" w:name="_Toc231830068"/>
      <w:r w:rsidRPr="00417E18">
        <w:rPr>
          <w:noProof/>
        </w:rPr>
        <w:t>European Digital Identity and business wallets</w:t>
      </w:r>
      <w:bookmarkEnd w:id="102"/>
      <w:bookmarkEnd w:id="103"/>
      <w:bookmarkEnd w:id="104"/>
      <w:bookmarkEnd w:id="105"/>
    </w:p>
    <w:p w14:paraId="78D6088A" w14:textId="69259D37" w:rsidR="0047567D" w:rsidRPr="00417E18" w:rsidRDefault="079B6BA1" w:rsidP="50A16846">
      <w:pPr>
        <w:spacing w:after="120" w:line="276" w:lineRule="auto"/>
        <w:rPr>
          <w:rFonts w:eastAsia="Calibri" w:cs="Calibri"/>
          <w:noProof/>
          <w:sz w:val="22"/>
          <w:szCs w:val="22"/>
        </w:rPr>
      </w:pPr>
      <w:r w:rsidRPr="00417E18">
        <w:rPr>
          <w:rFonts w:eastAsia="Calibri" w:cs="Calibri"/>
          <w:noProof/>
          <w:sz w:val="22"/>
          <w:szCs w:val="22"/>
        </w:rPr>
        <w:t>The European Digital Identity (EUDI) Framework is a key enabler of Digital Decade targets. Electronic identification</w:t>
      </w:r>
      <w:r w:rsidRPr="00417E18">
        <w:rPr>
          <w:rFonts w:eastAsia="Calibri" w:cs="Calibri"/>
          <w:noProof/>
          <w:sz w:val="22"/>
          <w:szCs w:val="22"/>
          <w:vertAlign w:val="superscript"/>
        </w:rPr>
        <w:footnoteReference w:id="77"/>
      </w:r>
      <w:r w:rsidRPr="00417E18">
        <w:rPr>
          <w:rFonts w:eastAsia="Calibri" w:cs="Calibri"/>
          <w:noProof/>
          <w:sz w:val="22"/>
          <w:szCs w:val="22"/>
        </w:rPr>
        <w:t xml:space="preserve"> allows people to securely verify their identity and access services across the EU. </w:t>
      </w:r>
      <w:r w:rsidR="36B67DE0">
        <w:rPr>
          <w:rFonts w:eastAsia="Calibri" w:cs="Calibri"/>
          <w:noProof/>
          <w:sz w:val="22"/>
          <w:szCs w:val="22"/>
        </w:rPr>
        <w:t>According to</w:t>
      </w:r>
      <w:r w:rsidR="1A570B0D" w:rsidRPr="00417E18">
        <w:rPr>
          <w:rFonts w:eastAsia="Calibri" w:cs="Calibri"/>
          <w:noProof/>
          <w:sz w:val="22"/>
          <w:szCs w:val="22"/>
        </w:rPr>
        <w:t xml:space="preserve"> 2025</w:t>
      </w:r>
      <w:r w:rsidRPr="00417E18">
        <w:rPr>
          <w:rFonts w:eastAsia="Calibri" w:cs="Calibri"/>
          <w:noProof/>
          <w:sz w:val="22"/>
          <w:szCs w:val="22"/>
        </w:rPr>
        <w:t xml:space="preserve"> data, 52% of people aged 16-74 in the EU stated that they had used their eID to access online services for private purposes in the previous 12 months. </w:t>
      </w:r>
      <w:r w:rsidR="36B67DE0">
        <w:rPr>
          <w:rFonts w:eastAsia="Calibri" w:cs="Calibri"/>
          <w:noProof/>
          <w:sz w:val="22"/>
          <w:szCs w:val="22"/>
        </w:rPr>
        <w:t>R</w:t>
      </w:r>
      <w:r w:rsidR="1A570B0D" w:rsidRPr="00417E18">
        <w:rPr>
          <w:rFonts w:eastAsia="Calibri" w:cs="Calibri"/>
          <w:noProof/>
          <w:sz w:val="22"/>
          <w:szCs w:val="22"/>
        </w:rPr>
        <w:t>esult</w:t>
      </w:r>
      <w:r w:rsidR="36B67DE0">
        <w:rPr>
          <w:rFonts w:eastAsia="Calibri" w:cs="Calibri"/>
          <w:noProof/>
          <w:sz w:val="22"/>
          <w:szCs w:val="22"/>
        </w:rPr>
        <w:t>s</w:t>
      </w:r>
      <w:r w:rsidR="1A570B0D" w:rsidRPr="00417E18">
        <w:rPr>
          <w:rFonts w:eastAsia="Calibri" w:cs="Calibri"/>
          <w:noProof/>
          <w:sz w:val="22"/>
          <w:szCs w:val="22"/>
        </w:rPr>
        <w:t xml:space="preserve"> var</w:t>
      </w:r>
      <w:r w:rsidR="36B67DE0">
        <w:rPr>
          <w:rFonts w:eastAsia="Calibri" w:cs="Calibri"/>
          <w:noProof/>
          <w:sz w:val="22"/>
          <w:szCs w:val="22"/>
        </w:rPr>
        <w:t>y significantly across Member States,</w:t>
      </w:r>
      <w:r w:rsidRPr="00417E18">
        <w:rPr>
          <w:rFonts w:eastAsia="Calibri" w:cs="Calibri"/>
          <w:noProof/>
          <w:sz w:val="22"/>
          <w:szCs w:val="22"/>
        </w:rPr>
        <w:t xml:space="preserve"> from over 90% in Denmark (99%), </w:t>
      </w:r>
      <w:r w:rsidR="00552C92" w:rsidRPr="00417E18">
        <w:rPr>
          <w:rFonts w:eastAsia="Calibri" w:cs="Calibri"/>
          <w:noProof/>
          <w:sz w:val="22"/>
          <w:szCs w:val="22"/>
        </w:rPr>
        <w:t>Finland (96%)</w:t>
      </w:r>
      <w:r w:rsidR="00552C92">
        <w:rPr>
          <w:rFonts w:eastAsia="Calibri" w:cs="Calibri"/>
          <w:noProof/>
          <w:sz w:val="22"/>
          <w:szCs w:val="22"/>
        </w:rPr>
        <w:t xml:space="preserve">, </w:t>
      </w:r>
      <w:r w:rsidRPr="00417E18">
        <w:rPr>
          <w:rFonts w:eastAsia="Calibri" w:cs="Calibri"/>
          <w:noProof/>
          <w:sz w:val="22"/>
          <w:szCs w:val="22"/>
        </w:rPr>
        <w:t xml:space="preserve">the Netherlands (95%), Sweden (92%), </w:t>
      </w:r>
      <w:r w:rsidR="00552C92">
        <w:rPr>
          <w:rFonts w:eastAsia="Calibri" w:cs="Calibri"/>
          <w:noProof/>
          <w:sz w:val="22"/>
          <w:szCs w:val="22"/>
        </w:rPr>
        <w:t>and Estonia (91%)</w:t>
      </w:r>
      <w:r w:rsidRPr="00417E18">
        <w:rPr>
          <w:rFonts w:eastAsia="Calibri" w:cs="Calibri"/>
          <w:noProof/>
          <w:sz w:val="22"/>
          <w:szCs w:val="22"/>
        </w:rPr>
        <w:t xml:space="preserve"> to </w:t>
      </w:r>
      <w:r w:rsidR="003E14B7">
        <w:rPr>
          <w:rFonts w:eastAsia="Calibri" w:cs="Calibri"/>
          <w:noProof/>
          <w:sz w:val="22"/>
          <w:szCs w:val="22"/>
        </w:rPr>
        <w:t>below 15</w:t>
      </w:r>
      <w:r w:rsidRPr="00417E18">
        <w:rPr>
          <w:rFonts w:eastAsia="Calibri" w:cs="Calibri"/>
          <w:noProof/>
          <w:sz w:val="22"/>
          <w:szCs w:val="22"/>
        </w:rPr>
        <w:t>% in Germany (1</w:t>
      </w:r>
      <w:r w:rsidR="003E14B7">
        <w:rPr>
          <w:rFonts w:eastAsia="Calibri" w:cs="Calibri"/>
          <w:noProof/>
          <w:sz w:val="22"/>
          <w:szCs w:val="22"/>
        </w:rPr>
        <w:t>5</w:t>
      </w:r>
      <w:r w:rsidRPr="00417E18">
        <w:rPr>
          <w:rFonts w:eastAsia="Calibri" w:cs="Calibri"/>
          <w:noProof/>
          <w:sz w:val="22"/>
          <w:szCs w:val="22"/>
        </w:rPr>
        <w:t>%)</w:t>
      </w:r>
      <w:r w:rsidR="00D834E3">
        <w:rPr>
          <w:rFonts w:eastAsia="Calibri" w:cs="Calibri"/>
          <w:noProof/>
          <w:sz w:val="22"/>
          <w:szCs w:val="22"/>
        </w:rPr>
        <w:t>, Slovakia (</w:t>
      </w:r>
      <w:r w:rsidRPr="00417E18">
        <w:rPr>
          <w:rFonts w:eastAsia="Calibri" w:cs="Calibri"/>
          <w:noProof/>
          <w:sz w:val="22"/>
          <w:szCs w:val="22"/>
        </w:rPr>
        <w:t xml:space="preserve">14%) and Bulgaria (12%). </w:t>
      </w:r>
      <w:r w:rsidR="357A59AA">
        <w:rPr>
          <w:rFonts w:eastAsia="Calibri" w:cs="Calibri"/>
          <w:noProof/>
          <w:sz w:val="22"/>
          <w:szCs w:val="22"/>
        </w:rPr>
        <w:t>S</w:t>
      </w:r>
      <w:r w:rsidR="68C8551F">
        <w:rPr>
          <w:rFonts w:eastAsia="Calibri" w:cs="Calibri"/>
          <w:noProof/>
          <w:sz w:val="22"/>
          <w:szCs w:val="22"/>
        </w:rPr>
        <w:t>ome</w:t>
      </w:r>
      <w:r w:rsidR="1A570B0D" w:rsidRPr="00417E18">
        <w:rPr>
          <w:rFonts w:eastAsia="Calibri" w:cs="Calibri"/>
          <w:noProof/>
          <w:sz w:val="22"/>
          <w:szCs w:val="22"/>
        </w:rPr>
        <w:t xml:space="preserve"> countries </w:t>
      </w:r>
      <w:r w:rsidRPr="00417E18">
        <w:rPr>
          <w:rFonts w:eastAsia="Calibri" w:cs="Calibri"/>
          <w:noProof/>
          <w:sz w:val="22"/>
          <w:szCs w:val="22"/>
        </w:rPr>
        <w:t xml:space="preserve">are </w:t>
      </w:r>
      <w:r w:rsidR="357A59AA">
        <w:rPr>
          <w:rFonts w:eastAsia="Calibri" w:cs="Calibri"/>
          <w:noProof/>
          <w:sz w:val="22"/>
          <w:szCs w:val="22"/>
        </w:rPr>
        <w:t>showing</w:t>
      </w:r>
      <w:r w:rsidR="1A570B0D" w:rsidRPr="00417E18">
        <w:rPr>
          <w:rFonts w:eastAsia="Calibri" w:cs="Calibri"/>
          <w:noProof/>
          <w:sz w:val="22"/>
          <w:szCs w:val="22"/>
        </w:rPr>
        <w:t xml:space="preserve"> </w:t>
      </w:r>
      <w:r w:rsidRPr="00417E18">
        <w:rPr>
          <w:rFonts w:eastAsia="Calibri" w:cs="Calibri"/>
          <w:noProof/>
          <w:sz w:val="22"/>
          <w:szCs w:val="22"/>
        </w:rPr>
        <w:t>rapid progress</w:t>
      </w:r>
      <w:r w:rsidR="233D2C4E" w:rsidRPr="00417E18">
        <w:rPr>
          <w:rFonts w:eastAsia="Calibri" w:cs="Calibri"/>
          <w:noProof/>
          <w:sz w:val="22"/>
          <w:szCs w:val="22"/>
        </w:rPr>
        <w:t>, with</w:t>
      </w:r>
      <w:r w:rsidR="1A570B0D" w:rsidRPr="00417E18">
        <w:rPr>
          <w:rFonts w:eastAsia="Calibri" w:cs="Calibri"/>
          <w:noProof/>
          <w:sz w:val="22"/>
          <w:szCs w:val="22"/>
        </w:rPr>
        <w:t xml:space="preserve"> </w:t>
      </w:r>
      <w:r w:rsidRPr="00417E18">
        <w:rPr>
          <w:rFonts w:eastAsia="Calibri" w:cs="Calibri"/>
          <w:noProof/>
          <w:sz w:val="22"/>
          <w:szCs w:val="22"/>
        </w:rPr>
        <w:t xml:space="preserve">Cyprus </w:t>
      </w:r>
      <w:r w:rsidR="0C9BD334" w:rsidRPr="00417E18">
        <w:rPr>
          <w:rFonts w:eastAsia="Calibri" w:cs="Calibri"/>
          <w:noProof/>
          <w:sz w:val="22"/>
          <w:szCs w:val="22"/>
        </w:rPr>
        <w:t>improv</w:t>
      </w:r>
      <w:r w:rsidR="36D636E3">
        <w:rPr>
          <w:rFonts w:eastAsia="Calibri" w:cs="Calibri"/>
          <w:noProof/>
          <w:sz w:val="22"/>
          <w:szCs w:val="22"/>
        </w:rPr>
        <w:t>ing</w:t>
      </w:r>
      <w:r w:rsidR="25131AC4" w:rsidRPr="00417E18">
        <w:rPr>
          <w:rFonts w:eastAsia="Calibri" w:cs="Calibri"/>
          <w:noProof/>
          <w:sz w:val="22"/>
          <w:szCs w:val="22"/>
        </w:rPr>
        <w:t xml:space="preserve"> its</w:t>
      </w:r>
      <w:r w:rsidRPr="00417E18">
        <w:rPr>
          <w:rFonts w:eastAsia="Calibri" w:cs="Calibri"/>
          <w:noProof/>
          <w:sz w:val="22"/>
          <w:szCs w:val="22"/>
        </w:rPr>
        <w:t xml:space="preserve"> score from above </w:t>
      </w:r>
      <w:r w:rsidR="002A2610">
        <w:rPr>
          <w:rFonts w:eastAsia="Calibri" w:cs="Calibri"/>
          <w:noProof/>
          <w:sz w:val="22"/>
          <w:szCs w:val="22"/>
        </w:rPr>
        <w:t>9</w:t>
      </w:r>
      <w:r w:rsidRPr="00417E18">
        <w:rPr>
          <w:rFonts w:eastAsia="Calibri" w:cs="Calibri"/>
          <w:noProof/>
          <w:sz w:val="22"/>
          <w:szCs w:val="22"/>
        </w:rPr>
        <w:t>% (2024) to 57% (2025).</w:t>
      </w:r>
    </w:p>
    <w:p w14:paraId="5D22FFAE" w14:textId="2D647924" w:rsidR="0047567D" w:rsidRPr="00417E18" w:rsidRDefault="079B6BA1" w:rsidP="00EB107B">
      <w:pPr>
        <w:spacing w:line="276" w:lineRule="auto"/>
        <w:rPr>
          <w:rFonts w:eastAsia="Calibri" w:cs="Calibri"/>
          <w:noProof/>
          <w:sz w:val="22"/>
          <w:szCs w:val="22"/>
        </w:rPr>
      </w:pPr>
      <w:r w:rsidRPr="00417E18">
        <w:rPr>
          <w:rFonts w:eastAsia="Calibri" w:cs="Calibri"/>
          <w:noProof/>
          <w:sz w:val="22"/>
          <w:szCs w:val="22"/>
        </w:rPr>
        <w:t xml:space="preserve">Under Regulation (EU) 2024/1183 establishing the European Digital Identity (EUDI) Framework, each Member State is required to provide an EU Digital Identity Wallet by the end of 2026. </w:t>
      </w:r>
      <w:r w:rsidRPr="00417E18">
        <w:rPr>
          <w:rFonts w:eastAsia="Calibri" w:cs="Calibri"/>
          <w:b/>
          <w:bCs/>
          <w:noProof/>
          <w:sz w:val="22"/>
          <w:szCs w:val="22"/>
        </w:rPr>
        <w:t xml:space="preserve">All Member States are actively developing their European Digital Identity Wallets. </w:t>
      </w:r>
    </w:p>
    <w:p w14:paraId="0B44B117" w14:textId="18ED632E" w:rsidR="0047567D" w:rsidRPr="00417E18" w:rsidRDefault="079B6BA1" w:rsidP="00EB107B">
      <w:pPr>
        <w:tabs>
          <w:tab w:val="left" w:pos="720"/>
          <w:tab w:val="left" w:pos="720"/>
        </w:tabs>
        <w:spacing w:line="276" w:lineRule="auto"/>
        <w:rPr>
          <w:rFonts w:eastAsia="Calibri" w:cs="Calibri"/>
          <w:noProof/>
          <w:sz w:val="22"/>
          <w:szCs w:val="22"/>
        </w:rPr>
      </w:pPr>
      <w:r w:rsidRPr="00417E18">
        <w:rPr>
          <w:rFonts w:eastAsia="Calibri" w:cs="Calibri"/>
          <w:noProof/>
          <w:sz w:val="22"/>
          <w:szCs w:val="22"/>
        </w:rPr>
        <w:t>The EU Digital Identity Wallets build on the national digital identity systems already in place in several Member States. The new regulatory framework expands the functionalities and usability of national eIDs and ensures their mutual recognition across the EU.</w:t>
      </w:r>
    </w:p>
    <w:p w14:paraId="07632513" w14:textId="4A423E31" w:rsidR="0047567D" w:rsidRPr="00417E18" w:rsidRDefault="079B6BA1" w:rsidP="00EB107B">
      <w:pPr>
        <w:spacing w:line="276" w:lineRule="auto"/>
        <w:rPr>
          <w:rFonts w:eastAsia="Calibri" w:cs="Calibri"/>
          <w:noProof/>
          <w:sz w:val="22"/>
          <w:szCs w:val="22"/>
        </w:rPr>
      </w:pPr>
      <w:r w:rsidRPr="00417E18">
        <w:rPr>
          <w:rFonts w:eastAsia="Calibri" w:cs="Calibri"/>
          <w:noProof/>
          <w:sz w:val="22"/>
          <w:szCs w:val="22"/>
        </w:rPr>
        <w:t xml:space="preserve">To ensure that EUDI </w:t>
      </w:r>
      <w:r w:rsidR="0F2D714E" w:rsidRPr="00417E18">
        <w:rPr>
          <w:rFonts w:eastAsia="Calibri" w:cs="Calibri"/>
          <w:noProof/>
          <w:sz w:val="22"/>
          <w:szCs w:val="22"/>
        </w:rPr>
        <w:t>W</w:t>
      </w:r>
      <w:r w:rsidRPr="00417E18">
        <w:rPr>
          <w:rFonts w:eastAsia="Calibri" w:cs="Calibri"/>
          <w:noProof/>
          <w:sz w:val="22"/>
          <w:szCs w:val="22"/>
        </w:rPr>
        <w:t xml:space="preserve">allets are secure, each national EUDI Wallet </w:t>
      </w:r>
      <w:r w:rsidR="5F4186FC" w:rsidRPr="00417E18">
        <w:rPr>
          <w:rFonts w:eastAsia="Calibri" w:cs="Calibri"/>
          <w:noProof/>
          <w:sz w:val="22"/>
          <w:szCs w:val="22"/>
        </w:rPr>
        <w:t>must</w:t>
      </w:r>
      <w:r w:rsidRPr="00417E18">
        <w:rPr>
          <w:rFonts w:eastAsia="Calibri" w:cs="Calibri"/>
          <w:noProof/>
          <w:sz w:val="22"/>
          <w:szCs w:val="22"/>
        </w:rPr>
        <w:t xml:space="preserve"> be </w:t>
      </w:r>
      <w:r w:rsidRPr="00417E18">
        <w:rPr>
          <w:rFonts w:eastAsia="Calibri" w:cs="Calibri"/>
          <w:b/>
          <w:bCs/>
          <w:noProof/>
          <w:sz w:val="22"/>
          <w:szCs w:val="22"/>
        </w:rPr>
        <w:t>certified in accordance with the Cybersecurity Act</w:t>
      </w:r>
      <w:r w:rsidR="00E11D0E">
        <w:rPr>
          <w:rFonts w:eastAsia="Calibri" w:cs="Calibri"/>
          <w:b/>
          <w:bCs/>
          <w:noProof/>
          <w:sz w:val="22"/>
          <w:szCs w:val="22"/>
        </w:rPr>
        <w:t xml:space="preserve"> </w:t>
      </w:r>
      <w:r w:rsidR="00E11D0E" w:rsidRPr="00967EE0">
        <w:rPr>
          <w:rFonts w:eastAsia="Calibri" w:cs="Calibri"/>
          <w:noProof/>
          <w:sz w:val="22"/>
          <w:szCs w:val="22"/>
        </w:rPr>
        <w:t>complemented by</w:t>
      </w:r>
      <w:r w:rsidR="00E11D0E">
        <w:rPr>
          <w:rFonts w:eastAsia="Calibri" w:cs="Calibri"/>
          <w:b/>
          <w:bCs/>
          <w:noProof/>
          <w:sz w:val="22"/>
          <w:szCs w:val="22"/>
        </w:rPr>
        <w:t xml:space="preserve"> </w:t>
      </w:r>
      <w:r w:rsidR="00E11D0E">
        <w:rPr>
          <w:rFonts w:eastAsia="Calibri" w:cs="Calibri"/>
          <w:noProof/>
          <w:sz w:val="22"/>
          <w:szCs w:val="22"/>
        </w:rPr>
        <w:t>national certification schemes</w:t>
      </w:r>
      <w:r w:rsidR="00F05DDE">
        <w:rPr>
          <w:rFonts w:eastAsia="Calibri" w:cs="Calibri"/>
          <w:noProof/>
          <w:sz w:val="22"/>
          <w:szCs w:val="22"/>
        </w:rPr>
        <w:t xml:space="preserve"> to ensure </w:t>
      </w:r>
      <w:r w:rsidR="00A17072">
        <w:rPr>
          <w:rFonts w:eastAsia="Calibri" w:cs="Calibri"/>
          <w:noProof/>
          <w:sz w:val="22"/>
          <w:szCs w:val="22"/>
        </w:rPr>
        <w:t xml:space="preserve">compliance with </w:t>
      </w:r>
      <w:r w:rsidR="00AB6ECC">
        <w:rPr>
          <w:rFonts w:eastAsia="Calibri" w:cs="Calibri"/>
          <w:noProof/>
          <w:sz w:val="22"/>
          <w:szCs w:val="22"/>
        </w:rPr>
        <w:t xml:space="preserve">functional and </w:t>
      </w:r>
      <w:r w:rsidR="006E4998">
        <w:rPr>
          <w:rFonts w:eastAsia="Calibri" w:cs="Calibri"/>
          <w:noProof/>
          <w:sz w:val="22"/>
          <w:szCs w:val="22"/>
        </w:rPr>
        <w:t>data protection</w:t>
      </w:r>
      <w:r w:rsidR="00AB6ECC">
        <w:rPr>
          <w:rFonts w:eastAsia="Calibri" w:cs="Calibri"/>
          <w:noProof/>
          <w:sz w:val="22"/>
          <w:szCs w:val="22"/>
        </w:rPr>
        <w:t xml:space="preserve"> requirements</w:t>
      </w:r>
      <w:r w:rsidR="00B82106">
        <w:rPr>
          <w:rFonts w:eastAsia="Calibri" w:cs="Calibri"/>
          <w:noProof/>
          <w:sz w:val="22"/>
          <w:szCs w:val="22"/>
        </w:rPr>
        <w:t>, in full respect of the GDPR</w:t>
      </w:r>
      <w:r w:rsidRPr="00417E18" w:rsidDel="00B82106">
        <w:rPr>
          <w:rFonts w:eastAsia="Calibri" w:cs="Calibri"/>
          <w:noProof/>
          <w:sz w:val="22"/>
          <w:szCs w:val="22"/>
        </w:rPr>
        <w:t>.</w:t>
      </w:r>
    </w:p>
    <w:p w14:paraId="3B680587" w14:textId="35861F1E" w:rsidR="0047567D" w:rsidRPr="00417E18" w:rsidRDefault="079B6BA1" w:rsidP="00EB107B">
      <w:pPr>
        <w:spacing w:before="0" w:after="0" w:line="276" w:lineRule="auto"/>
        <w:rPr>
          <w:rFonts w:eastAsia="Aptos" w:cs="Calibri"/>
          <w:noProof/>
          <w:sz w:val="22"/>
          <w:szCs w:val="22"/>
        </w:rPr>
      </w:pPr>
      <w:r w:rsidRPr="1375164F">
        <w:rPr>
          <w:rFonts w:eastAsia="Calibri" w:cs="Calibri"/>
          <w:noProof/>
          <w:sz w:val="22"/>
          <w:szCs w:val="22"/>
        </w:rPr>
        <w:t xml:space="preserve">Building on </w:t>
      </w:r>
      <w:r w:rsidR="485EC7EA" w:rsidRPr="64331CDC">
        <w:rPr>
          <w:rFonts w:eastAsia="Calibri" w:cs="Calibri"/>
          <w:noProof/>
          <w:sz w:val="22"/>
          <w:szCs w:val="22"/>
        </w:rPr>
        <w:t>th</w:t>
      </w:r>
      <w:r w:rsidR="0E90829D" w:rsidRPr="64331CDC">
        <w:rPr>
          <w:rFonts w:eastAsia="Calibri" w:cs="Calibri"/>
          <w:noProof/>
          <w:sz w:val="22"/>
          <w:szCs w:val="22"/>
        </w:rPr>
        <w:t>e EU Digital Identity</w:t>
      </w:r>
      <w:r w:rsidR="00880AE3">
        <w:rPr>
          <w:rFonts w:eastAsia="Calibri" w:cs="Calibri"/>
          <w:noProof/>
          <w:sz w:val="22"/>
          <w:szCs w:val="22"/>
        </w:rPr>
        <w:t xml:space="preserve"> framework</w:t>
      </w:r>
      <w:r w:rsidR="0E90829D" w:rsidRPr="64331CDC">
        <w:rPr>
          <w:rFonts w:eastAsia="Calibri" w:cs="Calibri"/>
          <w:noProof/>
          <w:sz w:val="22"/>
          <w:szCs w:val="22"/>
        </w:rPr>
        <w:t>, in addition to several other tools (the Single Digital Gateway, the Once Only Technical System, the Digital Product Passport, the European Unique Identifier)</w:t>
      </w:r>
      <w:r w:rsidRPr="1375164F">
        <w:rPr>
          <w:rFonts w:eastAsia="Calibri" w:cs="Calibri"/>
          <w:noProof/>
          <w:sz w:val="22"/>
          <w:szCs w:val="22"/>
        </w:rPr>
        <w:t xml:space="preserve"> European Business Wallets </w:t>
      </w:r>
      <w:r w:rsidR="569A7FD3" w:rsidRPr="1375164F">
        <w:rPr>
          <w:rFonts w:eastAsia="Calibri" w:cs="Calibri"/>
          <w:noProof/>
          <w:sz w:val="22"/>
          <w:szCs w:val="22"/>
        </w:rPr>
        <w:t>are expected to</w:t>
      </w:r>
      <w:r w:rsidRPr="1375164F">
        <w:rPr>
          <w:rFonts w:eastAsia="Calibri" w:cs="Calibri"/>
          <w:noProof/>
          <w:sz w:val="22"/>
          <w:szCs w:val="22"/>
        </w:rPr>
        <w:t xml:space="preserve"> </w:t>
      </w:r>
      <w:r w:rsidR="0011208C" w:rsidRPr="1375164F">
        <w:rPr>
          <w:rFonts w:eastAsia="Calibri" w:cs="Calibri"/>
          <w:noProof/>
          <w:sz w:val="22"/>
          <w:szCs w:val="22"/>
        </w:rPr>
        <w:t>provide</w:t>
      </w:r>
      <w:r w:rsidRPr="1375164F">
        <w:rPr>
          <w:rFonts w:eastAsia="Calibri" w:cs="Calibri"/>
          <w:noProof/>
          <w:sz w:val="22"/>
          <w:szCs w:val="22"/>
        </w:rPr>
        <w:t xml:space="preserve"> a single, trusted digital infrastructure that allows businesses to operate seamlessly across the EU by reducing administrative burden,</w:t>
      </w:r>
      <w:r w:rsidR="7B95E0C9" w:rsidRPr="1375164F">
        <w:rPr>
          <w:rFonts w:eastAsia="Calibri" w:cs="Calibri"/>
          <w:noProof/>
          <w:sz w:val="22"/>
          <w:szCs w:val="22"/>
        </w:rPr>
        <w:t xml:space="preserve"> simplifying compliance with EU legislation both in a B-2-B or B-2-G,</w:t>
      </w:r>
      <w:r w:rsidRPr="1375164F">
        <w:rPr>
          <w:rFonts w:eastAsia="Calibri" w:cs="Calibri"/>
          <w:noProof/>
          <w:sz w:val="22"/>
          <w:szCs w:val="22"/>
        </w:rPr>
        <w:t xml:space="preserve"> increasing legal certainty, and enabling secure data exchange. </w:t>
      </w:r>
      <w:r w:rsidRPr="1375164F">
        <w:rPr>
          <w:rFonts w:eastAsia="Aptos" w:cs="Calibri"/>
          <w:noProof/>
          <w:sz w:val="22"/>
          <w:szCs w:val="22"/>
        </w:rPr>
        <w:t xml:space="preserve">European Business Wallets </w:t>
      </w:r>
      <w:r w:rsidR="1B42E55B" w:rsidRPr="1375164F">
        <w:rPr>
          <w:rFonts w:eastAsia="Aptos" w:cs="Calibri"/>
          <w:noProof/>
          <w:sz w:val="22"/>
          <w:szCs w:val="22"/>
        </w:rPr>
        <w:t xml:space="preserve">will </w:t>
      </w:r>
      <w:r w:rsidRPr="1375164F">
        <w:rPr>
          <w:rFonts w:eastAsia="Aptos" w:cs="Calibri"/>
          <w:noProof/>
          <w:sz w:val="22"/>
          <w:szCs w:val="22"/>
        </w:rPr>
        <w:t xml:space="preserve">help companies automate everyday </w:t>
      </w:r>
      <w:r w:rsidR="1D1F8638" w:rsidRPr="1375164F">
        <w:rPr>
          <w:rFonts w:eastAsia="Aptos" w:cs="Calibri"/>
          <w:noProof/>
          <w:sz w:val="22"/>
          <w:szCs w:val="22"/>
        </w:rPr>
        <w:t xml:space="preserve">time-consuming </w:t>
      </w:r>
      <w:r w:rsidRPr="1375164F">
        <w:rPr>
          <w:rFonts w:eastAsia="Aptos" w:cs="Calibri"/>
          <w:noProof/>
          <w:sz w:val="22"/>
          <w:szCs w:val="22"/>
        </w:rPr>
        <w:t xml:space="preserve">administrative tasks. Instead of repeatedly </w:t>
      </w:r>
      <w:r w:rsidR="0F061E50" w:rsidRPr="1375164F">
        <w:rPr>
          <w:rFonts w:eastAsia="Aptos" w:cs="Calibri"/>
          <w:noProof/>
          <w:sz w:val="22"/>
          <w:szCs w:val="22"/>
        </w:rPr>
        <w:t>and manually</w:t>
      </w:r>
      <w:r w:rsidRPr="1375164F">
        <w:rPr>
          <w:rFonts w:eastAsia="Aptos" w:cs="Calibri"/>
          <w:noProof/>
          <w:sz w:val="22"/>
          <w:szCs w:val="22"/>
        </w:rPr>
        <w:t xml:space="preserve"> filling in forms, sending documents, or verifying information, businesses can reuse trusted data and complete processes automatically.</w:t>
      </w:r>
    </w:p>
    <w:p w14:paraId="36E568FB" w14:textId="2261B647" w:rsidR="74E39856" w:rsidRDefault="74E39856" w:rsidP="64331CDC">
      <w:pPr>
        <w:spacing w:before="0" w:after="0" w:line="276" w:lineRule="auto"/>
        <w:rPr>
          <w:rFonts w:eastAsia="Aptos" w:cs="Calibri"/>
          <w:noProof/>
          <w:sz w:val="22"/>
          <w:szCs w:val="22"/>
        </w:rPr>
      </w:pPr>
      <w:r w:rsidRPr="64331CDC">
        <w:rPr>
          <w:rFonts w:eastAsia="Aptos" w:cs="Calibri"/>
          <w:noProof/>
          <w:sz w:val="22"/>
          <w:szCs w:val="22"/>
        </w:rPr>
        <w:t xml:space="preserve">All limited liability companies registered in the EU have automatically been assigned </w:t>
      </w:r>
      <w:r w:rsidR="002F5F94" w:rsidRPr="64331CDC">
        <w:rPr>
          <w:rFonts w:eastAsia="Aptos" w:cs="Calibri"/>
          <w:noProof/>
          <w:sz w:val="22"/>
          <w:szCs w:val="22"/>
        </w:rPr>
        <w:t>a</w:t>
      </w:r>
      <w:r w:rsidRPr="64331CDC">
        <w:rPr>
          <w:rFonts w:eastAsia="Aptos" w:cs="Calibri"/>
          <w:noProof/>
          <w:sz w:val="22"/>
          <w:szCs w:val="22"/>
        </w:rPr>
        <w:t xml:space="preserve"> </w:t>
      </w:r>
      <w:r w:rsidR="2583FB88" w:rsidRPr="5C3D7057">
        <w:rPr>
          <w:rFonts w:eastAsia="Calibri" w:cs="Calibri"/>
          <w:noProof/>
          <w:sz w:val="22"/>
          <w:szCs w:val="22"/>
        </w:rPr>
        <w:t>European Unique Identifier</w:t>
      </w:r>
      <w:r w:rsidR="2583FB88" w:rsidRPr="5C3D7057">
        <w:rPr>
          <w:rFonts w:eastAsia="Aptos" w:cs="Calibri"/>
          <w:noProof/>
          <w:sz w:val="22"/>
          <w:szCs w:val="22"/>
        </w:rPr>
        <w:t xml:space="preserve"> (</w:t>
      </w:r>
      <w:r w:rsidRPr="64331CDC">
        <w:rPr>
          <w:rFonts w:eastAsia="Aptos" w:cs="Calibri"/>
          <w:noProof/>
          <w:sz w:val="22"/>
          <w:szCs w:val="22"/>
        </w:rPr>
        <w:t>EUID</w:t>
      </w:r>
      <w:r w:rsidR="5F3FF222" w:rsidRPr="5C3D7057">
        <w:rPr>
          <w:rFonts w:eastAsia="Aptos" w:cs="Calibri"/>
          <w:noProof/>
          <w:sz w:val="22"/>
          <w:szCs w:val="22"/>
        </w:rPr>
        <w:t>)</w:t>
      </w:r>
      <w:r w:rsidRPr="5C3D7057">
        <w:rPr>
          <w:rFonts w:eastAsia="Aptos" w:cs="Calibri"/>
          <w:noProof/>
          <w:sz w:val="22"/>
          <w:szCs w:val="22"/>
        </w:rPr>
        <w:t xml:space="preserve"> </w:t>
      </w:r>
      <w:r w:rsidRPr="64331CDC">
        <w:rPr>
          <w:rFonts w:eastAsia="Aptos" w:cs="Calibri"/>
          <w:noProof/>
          <w:sz w:val="22"/>
          <w:szCs w:val="22"/>
        </w:rPr>
        <w:t>since 2017. It will be assigned to all EU commercial partnerships by July 2028. The identifier allows, through a Business Registers Interconnection System</w:t>
      </w:r>
      <w:r w:rsidR="116C0D5B" w:rsidRPr="64331CDC">
        <w:rPr>
          <w:rFonts w:eastAsia="Aptos" w:cs="Calibri"/>
          <w:noProof/>
          <w:sz w:val="22"/>
          <w:szCs w:val="22"/>
        </w:rPr>
        <w:t xml:space="preserve"> (BRIS)</w:t>
      </w:r>
      <w:r w:rsidRPr="64331CDC">
        <w:rPr>
          <w:rFonts w:eastAsia="Aptos" w:cs="Calibri"/>
          <w:noProof/>
          <w:sz w:val="22"/>
          <w:szCs w:val="22"/>
        </w:rPr>
        <w:t>,</w:t>
      </w:r>
      <w:r w:rsidR="7E3E2E32" w:rsidRPr="64331CDC">
        <w:rPr>
          <w:rFonts w:eastAsia="Aptos" w:cs="Calibri"/>
          <w:noProof/>
          <w:sz w:val="22"/>
          <w:szCs w:val="22"/>
        </w:rPr>
        <w:t xml:space="preserve"> public access to company information – including information on branches in other Member States – via the European e-Justice portal. The EUID is also used by the Beneficial Ownership Register Interconnection System (BORIS), where the EUID is assigned to all relevant entiti</w:t>
      </w:r>
      <w:r w:rsidR="116CAFAD" w:rsidRPr="64331CDC">
        <w:rPr>
          <w:rFonts w:eastAsia="Aptos" w:cs="Calibri"/>
          <w:noProof/>
          <w:sz w:val="22"/>
          <w:szCs w:val="22"/>
        </w:rPr>
        <w:t>es, not only companies. In accordance with Directive 2025/25, BRIS will be linked with BORIS and the Insolvency Registers Interconnection System (IRI) by July 2028. The European Business Wallet</w:t>
      </w:r>
      <w:r w:rsidR="116CAFAD" w:rsidRPr="64331CDC" w:rsidDel="00D07DA4">
        <w:rPr>
          <w:rFonts w:eastAsia="Aptos" w:cs="Calibri"/>
          <w:noProof/>
          <w:sz w:val="22"/>
          <w:szCs w:val="22"/>
        </w:rPr>
        <w:t xml:space="preserve"> </w:t>
      </w:r>
      <w:r w:rsidR="116CAFAD" w:rsidRPr="64331CDC">
        <w:rPr>
          <w:rFonts w:eastAsia="Aptos" w:cs="Calibri"/>
          <w:noProof/>
          <w:sz w:val="22"/>
          <w:szCs w:val="22"/>
        </w:rPr>
        <w:t xml:space="preserve">will also use the </w:t>
      </w:r>
      <w:r w:rsidR="006E7D3C" w:rsidRPr="005A0E0B">
        <w:rPr>
          <w:rFonts w:eastAsia="Aptos" w:cs="Calibri"/>
          <w:noProof/>
          <w:sz w:val="22"/>
          <w:szCs w:val="22"/>
        </w:rPr>
        <w:t>EUID as a unique identifier contained in the Business Wallet owner identification data</w:t>
      </w:r>
      <w:r w:rsidR="116CAFAD" w:rsidRPr="64331CDC">
        <w:rPr>
          <w:rFonts w:eastAsia="Aptos" w:cs="Calibri"/>
          <w:noProof/>
          <w:sz w:val="22"/>
          <w:szCs w:val="22"/>
        </w:rPr>
        <w:t xml:space="preserve">. </w:t>
      </w:r>
    </w:p>
    <w:p w14:paraId="138B29C8" w14:textId="19D11EB7" w:rsidR="0047567D" w:rsidRPr="00417E18" w:rsidRDefault="079B6BA1" w:rsidP="00EB107B">
      <w:pPr>
        <w:spacing w:before="0" w:after="0" w:line="276" w:lineRule="auto"/>
        <w:rPr>
          <w:rFonts w:eastAsia="Aptos" w:cs="Calibri"/>
          <w:noProof/>
          <w:sz w:val="22"/>
          <w:szCs w:val="22"/>
        </w:rPr>
      </w:pPr>
      <w:r w:rsidRPr="1375164F">
        <w:rPr>
          <w:rFonts w:eastAsia="Aptos" w:cs="Calibri"/>
          <w:noProof/>
          <w:sz w:val="22"/>
          <w:szCs w:val="22"/>
        </w:rPr>
        <w:t xml:space="preserve">This means less back-and-forth, fewer errors, and faster execution </w:t>
      </w:r>
      <w:r w:rsidR="00097BA5" w:rsidRPr="1375164F">
        <w:rPr>
          <w:rFonts w:eastAsia="Aptos" w:cs="Calibri"/>
          <w:noProof/>
          <w:sz w:val="22"/>
          <w:szCs w:val="22"/>
        </w:rPr>
        <w:t>-</w:t>
      </w:r>
      <w:r w:rsidRPr="1375164F">
        <w:rPr>
          <w:rFonts w:eastAsia="Aptos" w:cs="Calibri"/>
          <w:noProof/>
          <w:sz w:val="22"/>
          <w:szCs w:val="22"/>
        </w:rPr>
        <w:t xml:space="preserve"> from onboarding partners to signing contracts or meeting compliance requirements. In practice, it frees up time and resources, allowing companies to</w:t>
      </w:r>
      <w:r w:rsidR="461BB561" w:rsidRPr="1375164F">
        <w:rPr>
          <w:rFonts w:eastAsia="Aptos" w:cs="Calibri"/>
          <w:noProof/>
          <w:sz w:val="22"/>
          <w:szCs w:val="22"/>
        </w:rPr>
        <w:t xml:space="preserve"> turn compliance with EU legislation into competitive advantage and</w:t>
      </w:r>
      <w:r w:rsidRPr="1375164F">
        <w:rPr>
          <w:rFonts w:eastAsia="Aptos" w:cs="Calibri"/>
          <w:noProof/>
          <w:sz w:val="22"/>
          <w:szCs w:val="22"/>
        </w:rPr>
        <w:t xml:space="preserve"> focus on growth instead of administration.</w:t>
      </w:r>
    </w:p>
    <w:tbl>
      <w:tblPr>
        <w:tblStyle w:val="TableGrid"/>
        <w:tblW w:w="0" w:type="auto"/>
        <w:tblLook w:val="06A0" w:firstRow="1" w:lastRow="0" w:firstColumn="1" w:lastColumn="0" w:noHBand="1" w:noVBand="1"/>
      </w:tblPr>
      <w:tblGrid>
        <w:gridCol w:w="9350"/>
      </w:tblGrid>
      <w:tr w:rsidR="26ECC2EC" w:rsidRPr="00417E18" w14:paraId="6F5B0A29" w14:textId="77777777" w:rsidTr="004D6A80">
        <w:trPr>
          <w:trHeight w:val="898"/>
        </w:trPr>
        <w:tc>
          <w:tcPr>
            <w:tcW w:w="9350" w:type="dxa"/>
            <w:shd w:val="clear" w:color="auto" w:fill="D4F1EE"/>
          </w:tcPr>
          <w:p w14:paraId="2CF7481F" w14:textId="68CC8B09" w:rsidR="03596654" w:rsidRPr="00417E18" w:rsidRDefault="03596654" w:rsidP="41BB94BE">
            <w:pPr>
              <w:rPr>
                <w:b/>
                <w:noProof/>
              </w:rPr>
            </w:pPr>
            <w:r w:rsidRPr="00417E18">
              <w:rPr>
                <w:b/>
                <w:noProof/>
              </w:rPr>
              <w:t>Recommendation</w:t>
            </w:r>
            <w:r w:rsidR="004A544A">
              <w:rPr>
                <w:b/>
                <w:noProof/>
              </w:rPr>
              <w:t>:</w:t>
            </w:r>
          </w:p>
          <w:p w14:paraId="5881CD51" w14:textId="5C35CDD4" w:rsidR="03596654" w:rsidRPr="00417E18" w:rsidRDefault="37BCFF32" w:rsidP="5CDC5571">
            <w:pPr>
              <w:spacing w:line="278" w:lineRule="auto"/>
              <w:rPr>
                <w:rFonts w:eastAsia="Calibri" w:cs="Calibri"/>
                <w:noProof/>
              </w:rPr>
            </w:pPr>
            <w:r w:rsidRPr="00417E18">
              <w:rPr>
                <w:rFonts w:eastAsia="Calibri" w:cs="Calibri"/>
                <w:noProof/>
              </w:rPr>
              <w:t xml:space="preserve">Member States should </w:t>
            </w:r>
            <w:r w:rsidR="23C9B074" w:rsidRPr="00417E18">
              <w:rPr>
                <w:rFonts w:eastAsia="Calibri" w:cs="Calibri"/>
                <w:noProof/>
              </w:rPr>
              <w:t>ensure the timely deployment and uptake of the EU Digital Identity Wallet and prepare for the rollout of the European Business Wallet, by:</w:t>
            </w:r>
          </w:p>
          <w:p w14:paraId="49AB60EE" w14:textId="03D9AB3A" w:rsidR="03596654" w:rsidRPr="00417E18" w:rsidRDefault="23C9B074" w:rsidP="00F36E2D">
            <w:pPr>
              <w:pStyle w:val="ListParagraph"/>
              <w:numPr>
                <w:ilvl w:val="0"/>
                <w:numId w:val="30"/>
              </w:numPr>
              <w:spacing w:before="60" w:after="120" w:line="278" w:lineRule="auto"/>
              <w:ind w:left="714" w:hanging="357"/>
              <w:contextualSpacing w:val="0"/>
              <w:rPr>
                <w:rFonts w:eastAsia="Calibri" w:cs="Calibri"/>
                <w:noProof/>
              </w:rPr>
            </w:pPr>
            <w:r w:rsidRPr="00417E18">
              <w:rPr>
                <w:rFonts w:eastAsia="Calibri" w:cs="Calibri"/>
                <w:noProof/>
              </w:rPr>
              <w:t>ensuring the issuance of the Wallet by the December 2026 deadline and aligning national EUDI Wallets implementation roadmaps, including security certification and cross-border use cases;</w:t>
            </w:r>
          </w:p>
          <w:p w14:paraId="1E89CCF9" w14:textId="675C43CA" w:rsidR="03596654" w:rsidRPr="00417E18" w:rsidRDefault="23C9B074" w:rsidP="00F36E2D">
            <w:pPr>
              <w:pStyle w:val="ListParagraph"/>
              <w:numPr>
                <w:ilvl w:val="0"/>
                <w:numId w:val="30"/>
              </w:numPr>
              <w:spacing w:before="60" w:after="120" w:line="278" w:lineRule="auto"/>
              <w:ind w:left="714" w:hanging="357"/>
              <w:contextualSpacing w:val="0"/>
              <w:rPr>
                <w:rFonts w:eastAsia="Calibri" w:cs="Calibri"/>
                <w:noProof/>
              </w:rPr>
            </w:pPr>
            <w:r w:rsidRPr="00417E18">
              <w:rPr>
                <w:rFonts w:eastAsia="Calibri" w:cs="Calibri"/>
                <w:noProof/>
              </w:rPr>
              <w:t>supporting the integration of the Wallets with key public and private services and use cases, in order to maximise the uptake and the economic impact of the EUDI Wallets, building on the continuing work of the large-scale pilots</w:t>
            </w:r>
            <w:r w:rsidR="00BA2138" w:rsidRPr="00417E18">
              <w:rPr>
                <w:rFonts w:eastAsia="Calibri" w:cs="Calibri"/>
                <w:noProof/>
              </w:rPr>
              <w:t>.</w:t>
            </w:r>
          </w:p>
        </w:tc>
      </w:tr>
    </w:tbl>
    <w:p w14:paraId="546A7EE9" w14:textId="3779F75A" w:rsidR="003A53C2" w:rsidRPr="00417E18" w:rsidRDefault="4DB62358" w:rsidP="00E11929">
      <w:pPr>
        <w:pStyle w:val="Heading3"/>
        <w:numPr>
          <w:ilvl w:val="2"/>
          <w:numId w:val="40"/>
        </w:numPr>
        <w:rPr>
          <w:noProof/>
        </w:rPr>
      </w:pPr>
      <w:bookmarkStart w:id="106" w:name="_Toc226710914"/>
      <w:bookmarkStart w:id="107" w:name="_Toc1781677688"/>
      <w:bookmarkStart w:id="108" w:name="_Toc1165973313"/>
      <w:bookmarkStart w:id="109" w:name="_Toc231830069"/>
      <w:r w:rsidRPr="00417E18">
        <w:rPr>
          <w:noProof/>
        </w:rPr>
        <w:t>Digital Public Services for Citizens</w:t>
      </w:r>
      <w:r w:rsidR="3D51080E" w:rsidRPr="00417E18">
        <w:rPr>
          <w:noProof/>
        </w:rPr>
        <w:t xml:space="preserve"> and businesses</w:t>
      </w:r>
      <w:bookmarkEnd w:id="106"/>
      <w:bookmarkEnd w:id="107"/>
      <w:bookmarkEnd w:id="108"/>
      <w:bookmarkEnd w:id="109"/>
    </w:p>
    <w:p w14:paraId="0148B171" w14:textId="72AD881B" w:rsidR="23115144" w:rsidRPr="00417E18" w:rsidRDefault="008E2BCB" w:rsidP="0115433C">
      <w:pPr>
        <w:pStyle w:val="Text1"/>
        <w:spacing w:before="200" w:after="160" w:line="259" w:lineRule="auto"/>
        <w:ind w:left="0"/>
        <w:rPr>
          <w:rFonts w:ascii="Calibri" w:eastAsia="Calibri" w:hAnsi="Calibri" w:cs="Calibri"/>
          <w:noProof/>
          <w:color w:val="000000" w:themeColor="text1"/>
          <w:sz w:val="22"/>
          <w:szCs w:val="22"/>
        </w:rPr>
      </w:pPr>
      <w:r w:rsidRPr="00417E18">
        <w:rPr>
          <w:rFonts w:ascii="Calibri" w:eastAsia="Calibri" w:hAnsi="Calibri" w:cs="Calibri"/>
          <w:b/>
          <w:noProof/>
          <w:color w:val="000000" w:themeColor="text1"/>
          <w:sz w:val="22"/>
          <w:szCs w:val="22"/>
        </w:rPr>
        <w:t xml:space="preserve">In 2025, the EU made steady progress </w:t>
      </w:r>
      <w:r w:rsidR="5B1393A7" w:rsidRPr="07868930">
        <w:rPr>
          <w:rFonts w:ascii="Calibri" w:eastAsia="Calibri" w:hAnsi="Calibri" w:cs="Calibri"/>
          <w:b/>
          <w:bCs/>
          <w:noProof/>
          <w:color w:val="000000" w:themeColor="text1"/>
          <w:sz w:val="22"/>
          <w:szCs w:val="22"/>
        </w:rPr>
        <w:t>toward</w:t>
      </w:r>
      <w:r w:rsidR="48CCD621" w:rsidRPr="07868930">
        <w:rPr>
          <w:rFonts w:ascii="Calibri" w:eastAsia="Calibri" w:hAnsi="Calibri" w:cs="Calibri"/>
          <w:b/>
          <w:bCs/>
          <w:noProof/>
          <w:color w:val="000000" w:themeColor="text1"/>
          <w:sz w:val="22"/>
          <w:szCs w:val="22"/>
        </w:rPr>
        <w:t>s</w:t>
      </w:r>
      <w:r w:rsidRPr="00417E18">
        <w:rPr>
          <w:rFonts w:ascii="Calibri" w:eastAsia="Calibri" w:hAnsi="Calibri" w:cs="Calibri"/>
          <w:b/>
          <w:noProof/>
          <w:color w:val="000000" w:themeColor="text1"/>
          <w:sz w:val="22"/>
          <w:szCs w:val="22"/>
        </w:rPr>
        <w:t xml:space="preserve"> its Digital Decade targets for fully digital public services. </w:t>
      </w:r>
      <w:r w:rsidR="23115144" w:rsidRPr="00417E18">
        <w:rPr>
          <w:rFonts w:ascii="Calibri" w:eastAsia="Calibri" w:hAnsi="Calibri" w:cs="Calibri"/>
          <w:b/>
          <w:noProof/>
          <w:color w:val="000000" w:themeColor="text1"/>
          <w:sz w:val="22"/>
          <w:szCs w:val="22"/>
        </w:rPr>
        <w:t>The digital public service score for citizens rose by 2.3 points</w:t>
      </w:r>
      <w:r w:rsidR="23115144" w:rsidRPr="00417E18">
        <w:rPr>
          <w:rFonts w:ascii="Calibri" w:eastAsia="Calibri" w:hAnsi="Calibri" w:cs="Calibri"/>
          <w:noProof/>
          <w:color w:val="000000" w:themeColor="text1"/>
          <w:sz w:val="22"/>
          <w:szCs w:val="22"/>
        </w:rPr>
        <w:t xml:space="preserve">, from 82.3/100 in 2024 to 84.6/100 in 2025. This represents a </w:t>
      </w:r>
      <w:r w:rsidR="23115144" w:rsidRPr="00417E18">
        <w:rPr>
          <w:rFonts w:ascii="Calibri" w:eastAsia="Calibri" w:hAnsi="Calibri" w:cs="Calibri"/>
          <w:b/>
          <w:noProof/>
          <w:color w:val="000000" w:themeColor="text1"/>
          <w:sz w:val="22"/>
          <w:szCs w:val="22"/>
        </w:rPr>
        <w:t>year-on-year growth rate of 2.8%</w:t>
      </w:r>
      <w:r w:rsidR="23115144" w:rsidRPr="00417E18">
        <w:rPr>
          <w:rFonts w:ascii="Calibri" w:eastAsia="Calibri" w:hAnsi="Calibri" w:cs="Calibri"/>
          <w:noProof/>
          <w:color w:val="000000" w:themeColor="text1"/>
          <w:sz w:val="22"/>
          <w:szCs w:val="22"/>
        </w:rPr>
        <w:t>.</w:t>
      </w:r>
    </w:p>
    <w:p w14:paraId="725B998B" w14:textId="25AA9016" w:rsidR="23115144" w:rsidRPr="00417E18" w:rsidRDefault="23115144" w:rsidP="22EB410D">
      <w:pPr>
        <w:pStyle w:val="Text3"/>
        <w:spacing w:before="0" w:after="160" w:line="259" w:lineRule="auto"/>
        <w:ind w:left="0"/>
        <w:rPr>
          <w:rFonts w:ascii="Calibri" w:eastAsia="Calibri" w:hAnsi="Calibri" w:cs="Calibri"/>
          <w:noProof/>
          <w:color w:val="000000" w:themeColor="text1"/>
          <w:sz w:val="22"/>
          <w:szCs w:val="22"/>
        </w:rPr>
      </w:pPr>
      <w:r w:rsidRPr="00417E18">
        <w:rPr>
          <w:rFonts w:ascii="Calibri" w:eastAsia="Calibri" w:hAnsi="Calibri" w:cs="Calibri"/>
          <w:noProof/>
          <w:color w:val="000000" w:themeColor="text1"/>
          <w:sz w:val="22"/>
          <w:szCs w:val="22"/>
        </w:rPr>
        <w:t xml:space="preserve">According to the forecast along the baseline trajectory, </w:t>
      </w:r>
      <w:r w:rsidRPr="00417E18">
        <w:rPr>
          <w:rFonts w:ascii="Calibri" w:eastAsia="Calibri" w:hAnsi="Calibri" w:cs="Calibri"/>
          <w:b/>
          <w:noProof/>
          <w:color w:val="000000" w:themeColor="text1"/>
          <w:sz w:val="22"/>
          <w:szCs w:val="22"/>
        </w:rPr>
        <w:t>92.3% of the target is expected to be achieved by 2030</w:t>
      </w:r>
      <w:r w:rsidRPr="00417E18">
        <w:rPr>
          <w:rFonts w:ascii="Calibri" w:eastAsia="Calibri" w:hAnsi="Calibri" w:cs="Calibri"/>
          <w:noProof/>
          <w:color w:val="000000" w:themeColor="text1"/>
          <w:sz w:val="22"/>
          <w:szCs w:val="22"/>
        </w:rPr>
        <w:t xml:space="preserve"> (</w:t>
      </w:r>
      <w:r w:rsidR="007B6296" w:rsidRPr="007B6296">
        <w:rPr>
          <w:rFonts w:ascii="Calibri" w:eastAsia="Calibri" w:hAnsi="Calibri" w:cs="Calibri"/>
          <w:noProof/>
          <w:color w:val="000000" w:themeColor="text1"/>
          <w:sz w:val="22"/>
          <w:szCs w:val="22"/>
        </w:rPr>
        <w:fldChar w:fldCharType="begin"/>
      </w:r>
      <w:r w:rsidR="007B6296" w:rsidRPr="007B6296">
        <w:rPr>
          <w:rFonts w:ascii="Calibri" w:eastAsia="Calibri" w:hAnsi="Calibri" w:cs="Calibri"/>
          <w:noProof/>
          <w:color w:val="000000" w:themeColor="text1"/>
          <w:sz w:val="22"/>
          <w:szCs w:val="22"/>
        </w:rPr>
        <w:instrText xml:space="preserve"> REF _Ref229040287 \h  \* MERGEFORMAT </w:instrText>
      </w:r>
      <w:r w:rsidR="007B6296" w:rsidRPr="007B6296">
        <w:rPr>
          <w:rFonts w:ascii="Calibri" w:eastAsia="Calibri" w:hAnsi="Calibri" w:cs="Calibri"/>
          <w:noProof/>
          <w:color w:val="000000" w:themeColor="text1"/>
          <w:sz w:val="22"/>
          <w:szCs w:val="22"/>
        </w:rPr>
      </w:r>
      <w:r w:rsidR="007B6296" w:rsidRPr="007B6296">
        <w:rPr>
          <w:rFonts w:ascii="Calibri" w:eastAsia="Calibri" w:hAnsi="Calibri" w:cs="Calibri"/>
          <w:noProof/>
          <w:color w:val="000000" w:themeColor="text1"/>
          <w:sz w:val="22"/>
          <w:szCs w:val="22"/>
        </w:rPr>
        <w:fldChar w:fldCharType="separate"/>
      </w:r>
      <w:r w:rsidR="007B6296" w:rsidRPr="007B6296">
        <w:rPr>
          <w:rFonts w:ascii="Calibri" w:hAnsi="Calibri" w:cs="Calibri"/>
          <w:noProof/>
          <w:sz w:val="22"/>
          <w:szCs w:val="22"/>
          <w:u w:val="single"/>
        </w:rPr>
        <w:t>Figure 18</w:t>
      </w:r>
      <w:r w:rsidR="007B6296" w:rsidRPr="007B6296">
        <w:rPr>
          <w:rFonts w:ascii="Calibri" w:eastAsia="Calibri" w:hAnsi="Calibri" w:cs="Calibri"/>
          <w:noProof/>
          <w:color w:val="000000" w:themeColor="text1"/>
          <w:sz w:val="22"/>
          <w:szCs w:val="22"/>
        </w:rPr>
        <w:fldChar w:fldCharType="end"/>
      </w:r>
      <w:r w:rsidRPr="00417E18">
        <w:rPr>
          <w:rFonts w:ascii="Calibri" w:eastAsia="Calibri" w:hAnsi="Calibri" w:cs="Calibri"/>
          <w:noProof/>
          <w:color w:val="000000" w:themeColor="text1"/>
          <w:sz w:val="22"/>
          <w:szCs w:val="22"/>
        </w:rPr>
        <w:t xml:space="preserve">). </w:t>
      </w:r>
      <w:r w:rsidRPr="00417E18">
        <w:rPr>
          <w:rFonts w:ascii="Calibri" w:eastAsia="Calibri" w:hAnsi="Calibri" w:cs="Calibri"/>
          <w:b/>
          <w:noProof/>
          <w:color w:val="000000" w:themeColor="text1"/>
          <w:sz w:val="22"/>
          <w:szCs w:val="22"/>
        </w:rPr>
        <w:t>In 2025,</w:t>
      </w:r>
      <w:r w:rsidRPr="00417E18">
        <w:rPr>
          <w:rFonts w:ascii="Calibri" w:eastAsia="Calibri" w:hAnsi="Calibri" w:cs="Calibri"/>
          <w:noProof/>
          <w:color w:val="000000" w:themeColor="text1"/>
          <w:sz w:val="22"/>
          <w:szCs w:val="22"/>
        </w:rPr>
        <w:t xml:space="preserve"> </w:t>
      </w:r>
      <w:r w:rsidRPr="00417E18">
        <w:rPr>
          <w:rFonts w:ascii="Calibri" w:eastAsia="Calibri" w:hAnsi="Calibri" w:cs="Calibri"/>
          <w:b/>
          <w:noProof/>
          <w:color w:val="000000" w:themeColor="text1"/>
          <w:sz w:val="22"/>
          <w:szCs w:val="22"/>
        </w:rPr>
        <w:t xml:space="preserve">the score for citizens stood at about 87.6% of the ideal value along the </w:t>
      </w:r>
      <w:r w:rsidR="38E232F5" w:rsidRPr="00417E18">
        <w:rPr>
          <w:rFonts w:ascii="Calibri" w:eastAsia="Calibri" w:hAnsi="Calibri" w:cs="Calibri"/>
          <w:b/>
          <w:noProof/>
          <w:color w:val="000000" w:themeColor="text1"/>
          <w:sz w:val="22"/>
          <w:szCs w:val="22"/>
        </w:rPr>
        <w:t>D</w:t>
      </w:r>
      <w:r w:rsidRPr="00417E18">
        <w:rPr>
          <w:rFonts w:ascii="Calibri" w:eastAsia="Calibri" w:hAnsi="Calibri" w:cs="Calibri"/>
          <w:b/>
          <w:noProof/>
          <w:color w:val="000000" w:themeColor="text1"/>
          <w:sz w:val="22"/>
          <w:szCs w:val="22"/>
        </w:rPr>
        <w:t xml:space="preserve">igital </w:t>
      </w:r>
      <w:r w:rsidR="785BFA0A" w:rsidRPr="00417E18">
        <w:rPr>
          <w:rFonts w:ascii="Calibri" w:eastAsia="Calibri" w:hAnsi="Calibri" w:cs="Calibri"/>
          <w:b/>
          <w:noProof/>
          <w:color w:val="000000" w:themeColor="text1"/>
          <w:sz w:val="22"/>
          <w:szCs w:val="22"/>
        </w:rPr>
        <w:t>D</w:t>
      </w:r>
      <w:r w:rsidRPr="00417E18">
        <w:rPr>
          <w:rFonts w:ascii="Calibri" w:eastAsia="Calibri" w:hAnsi="Calibri" w:cs="Calibri"/>
          <w:b/>
          <w:noProof/>
          <w:color w:val="000000" w:themeColor="text1"/>
          <w:sz w:val="22"/>
          <w:szCs w:val="22"/>
        </w:rPr>
        <w:t xml:space="preserve">ecade trajectory </w:t>
      </w:r>
      <w:r w:rsidRPr="00417E18">
        <w:rPr>
          <w:rFonts w:ascii="Calibri" w:eastAsia="Calibri" w:hAnsi="Calibri" w:cs="Calibri"/>
          <w:noProof/>
          <w:color w:val="000000" w:themeColor="text1"/>
          <w:sz w:val="22"/>
          <w:szCs w:val="22"/>
        </w:rPr>
        <w:t xml:space="preserve">(84.6/100 instead of 96.6/100). However, the full target </w:t>
      </w:r>
      <w:r w:rsidR="00944EB1">
        <w:rPr>
          <w:rFonts w:ascii="Calibri" w:eastAsia="Calibri" w:hAnsi="Calibri" w:cs="Calibri"/>
          <w:noProof/>
          <w:color w:val="000000" w:themeColor="text1"/>
          <w:sz w:val="22"/>
          <w:szCs w:val="22"/>
        </w:rPr>
        <w:t>-</w:t>
      </w:r>
      <w:r w:rsidRPr="00417E18">
        <w:rPr>
          <w:rFonts w:ascii="Calibri" w:eastAsia="Calibri" w:hAnsi="Calibri" w:cs="Calibri"/>
          <w:noProof/>
          <w:color w:val="000000" w:themeColor="text1"/>
          <w:sz w:val="22"/>
          <w:szCs w:val="22"/>
        </w:rPr>
        <w:t xml:space="preserve"> a score of 100 corresponding to the process fully online for all the services </w:t>
      </w:r>
      <w:r w:rsidR="00944EB1">
        <w:rPr>
          <w:rFonts w:ascii="Calibri" w:eastAsia="Calibri" w:hAnsi="Calibri" w:cs="Calibri"/>
          <w:noProof/>
          <w:color w:val="000000" w:themeColor="text1"/>
          <w:sz w:val="22"/>
          <w:szCs w:val="22"/>
        </w:rPr>
        <w:t>-</w:t>
      </w:r>
      <w:r w:rsidRPr="00417E18">
        <w:rPr>
          <w:rFonts w:ascii="Calibri" w:eastAsia="Calibri" w:hAnsi="Calibri" w:cs="Calibri"/>
          <w:noProof/>
          <w:color w:val="000000" w:themeColor="text1"/>
          <w:sz w:val="22"/>
          <w:szCs w:val="22"/>
        </w:rPr>
        <w:t xml:space="preserve"> is forecast to be reached only in </w:t>
      </w:r>
      <w:r w:rsidRPr="00417E18">
        <w:rPr>
          <w:rFonts w:ascii="Calibri" w:eastAsia="Calibri" w:hAnsi="Calibri" w:cs="Calibri"/>
          <w:b/>
          <w:noProof/>
          <w:color w:val="000000" w:themeColor="text1"/>
          <w:sz w:val="22"/>
          <w:szCs w:val="22"/>
        </w:rPr>
        <w:t>2058</w:t>
      </w:r>
      <w:r w:rsidRPr="00417E18">
        <w:rPr>
          <w:rFonts w:ascii="Calibri" w:eastAsia="Calibri" w:hAnsi="Calibri" w:cs="Calibri"/>
          <w:noProof/>
          <w:color w:val="000000" w:themeColor="text1"/>
          <w:sz w:val="22"/>
          <w:szCs w:val="22"/>
        </w:rPr>
        <w:t xml:space="preserve"> if no further actions are taken. </w:t>
      </w:r>
      <w:r w:rsidRPr="00417E18">
        <w:rPr>
          <w:rFonts w:ascii="Calibri" w:eastAsia="Calibri" w:hAnsi="Calibri" w:cs="Calibri"/>
          <w:b/>
          <w:noProof/>
          <w:color w:val="000000" w:themeColor="text1"/>
          <w:sz w:val="22"/>
          <w:szCs w:val="22"/>
        </w:rPr>
        <w:t xml:space="preserve">The score of cross-border online availability stood at 75.3/100 in 2025, up from 71.3/100 in 2024, </w:t>
      </w:r>
      <w:r w:rsidR="59E91B29" w:rsidRPr="00417E18">
        <w:rPr>
          <w:rFonts w:ascii="Calibri" w:eastAsia="Calibri" w:hAnsi="Calibri" w:cs="Calibri"/>
          <w:b/>
          <w:noProof/>
          <w:color w:val="000000" w:themeColor="text1"/>
          <w:sz w:val="22"/>
          <w:szCs w:val="22"/>
        </w:rPr>
        <w:t>representing a</w:t>
      </w:r>
      <w:r w:rsidRPr="00417E18">
        <w:rPr>
          <w:rFonts w:ascii="Calibri" w:eastAsia="Calibri" w:hAnsi="Calibri" w:cs="Calibri"/>
          <w:b/>
          <w:noProof/>
          <w:color w:val="000000" w:themeColor="text1"/>
          <w:sz w:val="22"/>
          <w:szCs w:val="22"/>
        </w:rPr>
        <w:t xml:space="preserve"> year</w:t>
      </w:r>
      <w:r w:rsidR="59E91B29" w:rsidRPr="00417E18">
        <w:rPr>
          <w:rFonts w:ascii="Calibri" w:eastAsia="Calibri" w:hAnsi="Calibri" w:cs="Calibri"/>
          <w:b/>
          <w:noProof/>
          <w:color w:val="000000" w:themeColor="text1"/>
          <w:sz w:val="22"/>
          <w:szCs w:val="22"/>
        </w:rPr>
        <w:t>-on-year growth rate of</w:t>
      </w:r>
      <w:r w:rsidRPr="00417E18">
        <w:rPr>
          <w:rFonts w:ascii="Calibri" w:eastAsia="Calibri" w:hAnsi="Calibri" w:cs="Calibri"/>
          <w:b/>
          <w:noProof/>
          <w:color w:val="000000" w:themeColor="text1"/>
          <w:sz w:val="22"/>
          <w:szCs w:val="22"/>
        </w:rPr>
        <w:t xml:space="preserve"> 5.6%</w:t>
      </w:r>
      <w:r w:rsidRPr="00417E18" w:rsidDel="23115144">
        <w:rPr>
          <w:rFonts w:ascii="Calibri" w:eastAsia="Calibri" w:hAnsi="Calibri" w:cs="Calibri"/>
          <w:b/>
          <w:noProof/>
          <w:color w:val="000000" w:themeColor="text1"/>
          <w:sz w:val="22"/>
          <w:szCs w:val="22"/>
        </w:rPr>
        <w:t xml:space="preserve"> </w:t>
      </w:r>
      <w:r w:rsidR="3C7763AA" w:rsidRPr="00417E18">
        <w:rPr>
          <w:rFonts w:ascii="Calibri" w:eastAsia="Calibri" w:hAnsi="Calibri" w:cs="Calibri"/>
          <w:b/>
          <w:noProof/>
          <w:color w:val="000000" w:themeColor="text1"/>
          <w:sz w:val="22"/>
          <w:szCs w:val="22"/>
        </w:rPr>
        <w:t>and</w:t>
      </w:r>
      <w:r w:rsidR="3C909F26" w:rsidRPr="00417E18">
        <w:rPr>
          <w:rFonts w:ascii="Calibri" w:eastAsia="Calibri" w:hAnsi="Calibri" w:cs="Calibri"/>
          <w:b/>
          <w:noProof/>
          <w:color w:val="000000" w:themeColor="text1"/>
          <w:sz w:val="22"/>
          <w:szCs w:val="22"/>
        </w:rPr>
        <w:t xml:space="preserve"> reflecting continued progress</w:t>
      </w:r>
      <w:r w:rsidRPr="00417E18">
        <w:rPr>
          <w:rFonts w:ascii="Calibri" w:eastAsia="Calibri" w:hAnsi="Calibri" w:cs="Calibri"/>
          <w:b/>
          <w:noProof/>
          <w:color w:val="000000" w:themeColor="text1"/>
          <w:sz w:val="22"/>
          <w:szCs w:val="22"/>
        </w:rPr>
        <w:t>.</w:t>
      </w:r>
    </w:p>
    <w:p w14:paraId="3809EA51" w14:textId="2F5E4B2D" w:rsidR="00FB3D43" w:rsidRPr="00417E18" w:rsidRDefault="00FB3D43" w:rsidP="00EB107B">
      <w:pPr>
        <w:spacing w:before="200" w:after="120" w:line="276" w:lineRule="auto"/>
        <w:rPr>
          <w:noProof/>
          <w:sz w:val="22"/>
          <w:szCs w:val="22"/>
        </w:rPr>
      </w:pPr>
      <w:r w:rsidRPr="00417E18">
        <w:rPr>
          <w:noProof/>
          <w:sz w:val="22"/>
          <w:szCs w:val="22"/>
        </w:rPr>
        <w:t>In their National Roadmaps, Member States reported investing EUR 13.</w:t>
      </w:r>
      <w:r w:rsidR="00B339C5" w:rsidRPr="00417E18">
        <w:rPr>
          <w:noProof/>
          <w:sz w:val="22"/>
          <w:szCs w:val="22"/>
        </w:rPr>
        <w:t>9</w:t>
      </w:r>
      <w:r w:rsidRPr="00417E18">
        <w:rPr>
          <w:noProof/>
          <w:sz w:val="22"/>
          <w:szCs w:val="22"/>
        </w:rPr>
        <w:t xml:space="preserve"> billion, representing approximately 4.</w:t>
      </w:r>
      <w:r w:rsidR="00D04486">
        <w:rPr>
          <w:noProof/>
          <w:sz w:val="22"/>
          <w:szCs w:val="22"/>
        </w:rPr>
        <w:t>8</w:t>
      </w:r>
      <w:r w:rsidRPr="00417E18">
        <w:rPr>
          <w:noProof/>
          <w:sz w:val="22"/>
          <w:szCs w:val="22"/>
        </w:rPr>
        <w:t xml:space="preserve">% of the total budget, to drive the digitalisation of key public services. This investment included a comprehensive set of </w:t>
      </w:r>
      <w:r w:rsidR="00C615B7" w:rsidRPr="00417E18">
        <w:rPr>
          <w:noProof/>
          <w:sz w:val="22"/>
          <w:szCs w:val="22"/>
        </w:rPr>
        <w:t>307</w:t>
      </w:r>
      <w:r w:rsidRPr="00417E18">
        <w:rPr>
          <w:noProof/>
          <w:sz w:val="22"/>
          <w:szCs w:val="22"/>
        </w:rPr>
        <w:t xml:space="preserve"> measures, of which more than half aim to increase the uptake, interoperability and accessibility of digital public services and around one-quarter focus on strengthening their security and resilience of these services.</w:t>
      </w:r>
    </w:p>
    <w:p w14:paraId="73BF6E9F" w14:textId="77777777" w:rsidR="00C03894" w:rsidRDefault="23115144" w:rsidP="00C03894">
      <w:pPr>
        <w:keepNext/>
        <w:spacing w:before="200"/>
        <w:rPr>
          <w:noProof/>
        </w:rPr>
      </w:pPr>
      <w:r w:rsidRPr="00417E18">
        <w:rPr>
          <w:noProof/>
          <w:lang w:eastAsia="en-GB"/>
        </w:rPr>
        <w:drawing>
          <wp:inline distT="0" distB="0" distL="0" distR="0" wp14:anchorId="52398BC7" wp14:editId="29703D51">
            <wp:extent cx="5964067" cy="2063691"/>
            <wp:effectExtent l="0" t="0" r="0" b="0"/>
            <wp:docPr id="1347050851" name="drawing" title="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50851" name="Picture 1347050851"/>
                    <pic:cNvPicPr/>
                  </pic:nvPicPr>
                  <pic:blipFill>
                    <a:blip r:embed="rId47">
                      <a:extLst>
                        <a:ext uri="{28A0092B-C50C-407E-A947-70E740481C1C}">
                          <a14:useLocalDpi xmlns:a14="http://schemas.microsoft.com/office/drawing/2010/main"/>
                        </a:ext>
                      </a:extLst>
                    </a:blip>
                    <a:stretch>
                      <a:fillRect/>
                    </a:stretch>
                  </pic:blipFill>
                  <pic:spPr>
                    <a:xfrm>
                      <a:off x="0" y="0"/>
                      <a:ext cx="5971655" cy="2066317"/>
                    </a:xfrm>
                    <a:prstGeom prst="rect">
                      <a:avLst/>
                    </a:prstGeom>
                  </pic:spPr>
                </pic:pic>
              </a:graphicData>
            </a:graphic>
          </wp:inline>
        </w:drawing>
      </w:r>
    </w:p>
    <w:p w14:paraId="064BDE55" w14:textId="630580CA" w:rsidR="00895E8F" w:rsidRPr="00417E18" w:rsidRDefault="00C03894" w:rsidP="00C03894">
      <w:pPr>
        <w:pStyle w:val="Caption"/>
        <w:rPr>
          <w:noProof/>
        </w:rPr>
      </w:pPr>
      <w:bookmarkStart w:id="110" w:name="_Ref229040287"/>
      <w:r w:rsidRPr="00C03894">
        <w:rPr>
          <w:noProof/>
          <w:u w:val="single"/>
        </w:rPr>
        <w:t xml:space="preserve">Figure </w:t>
      </w:r>
      <w:r w:rsidRPr="00C03894">
        <w:rPr>
          <w:noProof/>
          <w:u w:val="single"/>
        </w:rPr>
        <w:fldChar w:fldCharType="begin"/>
      </w:r>
      <w:r w:rsidRPr="00C03894">
        <w:rPr>
          <w:noProof/>
          <w:u w:val="single"/>
        </w:rPr>
        <w:instrText xml:space="preserve"> SEQ Figure \* ARABIC </w:instrText>
      </w:r>
      <w:r w:rsidRPr="00C03894">
        <w:rPr>
          <w:noProof/>
          <w:u w:val="single"/>
        </w:rPr>
        <w:fldChar w:fldCharType="separate"/>
      </w:r>
      <w:r>
        <w:rPr>
          <w:noProof/>
          <w:u w:val="single"/>
        </w:rPr>
        <w:t>18</w:t>
      </w:r>
      <w:r w:rsidRPr="00C03894">
        <w:rPr>
          <w:noProof/>
          <w:u w:val="single"/>
        </w:rPr>
        <w:fldChar w:fldCharType="end"/>
      </w:r>
      <w:bookmarkEnd w:id="110"/>
      <w:r>
        <w:rPr>
          <w:noProof/>
        </w:rPr>
        <w:t xml:space="preserve">: </w:t>
      </w:r>
      <w:r w:rsidRPr="002F7C67">
        <w:rPr>
          <w:noProof/>
        </w:rPr>
        <w:t>Share of administrative steps that can be done online for major life events for citizens nationals and foreigners (0 = no steps can be done online; 100 = the whole process can be done online). Historical data, Digital Decade and revised baseline trajec</w:t>
      </w:r>
      <w:r w:rsidR="007C0C80">
        <w:rPr>
          <w:noProof/>
        </w:rPr>
        <w:t>tory.</w:t>
      </w:r>
    </w:p>
    <w:p w14:paraId="4BE03FBF" w14:textId="6D92EADB" w:rsidR="00895E8F" w:rsidRPr="00417E18" w:rsidRDefault="00895E8F" w:rsidP="00895E8F">
      <w:pPr>
        <w:spacing w:before="200"/>
        <w:rPr>
          <w:noProof/>
          <w:sz w:val="22"/>
          <w:szCs w:val="22"/>
        </w:rPr>
      </w:pPr>
      <w:r w:rsidRPr="00417E18">
        <w:rPr>
          <w:b/>
          <w:bCs/>
          <w:noProof/>
          <w:sz w:val="22"/>
          <w:szCs w:val="22"/>
        </w:rPr>
        <w:t>The digital public service score for businesses rose by 2.4 points, from 86.2/100 in 2024 to 88.6/100 in 2025</w:t>
      </w:r>
      <w:r w:rsidRPr="00417E18">
        <w:rPr>
          <w:noProof/>
          <w:sz w:val="22"/>
          <w:szCs w:val="22"/>
        </w:rPr>
        <w:t>. This represents a </w:t>
      </w:r>
      <w:r w:rsidRPr="00417E18">
        <w:rPr>
          <w:b/>
          <w:bCs/>
          <w:noProof/>
          <w:sz w:val="22"/>
          <w:szCs w:val="22"/>
        </w:rPr>
        <w:t>year-on-year growth rate of 2.7%</w:t>
      </w:r>
      <w:r w:rsidRPr="00417E18">
        <w:rPr>
          <w:noProof/>
          <w:sz w:val="22"/>
          <w:szCs w:val="22"/>
        </w:rPr>
        <w:t>. </w:t>
      </w:r>
    </w:p>
    <w:p w14:paraId="048BF4E7" w14:textId="24F534FB" w:rsidR="00895E8F" w:rsidRPr="00417E18" w:rsidRDefault="00895E8F" w:rsidP="00895E8F">
      <w:pPr>
        <w:spacing w:before="200"/>
        <w:rPr>
          <w:noProof/>
          <w:sz w:val="22"/>
          <w:szCs w:val="22"/>
        </w:rPr>
      </w:pPr>
      <w:r w:rsidRPr="00417E18">
        <w:rPr>
          <w:noProof/>
          <w:sz w:val="22"/>
          <w:szCs w:val="22"/>
        </w:rPr>
        <w:t>According to the forecast along the baseline trajectory, </w:t>
      </w:r>
      <w:r w:rsidRPr="00417E18">
        <w:rPr>
          <w:b/>
          <w:bCs/>
          <w:noProof/>
          <w:sz w:val="22"/>
          <w:szCs w:val="22"/>
        </w:rPr>
        <w:t>93.7% of the target is expected to be achieved by 2030 </w:t>
      </w:r>
      <w:r w:rsidRPr="00417E18">
        <w:rPr>
          <w:noProof/>
          <w:sz w:val="22"/>
          <w:szCs w:val="22"/>
        </w:rPr>
        <w:t>(</w:t>
      </w:r>
      <w:r w:rsidR="007B6296" w:rsidRPr="007B6296">
        <w:rPr>
          <w:noProof/>
          <w:sz w:val="22"/>
          <w:szCs w:val="22"/>
        </w:rPr>
        <w:fldChar w:fldCharType="begin"/>
      </w:r>
      <w:r w:rsidR="007B6296" w:rsidRPr="007B6296">
        <w:rPr>
          <w:noProof/>
          <w:sz w:val="22"/>
          <w:szCs w:val="22"/>
        </w:rPr>
        <w:instrText xml:space="preserve"> REF _Ref229040303 \h </w:instrText>
      </w:r>
      <w:r w:rsidR="007B6296">
        <w:rPr>
          <w:noProof/>
          <w:sz w:val="22"/>
          <w:szCs w:val="22"/>
        </w:rPr>
        <w:instrText xml:space="preserve"> \* MERGEFORMAT </w:instrText>
      </w:r>
      <w:r w:rsidR="007B6296" w:rsidRPr="007B6296">
        <w:rPr>
          <w:noProof/>
          <w:sz w:val="22"/>
          <w:szCs w:val="22"/>
        </w:rPr>
      </w:r>
      <w:r w:rsidR="007B6296" w:rsidRPr="007B6296">
        <w:rPr>
          <w:noProof/>
          <w:sz w:val="22"/>
          <w:szCs w:val="22"/>
        </w:rPr>
        <w:fldChar w:fldCharType="separate"/>
      </w:r>
      <w:r w:rsidR="007B6296" w:rsidRPr="007B6296">
        <w:rPr>
          <w:noProof/>
          <w:sz w:val="22"/>
          <w:szCs w:val="22"/>
          <w:u w:val="single"/>
        </w:rPr>
        <w:t>Figure 19</w:t>
      </w:r>
      <w:r w:rsidR="007B6296" w:rsidRPr="007B6296">
        <w:rPr>
          <w:noProof/>
          <w:sz w:val="22"/>
          <w:szCs w:val="22"/>
        </w:rPr>
        <w:fldChar w:fldCharType="end"/>
      </w:r>
      <w:r w:rsidRPr="00417E18">
        <w:rPr>
          <w:noProof/>
          <w:sz w:val="22"/>
          <w:szCs w:val="22"/>
        </w:rPr>
        <w:t>).</w:t>
      </w:r>
      <w:r w:rsidRPr="00417E18">
        <w:rPr>
          <w:b/>
          <w:bCs/>
          <w:noProof/>
          <w:sz w:val="22"/>
          <w:szCs w:val="22"/>
        </w:rPr>
        <w:t xml:space="preserve"> In 2025, the score for businesses stood at 91% of the ideal value along the </w:t>
      </w:r>
      <w:r w:rsidR="3726C92B" w:rsidRPr="00417E18">
        <w:rPr>
          <w:b/>
          <w:bCs/>
          <w:noProof/>
          <w:sz w:val="22"/>
          <w:szCs w:val="22"/>
        </w:rPr>
        <w:t>D</w:t>
      </w:r>
      <w:r w:rsidRPr="00417E18">
        <w:rPr>
          <w:b/>
          <w:bCs/>
          <w:noProof/>
          <w:sz w:val="22"/>
          <w:szCs w:val="22"/>
        </w:rPr>
        <w:t xml:space="preserve">igital </w:t>
      </w:r>
      <w:r w:rsidR="17D6F87B" w:rsidRPr="00417E18">
        <w:rPr>
          <w:b/>
          <w:bCs/>
          <w:noProof/>
          <w:sz w:val="22"/>
          <w:szCs w:val="22"/>
        </w:rPr>
        <w:t>D</w:t>
      </w:r>
      <w:r w:rsidRPr="00417E18">
        <w:rPr>
          <w:b/>
          <w:bCs/>
          <w:noProof/>
          <w:sz w:val="22"/>
          <w:szCs w:val="22"/>
        </w:rPr>
        <w:t>ecade trajectory (88.6/100 instead of 97.4/100)</w:t>
      </w:r>
      <w:r w:rsidRPr="00417E18">
        <w:rPr>
          <w:noProof/>
          <w:sz w:val="22"/>
          <w:szCs w:val="22"/>
        </w:rPr>
        <w:t>. However, the</w:t>
      </w:r>
      <w:r w:rsidR="00AB3F98">
        <w:rPr>
          <w:noProof/>
          <w:sz w:val="22"/>
          <w:szCs w:val="22"/>
        </w:rPr>
        <w:t xml:space="preserve"> </w:t>
      </w:r>
      <w:r w:rsidRPr="00417E18">
        <w:rPr>
          <w:noProof/>
          <w:sz w:val="22"/>
          <w:szCs w:val="22"/>
        </w:rPr>
        <w:t>full target</w:t>
      </w:r>
      <w:r w:rsidR="65A6DA6C" w:rsidRPr="0C856F1D">
        <w:rPr>
          <w:noProof/>
          <w:sz w:val="22"/>
          <w:szCs w:val="22"/>
        </w:rPr>
        <w:t>,</w:t>
      </w:r>
      <w:r w:rsidRPr="00417E18">
        <w:rPr>
          <w:noProof/>
          <w:sz w:val="22"/>
          <w:szCs w:val="22"/>
        </w:rPr>
        <w:t> a score of 100 corresponding to the process fully online for all the services</w:t>
      </w:r>
      <w:r w:rsidR="4AB7CB60" w:rsidRPr="0C856F1D">
        <w:rPr>
          <w:noProof/>
          <w:sz w:val="22"/>
          <w:szCs w:val="22"/>
        </w:rPr>
        <w:t>,</w:t>
      </w:r>
      <w:r w:rsidRPr="00417E18">
        <w:rPr>
          <w:noProof/>
          <w:sz w:val="22"/>
          <w:szCs w:val="22"/>
        </w:rPr>
        <w:t xml:space="preserve"> is forecast to be reached not earlier than </w:t>
      </w:r>
      <w:r w:rsidRPr="00417E18">
        <w:rPr>
          <w:b/>
          <w:bCs/>
          <w:noProof/>
          <w:sz w:val="22"/>
          <w:szCs w:val="22"/>
        </w:rPr>
        <w:t>2063</w:t>
      </w:r>
      <w:r w:rsidR="00AB3F98">
        <w:rPr>
          <w:b/>
          <w:bCs/>
          <w:noProof/>
          <w:sz w:val="22"/>
          <w:szCs w:val="22"/>
        </w:rPr>
        <w:t xml:space="preserve"> </w:t>
      </w:r>
      <w:r w:rsidRPr="00417E18">
        <w:rPr>
          <w:noProof/>
          <w:sz w:val="22"/>
          <w:szCs w:val="22"/>
        </w:rPr>
        <w:t>if no further actions are taken.</w:t>
      </w:r>
      <w:r w:rsidR="00AB3F98">
        <w:rPr>
          <w:noProof/>
          <w:sz w:val="22"/>
          <w:szCs w:val="22"/>
        </w:rPr>
        <w:t xml:space="preserve"> </w:t>
      </w:r>
      <w:r w:rsidRPr="00417E18">
        <w:rPr>
          <w:b/>
          <w:bCs/>
          <w:noProof/>
          <w:sz w:val="22"/>
          <w:szCs w:val="22"/>
        </w:rPr>
        <w:t>The score of cross-border online availability stood at 78.4/100 in 2025, up from 73.8/100 in 2024, </w:t>
      </w:r>
      <w:r w:rsidR="5F30070B" w:rsidRPr="00417E18">
        <w:rPr>
          <w:b/>
          <w:bCs/>
          <w:noProof/>
          <w:sz w:val="22"/>
          <w:szCs w:val="22"/>
        </w:rPr>
        <w:t xml:space="preserve">representing </w:t>
      </w:r>
      <w:r w:rsidRPr="00417E18">
        <w:rPr>
          <w:b/>
          <w:bCs/>
          <w:noProof/>
          <w:sz w:val="22"/>
          <w:szCs w:val="22"/>
        </w:rPr>
        <w:t>approximately </w:t>
      </w:r>
      <w:r w:rsidR="37001750" w:rsidRPr="00417E18">
        <w:rPr>
          <w:b/>
          <w:bCs/>
          <w:noProof/>
          <w:sz w:val="22"/>
          <w:szCs w:val="22"/>
        </w:rPr>
        <w:t xml:space="preserve">a year-on-year growth rate of </w:t>
      </w:r>
      <w:r w:rsidRPr="00417E18">
        <w:rPr>
          <w:b/>
          <w:bCs/>
          <w:noProof/>
          <w:sz w:val="22"/>
          <w:szCs w:val="22"/>
        </w:rPr>
        <w:t>6.2%</w:t>
      </w:r>
      <w:r w:rsidRPr="00417E18">
        <w:rPr>
          <w:noProof/>
          <w:sz w:val="22"/>
          <w:szCs w:val="22"/>
        </w:rPr>
        <w:t>. </w:t>
      </w:r>
    </w:p>
    <w:p w14:paraId="7F4892B6" w14:textId="77777777" w:rsidR="00C03894" w:rsidRDefault="00895E8F" w:rsidP="00C03894">
      <w:pPr>
        <w:keepNext/>
        <w:spacing w:before="200"/>
        <w:rPr>
          <w:noProof/>
        </w:rPr>
      </w:pPr>
      <w:r w:rsidRPr="00417E18">
        <w:rPr>
          <w:noProof/>
          <w:lang w:eastAsia="en-GB"/>
        </w:rPr>
        <w:drawing>
          <wp:inline distT="0" distB="0" distL="0" distR="0" wp14:anchorId="2922646A" wp14:editId="10EA4D68">
            <wp:extent cx="5901868" cy="2021747"/>
            <wp:effectExtent l="0" t="0" r="3810" b="0"/>
            <wp:docPr id="468046331" name="Picture 2" descr="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creenshot of a graph"/>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2866" cy="2028940"/>
                    </a:xfrm>
                    <a:prstGeom prst="rect">
                      <a:avLst/>
                    </a:prstGeom>
                    <a:noFill/>
                    <a:ln>
                      <a:noFill/>
                    </a:ln>
                  </pic:spPr>
                </pic:pic>
              </a:graphicData>
            </a:graphic>
          </wp:inline>
        </w:drawing>
      </w:r>
    </w:p>
    <w:p w14:paraId="6B1423B6" w14:textId="4E6FAA92" w:rsidR="00895E8F" w:rsidRPr="00417E18" w:rsidRDefault="00C03894" w:rsidP="00C03894">
      <w:pPr>
        <w:pStyle w:val="Caption"/>
        <w:rPr>
          <w:noProof/>
        </w:rPr>
      </w:pPr>
      <w:bookmarkStart w:id="111" w:name="_Ref229040303"/>
      <w:r w:rsidRPr="00DE698D">
        <w:rPr>
          <w:noProof/>
          <w:u w:val="single"/>
        </w:rPr>
        <w:t xml:space="preserve">Figure </w:t>
      </w:r>
      <w:r w:rsidRPr="00DE698D">
        <w:rPr>
          <w:noProof/>
          <w:u w:val="single"/>
        </w:rPr>
        <w:fldChar w:fldCharType="begin"/>
      </w:r>
      <w:r w:rsidRPr="00DE698D">
        <w:rPr>
          <w:noProof/>
          <w:u w:val="single"/>
        </w:rPr>
        <w:instrText xml:space="preserve"> SEQ Figure \* ARABIC </w:instrText>
      </w:r>
      <w:r w:rsidRPr="00DE698D">
        <w:rPr>
          <w:noProof/>
          <w:u w:val="single"/>
        </w:rPr>
        <w:fldChar w:fldCharType="separate"/>
      </w:r>
      <w:r>
        <w:rPr>
          <w:noProof/>
          <w:u w:val="single"/>
        </w:rPr>
        <w:t>19</w:t>
      </w:r>
      <w:r w:rsidRPr="00DE698D">
        <w:rPr>
          <w:noProof/>
          <w:u w:val="single"/>
        </w:rPr>
        <w:fldChar w:fldCharType="end"/>
      </w:r>
      <w:bookmarkEnd w:id="111"/>
      <w:r>
        <w:rPr>
          <w:noProof/>
        </w:rPr>
        <w:t xml:space="preserve">: </w:t>
      </w:r>
      <w:r w:rsidRPr="00973753">
        <w:rPr>
          <w:noProof/>
        </w:rPr>
        <w:t xml:space="preserve">Share of public services needed to start a business and conduct regular business operations that are available online for national and for foreign users (0 = no steps can be done online; 100 = the whole process can be done online). Historical data, </w:t>
      </w:r>
      <w:r w:rsidR="00DE698D" w:rsidRPr="00417E18">
        <w:rPr>
          <w:noProof/>
        </w:rPr>
        <w:t>Digital Decade and revised baseline trajectory</w:t>
      </w:r>
      <w:r w:rsidR="007C0C80">
        <w:rPr>
          <w:noProof/>
        </w:rPr>
        <w:t>.</w:t>
      </w:r>
    </w:p>
    <w:p w14:paraId="016B5806" w14:textId="56F29EFB" w:rsidR="3AE6DD09" w:rsidRDefault="5B560172" w:rsidP="50A16846">
      <w:pPr>
        <w:spacing w:before="200" w:line="278" w:lineRule="auto"/>
        <w:rPr>
          <w:noProof/>
          <w:sz w:val="22"/>
          <w:szCs w:val="22"/>
        </w:rPr>
      </w:pPr>
      <w:r w:rsidRPr="00417E18">
        <w:rPr>
          <w:b/>
          <w:bCs/>
          <w:noProof/>
          <w:sz w:val="22"/>
          <w:szCs w:val="22"/>
        </w:rPr>
        <w:t>Member States, supported by a comprehensive EU policy framework, have undertaken significant actions to develop secure, interoperable and user-centric digital public services.</w:t>
      </w:r>
      <w:r w:rsidRPr="00417E18">
        <w:rPr>
          <w:noProof/>
          <w:sz w:val="22"/>
          <w:szCs w:val="22"/>
        </w:rPr>
        <w:t xml:space="preserve"> These collective efforts have led to measurable improvements in availability and usability across the Union. However, implementation remains uneven, with persistent gaps in cross-border service provision, interoperability in practice, and emerging challenges related to security, advanced technologies and digital sovereignty.</w:t>
      </w:r>
      <w:r w:rsidR="015992AC">
        <w:rPr>
          <w:noProof/>
          <w:sz w:val="22"/>
          <w:szCs w:val="22"/>
        </w:rPr>
        <w:t xml:space="preserve"> </w:t>
      </w:r>
      <w:r w:rsidR="015992AC" w:rsidRPr="00DA5EA4">
        <w:rPr>
          <w:noProof/>
          <w:sz w:val="22"/>
          <w:szCs w:val="22"/>
        </w:rPr>
        <w:t>In addition, territorial evidence highlights that the effectiveness of digital public services depends not only on their availability but also on their accessibility, usability and integration into local contexts, which can vary significantly within Member States</w:t>
      </w:r>
      <w:r w:rsidR="002134F1">
        <w:rPr>
          <w:rStyle w:val="FootnoteReference"/>
          <w:noProof/>
          <w:sz w:val="22"/>
          <w:szCs w:val="22"/>
        </w:rPr>
        <w:footnoteReference w:id="78"/>
      </w:r>
      <w:r w:rsidR="015992AC" w:rsidRPr="00DA5EA4">
        <w:rPr>
          <w:noProof/>
          <w:sz w:val="22"/>
          <w:szCs w:val="22"/>
        </w:rPr>
        <w:t>.</w:t>
      </w:r>
    </w:p>
    <w:p w14:paraId="32F2CB4A" w14:textId="5E8A42F3" w:rsidR="3AE6DD09" w:rsidRPr="00417E18" w:rsidRDefault="51904BEC" w:rsidP="3A5F48C0">
      <w:pPr>
        <w:spacing w:before="200" w:line="278" w:lineRule="auto"/>
        <w:rPr>
          <w:rFonts w:eastAsia="Calibri" w:cs="Calibri"/>
          <w:noProof/>
          <w:sz w:val="22"/>
          <w:szCs w:val="22"/>
        </w:rPr>
      </w:pPr>
      <w:r w:rsidRPr="0F02673E">
        <w:rPr>
          <w:noProof/>
          <w:sz w:val="22"/>
          <w:szCs w:val="22"/>
        </w:rPr>
        <w:t xml:space="preserve">This is particularly important given emerging evidence that </w:t>
      </w:r>
      <w:r w:rsidR="35D27D1F" w:rsidRPr="0F02673E">
        <w:rPr>
          <w:noProof/>
          <w:sz w:val="22"/>
          <w:szCs w:val="22"/>
        </w:rPr>
        <w:t>i</w:t>
      </w:r>
      <w:r w:rsidR="6F6CDBD2" w:rsidRPr="0F02673E">
        <w:rPr>
          <w:rFonts w:eastAsia="Calibri" w:cs="Calibri"/>
          <w:noProof/>
          <w:sz w:val="22"/>
          <w:szCs w:val="22"/>
        </w:rPr>
        <w:t>ncreasing digitalisation risks creating unequal access to public services. While 68% of EU residents interacted digitally with public authorities in 2025, significant disparities exist. A</w:t>
      </w:r>
      <w:r w:rsidR="491B198E" w:rsidRPr="0F02673E">
        <w:rPr>
          <w:rFonts w:eastAsia="Calibri" w:cs="Calibri"/>
          <w:noProof/>
          <w:sz w:val="22"/>
          <w:szCs w:val="22"/>
        </w:rPr>
        <w:t>ccording to Eurostat</w:t>
      </w:r>
      <w:r w:rsidR="276DF9F3" w:rsidRPr="0F02673E">
        <w:rPr>
          <w:rFonts w:eastAsia="Calibri" w:cs="Calibri"/>
          <w:noProof/>
          <w:sz w:val="22"/>
          <w:szCs w:val="22"/>
        </w:rPr>
        <w:t>, there is</w:t>
      </w:r>
      <w:r w:rsidR="6F6CDBD2" w:rsidRPr="0F02673E">
        <w:rPr>
          <w:rFonts w:eastAsia="Calibri" w:cs="Calibri"/>
          <w:noProof/>
          <w:sz w:val="22"/>
          <w:szCs w:val="22"/>
        </w:rPr>
        <w:t xml:space="preserve"> a</w:t>
      </w:r>
      <w:r w:rsidR="008E1707">
        <w:rPr>
          <w:rFonts w:eastAsia="Calibri" w:cs="Calibri"/>
          <w:noProof/>
          <w:sz w:val="22"/>
          <w:szCs w:val="22"/>
        </w:rPr>
        <w:t xml:space="preserve"> gap of</w:t>
      </w:r>
      <w:r w:rsidR="6F6CDBD2" w:rsidRPr="0F02673E">
        <w:rPr>
          <w:rFonts w:eastAsia="Calibri" w:cs="Calibri"/>
          <w:noProof/>
          <w:sz w:val="22"/>
          <w:szCs w:val="22"/>
        </w:rPr>
        <w:t xml:space="preserve"> 21 percentage point</w:t>
      </w:r>
      <w:r w:rsidR="008E1707">
        <w:rPr>
          <w:rFonts w:eastAsia="Calibri" w:cs="Calibri"/>
          <w:noProof/>
          <w:sz w:val="22"/>
          <w:szCs w:val="22"/>
        </w:rPr>
        <w:t>s</w:t>
      </w:r>
      <w:r w:rsidR="6F6CDBD2" w:rsidRPr="0F02673E">
        <w:rPr>
          <w:rFonts w:eastAsia="Calibri" w:cs="Calibri"/>
          <w:noProof/>
          <w:sz w:val="22"/>
          <w:szCs w:val="22"/>
        </w:rPr>
        <w:t xml:space="preserve"> between 25–64 and 65–74 year</w:t>
      </w:r>
      <w:r w:rsidR="002F5F94">
        <w:rPr>
          <w:rFonts w:eastAsia="Calibri" w:cs="Calibri"/>
          <w:noProof/>
          <w:sz w:val="22"/>
          <w:szCs w:val="22"/>
        </w:rPr>
        <w:t xml:space="preserve">s </w:t>
      </w:r>
      <w:r w:rsidR="6F6CDBD2" w:rsidRPr="0F02673E">
        <w:rPr>
          <w:rFonts w:eastAsia="Calibri" w:cs="Calibri"/>
          <w:noProof/>
          <w:sz w:val="22"/>
          <w:szCs w:val="22"/>
        </w:rPr>
        <w:t>old, and highly educated individuals</w:t>
      </w:r>
      <w:r w:rsidR="2787CF61" w:rsidRPr="0F02673E">
        <w:rPr>
          <w:rFonts w:eastAsia="Calibri" w:cs="Calibri"/>
          <w:noProof/>
          <w:sz w:val="22"/>
          <w:szCs w:val="22"/>
        </w:rPr>
        <w:t xml:space="preserve"> are</w:t>
      </w:r>
      <w:r w:rsidR="6F6CDBD2" w:rsidRPr="0F02673E">
        <w:rPr>
          <w:rFonts w:eastAsia="Calibri" w:cs="Calibri"/>
          <w:noProof/>
          <w:sz w:val="22"/>
          <w:szCs w:val="22"/>
        </w:rPr>
        <w:t xml:space="preserve"> twice as likely to </w:t>
      </w:r>
      <w:r w:rsidR="305FFAE0" w:rsidRPr="0F02673E">
        <w:rPr>
          <w:rFonts w:eastAsia="Calibri" w:cs="Calibri"/>
          <w:noProof/>
          <w:sz w:val="22"/>
          <w:szCs w:val="22"/>
        </w:rPr>
        <w:t xml:space="preserve">interact </w:t>
      </w:r>
      <w:r w:rsidR="6F6CDBD2" w:rsidRPr="0F02673E">
        <w:rPr>
          <w:rFonts w:eastAsia="Calibri" w:cs="Calibri"/>
          <w:noProof/>
          <w:sz w:val="22"/>
          <w:szCs w:val="22"/>
        </w:rPr>
        <w:t xml:space="preserve">digitally </w:t>
      </w:r>
      <w:r w:rsidR="48914BE4" w:rsidRPr="0F02673E">
        <w:rPr>
          <w:rFonts w:eastAsia="Calibri" w:cs="Calibri"/>
          <w:noProof/>
          <w:sz w:val="22"/>
          <w:szCs w:val="22"/>
        </w:rPr>
        <w:t xml:space="preserve">with public authorities </w:t>
      </w:r>
      <w:r w:rsidR="6F6CDBD2" w:rsidRPr="0F02673E">
        <w:rPr>
          <w:rFonts w:eastAsia="Calibri" w:cs="Calibri"/>
          <w:noProof/>
          <w:sz w:val="22"/>
          <w:szCs w:val="22"/>
        </w:rPr>
        <w:t xml:space="preserve">as those with low educational attainment. </w:t>
      </w:r>
      <w:r w:rsidR="00F02958">
        <w:rPr>
          <w:rFonts w:eastAsia="Calibri" w:cs="Calibri"/>
          <w:noProof/>
          <w:sz w:val="22"/>
          <w:szCs w:val="22"/>
        </w:rPr>
        <w:t>Additionally</w:t>
      </w:r>
      <w:r w:rsidR="489361A7" w:rsidRPr="0F02673E">
        <w:rPr>
          <w:rFonts w:eastAsia="Calibri" w:cs="Calibri"/>
          <w:noProof/>
          <w:sz w:val="22"/>
          <w:szCs w:val="22"/>
        </w:rPr>
        <w:t xml:space="preserve">, </w:t>
      </w:r>
      <w:r w:rsidR="6F6CDBD2" w:rsidRPr="0F02673E">
        <w:rPr>
          <w:rFonts w:eastAsia="Calibri" w:cs="Calibri"/>
          <w:noProof/>
          <w:sz w:val="22"/>
          <w:szCs w:val="22"/>
        </w:rPr>
        <w:t>Eurofound</w:t>
      </w:r>
      <w:r w:rsidR="00F02958">
        <w:rPr>
          <w:rStyle w:val="FootnoteReference"/>
          <w:rFonts w:eastAsia="Calibri" w:cs="Calibri"/>
          <w:noProof/>
          <w:sz w:val="22"/>
          <w:szCs w:val="22"/>
        </w:rPr>
        <w:footnoteReference w:id="79"/>
      </w:r>
      <w:r w:rsidR="6F6CDBD2" w:rsidRPr="0F02673E">
        <w:rPr>
          <w:rFonts w:eastAsia="Calibri" w:cs="Calibri"/>
          <w:noProof/>
          <w:sz w:val="22"/>
          <w:szCs w:val="22"/>
        </w:rPr>
        <w:t xml:space="preserve"> research warns that digital-by-default approaches can disadvantage those with lower digital skills, limited internet access, disabilities, or complex needs. Member States have stressed the need for</w:t>
      </w:r>
      <w:r w:rsidR="00987F71">
        <w:rPr>
          <w:rFonts w:eastAsia="Calibri" w:cs="Calibri"/>
          <w:noProof/>
          <w:sz w:val="22"/>
          <w:szCs w:val="22"/>
        </w:rPr>
        <w:t xml:space="preserve"> accessible and</w:t>
      </w:r>
      <w:r w:rsidR="6F6CDBD2" w:rsidRPr="0F02673E">
        <w:rPr>
          <w:rFonts w:eastAsia="Calibri" w:cs="Calibri"/>
          <w:noProof/>
          <w:sz w:val="22"/>
          <w:szCs w:val="22"/>
        </w:rPr>
        <w:t xml:space="preserve"> inclusive service delivery models to avoid </w:t>
      </w:r>
      <w:r w:rsidR="00987F71">
        <w:rPr>
          <w:rFonts w:eastAsia="Calibri" w:cs="Calibri"/>
          <w:noProof/>
          <w:sz w:val="22"/>
          <w:szCs w:val="22"/>
        </w:rPr>
        <w:t>reinforcing</w:t>
      </w:r>
      <w:r w:rsidR="6F6CDBD2" w:rsidRPr="0F02673E">
        <w:rPr>
          <w:rFonts w:eastAsia="Calibri" w:cs="Calibri"/>
          <w:noProof/>
          <w:sz w:val="22"/>
          <w:szCs w:val="22"/>
        </w:rPr>
        <w:t xml:space="preserve"> existing inequalities</w:t>
      </w:r>
      <w:r w:rsidR="00987F71">
        <w:rPr>
          <w:rStyle w:val="FootnoteReference"/>
          <w:rFonts w:eastAsia="Calibri" w:cs="Calibri"/>
          <w:noProof/>
          <w:sz w:val="22"/>
          <w:szCs w:val="22"/>
        </w:rPr>
        <w:footnoteReference w:id="80"/>
      </w:r>
      <w:r w:rsidR="6F6CDBD2" w:rsidRPr="0F02673E">
        <w:rPr>
          <w:rFonts w:eastAsia="Calibri" w:cs="Calibri"/>
          <w:noProof/>
          <w:sz w:val="22"/>
          <w:szCs w:val="22"/>
        </w:rPr>
        <w:t>.</w:t>
      </w:r>
      <w:r w:rsidR="5B0FB470" w:rsidRPr="1375164F">
        <w:rPr>
          <w:b/>
          <w:bCs/>
          <w:noProof/>
          <w:sz w:val="22"/>
          <w:szCs w:val="22"/>
        </w:rPr>
        <w:t>Cross-border service provision remains the main structural bottleneck</w:t>
      </w:r>
      <w:r w:rsidR="5B0FB470" w:rsidRPr="1375164F">
        <w:rPr>
          <w:noProof/>
          <w:sz w:val="22"/>
          <w:szCs w:val="22"/>
        </w:rPr>
        <w:t>. Despite progress, a substantial number of services still require further development to meet Digital Decade targets. Key sectors affecting mobility</w:t>
      </w:r>
      <w:r w:rsidR="4F3A19D1" w:rsidRPr="1375164F">
        <w:rPr>
          <w:noProof/>
          <w:sz w:val="22"/>
          <w:szCs w:val="22"/>
        </w:rPr>
        <w:t>, in particular</w:t>
      </w:r>
      <w:r w:rsidR="5B0FB470" w:rsidRPr="1375164F">
        <w:rPr>
          <w:noProof/>
          <w:sz w:val="22"/>
          <w:szCs w:val="22"/>
        </w:rPr>
        <w:t xml:space="preserve"> health and </w:t>
      </w:r>
      <w:r w:rsidR="5676C9D2" w:rsidRPr="1375164F">
        <w:rPr>
          <w:noProof/>
          <w:sz w:val="22"/>
          <w:szCs w:val="22"/>
        </w:rPr>
        <w:t>justice (</w:t>
      </w:r>
      <w:r w:rsidR="1A87BB16" w:rsidRPr="30BCB752">
        <w:rPr>
          <w:noProof/>
          <w:sz w:val="22"/>
          <w:szCs w:val="22"/>
        </w:rPr>
        <w:t xml:space="preserve">for example, </w:t>
      </w:r>
      <w:r w:rsidR="5676C9D2" w:rsidRPr="1375164F">
        <w:rPr>
          <w:noProof/>
          <w:sz w:val="22"/>
          <w:szCs w:val="22"/>
        </w:rPr>
        <w:t>starting a small claims procedure)</w:t>
      </w:r>
      <w:r w:rsidR="54FFF1B1" w:rsidRPr="1375164F">
        <w:rPr>
          <w:noProof/>
          <w:sz w:val="22"/>
          <w:szCs w:val="22"/>
        </w:rPr>
        <w:t xml:space="preserve"> </w:t>
      </w:r>
      <w:r w:rsidR="56855FE7" w:rsidRPr="1375164F">
        <w:rPr>
          <w:noProof/>
          <w:sz w:val="22"/>
          <w:szCs w:val="22"/>
        </w:rPr>
        <w:t>still struggle</w:t>
      </w:r>
      <w:r w:rsidR="5B0FB470" w:rsidRPr="1375164F">
        <w:rPr>
          <w:noProof/>
          <w:sz w:val="22"/>
          <w:szCs w:val="22"/>
        </w:rPr>
        <w:t xml:space="preserve"> to </w:t>
      </w:r>
      <w:r w:rsidR="56855FE7" w:rsidRPr="1375164F">
        <w:rPr>
          <w:noProof/>
          <w:sz w:val="22"/>
          <w:szCs w:val="22"/>
        </w:rPr>
        <w:t>provide</w:t>
      </w:r>
      <w:r w:rsidR="5B0FB470" w:rsidRPr="1375164F">
        <w:rPr>
          <w:noProof/>
          <w:sz w:val="22"/>
          <w:szCs w:val="22"/>
        </w:rPr>
        <w:t xml:space="preserve"> fully online cross-border services for citizens</w:t>
      </w:r>
      <w:r w:rsidR="00E06E51" w:rsidRPr="1375164F">
        <w:rPr>
          <w:noProof/>
          <w:sz w:val="22"/>
          <w:szCs w:val="22"/>
        </w:rPr>
        <w:t xml:space="preserve">. </w:t>
      </w:r>
      <w:r w:rsidR="14242190" w:rsidRPr="6DD7497D">
        <w:rPr>
          <w:noProof/>
          <w:sz w:val="22"/>
          <w:szCs w:val="22"/>
        </w:rPr>
        <w:t xml:space="preserve">Beyond small claims, digitalisation of other cross-border judicial proceedings is underway, but implementation is costly and takes time. </w:t>
      </w:r>
      <w:r w:rsidR="7AA1680F" w:rsidRPr="6DD7497D">
        <w:rPr>
          <w:noProof/>
          <w:sz w:val="22"/>
          <w:szCs w:val="22"/>
        </w:rPr>
        <w:t>Similarly</w:t>
      </w:r>
      <w:r w:rsidR="00E06E51" w:rsidRPr="1375164F">
        <w:rPr>
          <w:noProof/>
          <w:sz w:val="22"/>
          <w:szCs w:val="22"/>
        </w:rPr>
        <w:t>,</w:t>
      </w:r>
      <w:r w:rsidR="5B0FB470" w:rsidRPr="1375164F">
        <w:rPr>
          <w:noProof/>
          <w:sz w:val="22"/>
          <w:szCs w:val="22"/>
        </w:rPr>
        <w:t xml:space="preserve"> digitalis</w:t>
      </w:r>
      <w:r w:rsidR="38552460" w:rsidRPr="1375164F">
        <w:rPr>
          <w:noProof/>
          <w:sz w:val="22"/>
          <w:szCs w:val="22"/>
        </w:rPr>
        <w:t>ing</w:t>
      </w:r>
      <w:r w:rsidR="5B0FB470" w:rsidRPr="1375164F">
        <w:rPr>
          <w:noProof/>
          <w:sz w:val="22"/>
          <w:szCs w:val="22"/>
        </w:rPr>
        <w:t xml:space="preserve"> permits, official business certificates and proof documentation remain most complex for businesses</w:t>
      </w:r>
      <w:r w:rsidR="6D6681F0" w:rsidRPr="1375164F">
        <w:rPr>
          <w:noProof/>
          <w:sz w:val="22"/>
          <w:szCs w:val="22"/>
        </w:rPr>
        <w:t xml:space="preserve"> operating </w:t>
      </w:r>
      <w:r w:rsidR="5B0FB470" w:rsidRPr="1375164F">
        <w:rPr>
          <w:noProof/>
          <w:sz w:val="22"/>
          <w:szCs w:val="22"/>
        </w:rPr>
        <w:t>cross-border. This reflects the fact that, while interoperability frameworks are well established at EU level, their implementation across administrations is still ongoing. Core components, including cross-border data exchange and the once-only principle, are not yet fully operational in practice</w:t>
      </w:r>
      <w:r w:rsidR="48442133" w:rsidRPr="1375164F">
        <w:rPr>
          <w:noProof/>
          <w:sz w:val="22"/>
          <w:szCs w:val="22"/>
        </w:rPr>
        <w:t xml:space="preserve"> and not implemented in all policy domains of the public sector</w:t>
      </w:r>
      <w:r w:rsidR="5B0FB470" w:rsidRPr="1375164F">
        <w:rPr>
          <w:noProof/>
          <w:sz w:val="22"/>
          <w:szCs w:val="22"/>
        </w:rPr>
        <w:t>.</w:t>
      </w:r>
      <w:r w:rsidR="285369A0" w:rsidRPr="1375164F">
        <w:rPr>
          <w:noProof/>
          <w:sz w:val="22"/>
          <w:szCs w:val="22"/>
        </w:rPr>
        <w:t xml:space="preserve"> I</w:t>
      </w:r>
      <w:r w:rsidR="285369A0" w:rsidRPr="1375164F">
        <w:rPr>
          <w:rFonts w:eastAsia="Calibri" w:cs="Calibri"/>
          <w:noProof/>
          <w:sz w:val="22"/>
          <w:szCs w:val="22"/>
        </w:rPr>
        <w:t>n particular, the operationalisation of the once-only principle through the Once-Only Technical System (OOTS) remains incomplete, with many authorities not yet fully connected. In addition, while Member States increasingly rely on external providers for the development and delivery of digital public services, public procurement is not yet systematically leveraged to steer the development and uptake of secure, interoperable and sovereign digital solutions.</w:t>
      </w:r>
      <w:r w:rsidR="680269A3" w:rsidRPr="2BCEF42A">
        <w:rPr>
          <w:rFonts w:eastAsia="Calibri" w:cs="Calibri"/>
          <w:noProof/>
          <w:sz w:val="22"/>
          <w:szCs w:val="22"/>
        </w:rPr>
        <w:t xml:space="preserve"> </w:t>
      </w:r>
      <w:r w:rsidR="680269A3" w:rsidRPr="3AB4E5D6">
        <w:rPr>
          <w:rFonts w:eastAsia="Calibri" w:cs="Calibri"/>
          <w:noProof/>
          <w:sz w:val="22"/>
          <w:szCs w:val="22"/>
        </w:rPr>
        <w:t xml:space="preserve">A significant progress is expected under Directive 2025/25 on upgrading the use of digital tools and </w:t>
      </w:r>
      <w:r w:rsidR="4546DDBE" w:rsidRPr="776CE4DB">
        <w:rPr>
          <w:rFonts w:eastAsia="Calibri" w:cs="Calibri"/>
          <w:noProof/>
          <w:sz w:val="22"/>
          <w:szCs w:val="22"/>
        </w:rPr>
        <w:t>processes</w:t>
      </w:r>
      <w:r w:rsidR="680269A3" w:rsidRPr="3AB4E5D6">
        <w:rPr>
          <w:rFonts w:eastAsia="Calibri" w:cs="Calibri"/>
          <w:noProof/>
          <w:sz w:val="22"/>
          <w:szCs w:val="22"/>
        </w:rPr>
        <w:t xml:space="preserve"> in company law</w:t>
      </w:r>
      <w:r w:rsidR="686A8C19" w:rsidRPr="776CE4DB">
        <w:rPr>
          <w:rFonts w:eastAsia="Calibri" w:cs="Calibri"/>
          <w:noProof/>
          <w:sz w:val="22"/>
          <w:szCs w:val="22"/>
        </w:rPr>
        <w:t xml:space="preserve">. This </w:t>
      </w:r>
      <w:r w:rsidR="680269A3" w:rsidRPr="776CE4DB">
        <w:rPr>
          <w:rFonts w:eastAsia="Calibri" w:cs="Calibri"/>
          <w:noProof/>
          <w:sz w:val="22"/>
          <w:szCs w:val="22"/>
        </w:rPr>
        <w:t>will</w:t>
      </w:r>
      <w:r w:rsidR="680269A3" w:rsidRPr="3AB4E5D6">
        <w:rPr>
          <w:rFonts w:eastAsia="Calibri" w:cs="Calibri"/>
          <w:noProof/>
          <w:sz w:val="22"/>
          <w:szCs w:val="22"/>
        </w:rPr>
        <w:t xml:space="preserve"> allow companies to obtain an EU Company Certificate from national business registers or through the system of interconnection of registers (BRIS)</w:t>
      </w:r>
      <w:r w:rsidR="0F1B719E" w:rsidRPr="776CE4DB">
        <w:rPr>
          <w:rFonts w:eastAsia="Calibri" w:cs="Calibri"/>
          <w:noProof/>
          <w:sz w:val="22"/>
          <w:szCs w:val="22"/>
        </w:rPr>
        <w:t xml:space="preserve"> for different purposes, including in administrative </w:t>
      </w:r>
      <w:r w:rsidR="0F1B719E" w:rsidRPr="7239077D">
        <w:rPr>
          <w:rFonts w:eastAsia="Calibri" w:cs="Calibri"/>
          <w:noProof/>
          <w:sz w:val="22"/>
          <w:szCs w:val="22"/>
        </w:rPr>
        <w:t xml:space="preserve">procedures before national authorities or Union </w:t>
      </w:r>
      <w:r w:rsidR="5FD467E5" w:rsidRPr="65D42064">
        <w:rPr>
          <w:rFonts w:eastAsia="Calibri" w:cs="Calibri"/>
          <w:noProof/>
          <w:sz w:val="22"/>
          <w:szCs w:val="22"/>
        </w:rPr>
        <w:t>institutions</w:t>
      </w:r>
      <w:r w:rsidR="0F1B719E" w:rsidRPr="7239077D">
        <w:rPr>
          <w:rFonts w:eastAsia="Calibri" w:cs="Calibri"/>
          <w:noProof/>
          <w:sz w:val="22"/>
          <w:szCs w:val="22"/>
        </w:rPr>
        <w:t xml:space="preserve"> and bodies, and in judicial proceedings in other Member States. </w:t>
      </w:r>
      <w:r w:rsidR="0F1B719E" w:rsidRPr="4FF18E78">
        <w:rPr>
          <w:rFonts w:eastAsia="Calibri" w:cs="Calibri"/>
          <w:noProof/>
          <w:sz w:val="22"/>
          <w:szCs w:val="22"/>
        </w:rPr>
        <w:t xml:space="preserve">The EU Company Certificate will be </w:t>
      </w:r>
      <w:r w:rsidR="0F1B719E" w:rsidRPr="65D42064">
        <w:rPr>
          <w:rFonts w:eastAsia="Calibri" w:cs="Calibri"/>
          <w:noProof/>
          <w:sz w:val="22"/>
          <w:szCs w:val="22"/>
        </w:rPr>
        <w:t>issue</w:t>
      </w:r>
      <w:r w:rsidR="6A5CC4A8" w:rsidRPr="65D42064">
        <w:rPr>
          <w:rFonts w:eastAsia="Calibri" w:cs="Calibri"/>
          <w:noProof/>
          <w:sz w:val="22"/>
          <w:szCs w:val="22"/>
        </w:rPr>
        <w:t>d</w:t>
      </w:r>
      <w:r w:rsidR="0F1B719E" w:rsidRPr="4FF18E78">
        <w:rPr>
          <w:rFonts w:eastAsia="Calibri" w:cs="Calibri"/>
          <w:noProof/>
          <w:sz w:val="22"/>
          <w:szCs w:val="22"/>
        </w:rPr>
        <w:t xml:space="preserve"> and certified by national business registers and will include essential information used by companie</w:t>
      </w:r>
      <w:r w:rsidR="08B34921" w:rsidRPr="4FF18E78">
        <w:rPr>
          <w:rFonts w:eastAsia="Calibri" w:cs="Calibri"/>
          <w:noProof/>
          <w:sz w:val="22"/>
          <w:szCs w:val="22"/>
        </w:rPr>
        <w:t xml:space="preserve">s in cross-border situations, such as the company name, its registered office, legal representatives or the object of the company. </w:t>
      </w:r>
      <w:r w:rsidR="08B34921" w:rsidRPr="2C017686">
        <w:rPr>
          <w:rFonts w:eastAsia="Calibri" w:cs="Calibri"/>
          <w:noProof/>
          <w:sz w:val="22"/>
          <w:szCs w:val="22"/>
        </w:rPr>
        <w:t xml:space="preserve">The electronic EU Company Certificate will be authenticated by using trust services as referred to in Regulation </w:t>
      </w:r>
      <w:r w:rsidR="203A3777" w:rsidRPr="65D42064">
        <w:rPr>
          <w:rFonts w:eastAsia="Calibri" w:cs="Calibri"/>
          <w:noProof/>
          <w:sz w:val="22"/>
          <w:szCs w:val="22"/>
        </w:rPr>
        <w:t>(EU)</w:t>
      </w:r>
      <w:r w:rsidR="08B34921" w:rsidRPr="65D42064">
        <w:rPr>
          <w:rFonts w:eastAsia="Calibri" w:cs="Calibri"/>
          <w:noProof/>
          <w:sz w:val="22"/>
          <w:szCs w:val="22"/>
        </w:rPr>
        <w:t xml:space="preserve"> </w:t>
      </w:r>
      <w:r w:rsidR="08B34921" w:rsidRPr="2C017686">
        <w:rPr>
          <w:rFonts w:eastAsia="Calibri" w:cs="Calibri"/>
          <w:noProof/>
          <w:sz w:val="22"/>
          <w:szCs w:val="22"/>
        </w:rPr>
        <w:t xml:space="preserve">No 910/2014 of the European Parliament and of the </w:t>
      </w:r>
      <w:r w:rsidR="647BCD15" w:rsidRPr="2C017686">
        <w:rPr>
          <w:rFonts w:eastAsia="Calibri" w:cs="Calibri"/>
          <w:noProof/>
          <w:sz w:val="22"/>
          <w:szCs w:val="22"/>
        </w:rPr>
        <w:t xml:space="preserve">Council. </w:t>
      </w:r>
      <w:r w:rsidR="44CD4456" w:rsidRPr="199A1359">
        <w:rPr>
          <w:rFonts w:eastAsia="Calibri" w:cs="Calibri"/>
          <w:noProof/>
          <w:sz w:val="22"/>
          <w:szCs w:val="22"/>
        </w:rPr>
        <w:t>Company law acquis already provides for online formation, registration and filing procedures, relying on the interconnection of business registers and covering cross-borders corporate reorganisation operations (</w:t>
      </w:r>
      <w:r w:rsidR="44CD4456" w:rsidRPr="2931A033">
        <w:rPr>
          <w:rFonts w:eastAsia="Calibri" w:cs="Calibri"/>
          <w:noProof/>
          <w:sz w:val="22"/>
          <w:szCs w:val="22"/>
        </w:rPr>
        <w:t>conversions, mergers, divisions). The proposal for a Regulation on the 28</w:t>
      </w:r>
      <w:r w:rsidR="44CD4456" w:rsidRPr="2931A033">
        <w:rPr>
          <w:rFonts w:eastAsia="Calibri" w:cs="Calibri"/>
          <w:noProof/>
          <w:sz w:val="22"/>
          <w:szCs w:val="22"/>
          <w:vertAlign w:val="superscript"/>
        </w:rPr>
        <w:t>th</w:t>
      </w:r>
      <w:r w:rsidR="44CD4456" w:rsidRPr="2931A033">
        <w:rPr>
          <w:rFonts w:eastAsia="Calibri" w:cs="Calibri"/>
          <w:noProof/>
          <w:sz w:val="22"/>
          <w:szCs w:val="22"/>
        </w:rPr>
        <w:t xml:space="preserve"> regime corporate legal framework ‘EU Inc</w:t>
      </w:r>
      <w:r w:rsidR="63201CAF" w:rsidRPr="2931A033">
        <w:rPr>
          <w:rFonts w:eastAsia="Calibri" w:cs="Calibri"/>
          <w:noProof/>
          <w:sz w:val="22"/>
          <w:szCs w:val="22"/>
        </w:rPr>
        <w:t xml:space="preserve">.’ significantly streamlines cross-border scaling-up through fully digital procedures </w:t>
      </w:r>
      <w:r w:rsidR="00075E2D">
        <w:rPr>
          <w:rFonts w:eastAsia="Calibri" w:cs="Calibri"/>
          <w:noProof/>
          <w:sz w:val="22"/>
          <w:szCs w:val="22"/>
        </w:rPr>
        <w:t>accessible through the Business Wallets</w:t>
      </w:r>
      <w:r w:rsidR="00E375F0">
        <w:rPr>
          <w:rFonts w:eastAsia="Calibri" w:cs="Calibri"/>
          <w:noProof/>
          <w:sz w:val="22"/>
          <w:szCs w:val="22"/>
        </w:rPr>
        <w:t xml:space="preserve">, </w:t>
      </w:r>
      <w:r w:rsidR="63201CAF" w:rsidRPr="2931A033">
        <w:rPr>
          <w:rFonts w:eastAsia="Calibri" w:cs="Calibri"/>
          <w:noProof/>
          <w:sz w:val="22"/>
          <w:szCs w:val="22"/>
        </w:rPr>
        <w:t xml:space="preserve">and the development of an </w:t>
      </w:r>
      <w:r w:rsidR="63201CAF" w:rsidRPr="3E337655">
        <w:rPr>
          <w:rFonts w:eastAsia="Calibri" w:cs="Calibri"/>
          <w:noProof/>
          <w:sz w:val="22"/>
          <w:szCs w:val="22"/>
        </w:rPr>
        <w:t>EU central interface, based on the BRIS infrastructure.</w:t>
      </w:r>
    </w:p>
    <w:p w14:paraId="5DD09767" w14:textId="1CD9D3FA" w:rsidR="0FEB5454" w:rsidRDefault="6046AFF7" w:rsidP="0FEB5454">
      <w:pPr>
        <w:spacing w:before="200" w:line="278" w:lineRule="auto"/>
        <w:rPr>
          <w:rFonts w:eastAsia="Calibri" w:cs="Calibri"/>
          <w:noProof/>
          <w:sz w:val="22"/>
          <w:szCs w:val="22"/>
        </w:rPr>
      </w:pPr>
      <w:r w:rsidRPr="00967EE0">
        <w:rPr>
          <w:rFonts w:eastAsia="Calibri" w:cs="Calibri"/>
          <w:b/>
          <w:noProof/>
          <w:sz w:val="22"/>
          <w:szCs w:val="22"/>
        </w:rPr>
        <w:t>Progress in local digital capabilities is currently foundational but limited, consisting mainly of isolated pilots in cities</w:t>
      </w:r>
      <w:r w:rsidRPr="00967EE0">
        <w:rPr>
          <w:rFonts w:eastAsia="Calibri" w:cs="Calibri"/>
          <w:noProof/>
          <w:sz w:val="22"/>
          <w:szCs w:val="22"/>
        </w:rPr>
        <w:t xml:space="preserve">. Although Member States and local </w:t>
      </w:r>
      <w:r w:rsidR="2FE5C30F" w:rsidRPr="00967EE0">
        <w:rPr>
          <w:rFonts w:eastAsia="Calibri" w:cs="Calibri"/>
          <w:noProof/>
          <w:sz w:val="22"/>
          <w:szCs w:val="22"/>
        </w:rPr>
        <w:t>and regional</w:t>
      </w:r>
      <w:r w:rsidRPr="00967EE0">
        <w:rPr>
          <w:rFonts w:eastAsia="Calibri" w:cs="Calibri"/>
          <w:noProof/>
          <w:sz w:val="22"/>
          <w:szCs w:val="22"/>
        </w:rPr>
        <w:t xml:space="preserve"> authorities are increasingly investing in data-driven governance, these efforts remain largely fragmented and project-based, with limited cross-border coordination. However, the transition from these experiments to large-scale, reusable digital solutions is now being enabled through newly established legal and governance structures, notably the </w:t>
      </w:r>
      <w:r w:rsidRPr="00967EE0">
        <w:rPr>
          <w:rFonts w:eastAsia="Calibri" w:cs="Calibri"/>
          <w:b/>
          <w:noProof/>
          <w:sz w:val="22"/>
          <w:szCs w:val="22"/>
        </w:rPr>
        <w:t>Local Digital Twin (LDT) CitiVERSE EDIC</w:t>
      </w:r>
      <w:r w:rsidRPr="00967EE0">
        <w:rPr>
          <w:rFonts w:eastAsia="Calibri" w:cs="Calibri"/>
          <w:noProof/>
          <w:sz w:val="22"/>
          <w:szCs w:val="22"/>
        </w:rPr>
        <w:t>. Involving 15 Member States, this consortium focuses on scaling up advanced, AI-based urban planning simulations and generative AI</w:t>
      </w:r>
      <w:r w:rsidR="4EBA8F82" w:rsidRPr="00967EE0">
        <w:rPr>
          <w:rFonts w:eastAsia="Calibri" w:cs="Calibri"/>
          <w:noProof/>
          <w:sz w:val="22"/>
          <w:szCs w:val="22"/>
        </w:rPr>
        <w:t>,</w:t>
      </w:r>
      <w:r w:rsidRPr="00967EE0">
        <w:rPr>
          <w:rFonts w:eastAsia="Calibri" w:cs="Calibri"/>
          <w:noProof/>
          <w:sz w:val="22"/>
          <w:szCs w:val="22"/>
        </w:rPr>
        <w:t xml:space="preserve"> </w:t>
      </w:r>
      <w:r w:rsidR="3A7CAE41" w:rsidRPr="00967EE0">
        <w:rPr>
          <w:rFonts w:eastAsia="Calibri" w:cs="Calibri"/>
          <w:noProof/>
          <w:sz w:val="22"/>
          <w:szCs w:val="22"/>
        </w:rPr>
        <w:t>VR/XR</w:t>
      </w:r>
      <w:r w:rsidRPr="00967EE0">
        <w:rPr>
          <w:rFonts w:eastAsia="Calibri" w:cs="Calibri"/>
          <w:noProof/>
          <w:sz w:val="22"/>
          <w:szCs w:val="22"/>
        </w:rPr>
        <w:t xml:space="preserve"> applications to improve citizen interaction, establishing a common infrastructure that directly supports the cross-border reuse of proven digital public services across European cities.</w:t>
      </w:r>
    </w:p>
    <w:p w14:paraId="5F9BB8BB" w14:textId="2E04627F" w:rsidR="3AE6DD09" w:rsidRPr="00417E18" w:rsidRDefault="680269A3" w:rsidP="50A16846">
      <w:pPr>
        <w:spacing w:before="200" w:line="278" w:lineRule="auto"/>
        <w:rPr>
          <w:noProof/>
          <w:sz w:val="22"/>
          <w:szCs w:val="22"/>
        </w:rPr>
      </w:pPr>
      <w:r w:rsidRPr="2BCEF42A">
        <w:rPr>
          <w:b/>
          <w:bCs/>
          <w:noProof/>
          <w:sz w:val="22"/>
          <w:szCs w:val="22"/>
        </w:rPr>
        <w:t xml:space="preserve">Other </w:t>
      </w:r>
      <w:r w:rsidR="5B560172" w:rsidRPr="00417E18">
        <w:rPr>
          <w:b/>
          <w:noProof/>
          <w:sz w:val="22"/>
          <w:szCs w:val="22"/>
        </w:rPr>
        <w:t xml:space="preserve">EU-level instruments, including the Interoperable Europe Act, the Single Digital Gateway Regulation and the European Digital Identity framework, provide </w:t>
      </w:r>
      <w:r w:rsidR="3B2827FE" w:rsidRPr="3E337655">
        <w:rPr>
          <w:b/>
          <w:bCs/>
          <w:noProof/>
          <w:sz w:val="22"/>
          <w:szCs w:val="22"/>
        </w:rPr>
        <w:t>additional</w:t>
      </w:r>
      <w:r w:rsidR="5B560172" w:rsidRPr="00417E18">
        <w:rPr>
          <w:b/>
          <w:noProof/>
          <w:sz w:val="22"/>
          <w:szCs w:val="22"/>
        </w:rPr>
        <w:t xml:space="preserve"> foundation for cross-border data exchange and authentication</w:t>
      </w:r>
      <w:r w:rsidR="5B560172" w:rsidRPr="00417E18">
        <w:rPr>
          <w:noProof/>
          <w:sz w:val="22"/>
          <w:szCs w:val="22"/>
        </w:rPr>
        <w:t>. Their effectiveness, however, depends on sustained and coordinated implementation by Member States.</w:t>
      </w:r>
    </w:p>
    <w:p w14:paraId="566AADC3" w14:textId="49F5DF56" w:rsidR="3AE6DD09" w:rsidRPr="00417E18" w:rsidRDefault="5B560172" w:rsidP="50A16846">
      <w:pPr>
        <w:spacing w:before="200" w:line="278" w:lineRule="auto"/>
        <w:rPr>
          <w:noProof/>
          <w:sz w:val="22"/>
          <w:szCs w:val="22"/>
        </w:rPr>
      </w:pPr>
      <w:r w:rsidRPr="00417E18">
        <w:rPr>
          <w:b/>
          <w:noProof/>
          <w:sz w:val="22"/>
          <w:szCs w:val="22"/>
        </w:rPr>
        <w:t>Progress is also visible in enabling functionalities and user experience</w:t>
      </w:r>
      <w:r w:rsidRPr="00417E18">
        <w:rPr>
          <w:noProof/>
          <w:sz w:val="22"/>
          <w:szCs w:val="22"/>
        </w:rPr>
        <w:t>, notably through the increased use of pre-filled forms to reduce administrative burden and the continued high performance of user support and mobile-friendly services.</w:t>
      </w:r>
    </w:p>
    <w:p w14:paraId="38963DCE" w14:textId="7663CCBE" w:rsidR="3AE6DD09" w:rsidRPr="00417E18" w:rsidRDefault="00D620A2" w:rsidP="3A5F48C0">
      <w:pPr>
        <w:spacing w:before="200" w:line="278" w:lineRule="auto"/>
        <w:rPr>
          <w:noProof/>
          <w:sz w:val="22"/>
          <w:szCs w:val="22"/>
        </w:rPr>
      </w:pPr>
      <w:r>
        <w:rPr>
          <w:b/>
          <w:bCs/>
          <w:noProof/>
          <w:sz w:val="22"/>
          <w:szCs w:val="22"/>
        </w:rPr>
        <w:t>C</w:t>
      </w:r>
      <w:r w:rsidR="5B0FB470" w:rsidRPr="00417E18">
        <w:rPr>
          <w:b/>
          <w:bCs/>
          <w:noProof/>
          <w:sz w:val="22"/>
          <w:szCs w:val="22"/>
        </w:rPr>
        <w:t>ommon challenges persist in security, sovereignty and the uptake of advanced technologies.</w:t>
      </w:r>
      <w:r w:rsidR="5B0FB470" w:rsidRPr="00417E18">
        <w:rPr>
          <w:noProof/>
          <w:sz w:val="22"/>
          <w:szCs w:val="22"/>
        </w:rPr>
        <w:t xml:space="preserve"> While improvements have been recorded, uneven compliance with security controls and secure Internet standards across public sector websites indicates the need for further efforts to strengthen trust and readiness to face an evolving threat landscape. In parallel, reliance on non-EU network operators for the hosting and network-level delivery of government </w:t>
      </w:r>
      <w:r w:rsidR="00D969E7">
        <w:rPr>
          <w:noProof/>
          <w:sz w:val="22"/>
          <w:szCs w:val="22"/>
        </w:rPr>
        <w:t xml:space="preserve">websites </w:t>
      </w:r>
      <w:r w:rsidR="5B0FB470" w:rsidRPr="00417E18">
        <w:rPr>
          <w:noProof/>
          <w:sz w:val="22"/>
          <w:szCs w:val="22"/>
        </w:rPr>
        <w:t xml:space="preserve">and email services raises shared concerns regarding digital sovereignty and long-term resilience. </w:t>
      </w:r>
      <w:r w:rsidR="09B95371" w:rsidRPr="00417E18">
        <w:rPr>
          <w:rFonts w:eastAsia="Calibri" w:cs="Calibri"/>
          <w:noProof/>
          <w:sz w:val="22"/>
          <w:szCs w:val="22"/>
        </w:rPr>
        <w:t xml:space="preserve">This underlines the need for a more strategic approach to the development and deployment of sovereign digital solutions within the public sector, including through choices made in service design, infrastructure and procurement. </w:t>
      </w:r>
    </w:p>
    <w:p w14:paraId="0C8CED8B" w14:textId="7D2B33FB" w:rsidR="3AE6DD09" w:rsidRPr="00417E18" w:rsidRDefault="2327E841" w:rsidP="50A16846">
      <w:pPr>
        <w:spacing w:before="200" w:line="278" w:lineRule="auto"/>
        <w:rPr>
          <w:noProof/>
          <w:sz w:val="22"/>
          <w:szCs w:val="22"/>
        </w:rPr>
      </w:pPr>
      <w:r w:rsidRPr="00417E18">
        <w:rPr>
          <w:noProof/>
          <w:sz w:val="22"/>
          <w:szCs w:val="22"/>
        </w:rPr>
        <w:t>Finally, while Member States are exploring artificial intelligence in public service delivery</w:t>
      </w:r>
      <w:r w:rsidR="002B1CBE">
        <w:rPr>
          <w:noProof/>
          <w:sz w:val="22"/>
          <w:szCs w:val="22"/>
        </w:rPr>
        <w:t>, including</w:t>
      </w:r>
      <w:r w:rsidRPr="00417E18">
        <w:rPr>
          <w:noProof/>
          <w:sz w:val="22"/>
          <w:szCs w:val="22"/>
        </w:rPr>
        <w:t xml:space="preserve"> through chatbots for user support, its deployment remains at an early stage, limiting its impact on efficiency and user experience.</w:t>
      </w:r>
    </w:p>
    <w:p w14:paraId="1BF029DC" w14:textId="4CC45EFD" w:rsidR="3AE6DD09" w:rsidRPr="00417E18" w:rsidRDefault="2327E841" w:rsidP="3A5F48C0">
      <w:pPr>
        <w:spacing w:before="200" w:line="278" w:lineRule="auto"/>
        <w:rPr>
          <w:noProof/>
          <w:sz w:val="22"/>
          <w:szCs w:val="22"/>
        </w:rPr>
      </w:pPr>
      <w:r w:rsidRPr="00417E18">
        <w:rPr>
          <w:noProof/>
          <w:sz w:val="22"/>
          <w:szCs w:val="22"/>
        </w:rPr>
        <w:t>Overall, Member States have made steady progress, but achieving fully interoperable, secure and sovereign cross-border digital public services by 2030 will require sustained and coordinated collective action across the Union.</w:t>
      </w:r>
    </w:p>
    <w:tbl>
      <w:tblPr>
        <w:tblStyle w:val="TableGrid"/>
        <w:tblW w:w="0" w:type="auto"/>
        <w:tblLook w:val="06A0" w:firstRow="1" w:lastRow="0" w:firstColumn="1" w:lastColumn="0" w:noHBand="1" w:noVBand="1"/>
      </w:tblPr>
      <w:tblGrid>
        <w:gridCol w:w="9350"/>
      </w:tblGrid>
      <w:tr w:rsidR="4691FDB2" w:rsidRPr="00417E18" w14:paraId="31766274" w14:textId="77777777" w:rsidTr="698D0C64">
        <w:trPr>
          <w:trHeight w:val="300"/>
        </w:trPr>
        <w:tc>
          <w:tcPr>
            <w:tcW w:w="9360" w:type="dxa"/>
            <w:shd w:val="clear" w:color="auto" w:fill="D4F1EE"/>
          </w:tcPr>
          <w:p w14:paraId="6117ECE0" w14:textId="1D7C460F" w:rsidR="5CE6E5D7" w:rsidRPr="00417E18" w:rsidRDefault="3D84CB5C" w:rsidP="50A16846">
            <w:pPr>
              <w:rPr>
                <w:rFonts w:eastAsia="Calibri" w:cs="Calibri"/>
                <w:b/>
                <w:noProof/>
              </w:rPr>
            </w:pPr>
            <w:r w:rsidRPr="00417E18">
              <w:rPr>
                <w:rFonts w:eastAsia="Calibri" w:cs="Calibri"/>
                <w:b/>
                <w:noProof/>
              </w:rPr>
              <w:t xml:space="preserve">Recommendation: </w:t>
            </w:r>
          </w:p>
          <w:p w14:paraId="5714F880" w14:textId="54A77488" w:rsidR="5CE6E5D7" w:rsidRPr="00417E18" w:rsidRDefault="442466FB" w:rsidP="04A95214">
            <w:pPr>
              <w:spacing w:line="278" w:lineRule="auto"/>
              <w:rPr>
                <w:rFonts w:eastAsia="Calibri" w:cs="Calibri"/>
                <w:noProof/>
              </w:rPr>
            </w:pPr>
            <w:r w:rsidRPr="00417E18">
              <w:rPr>
                <w:rFonts w:eastAsia="Calibri" w:cs="Calibri"/>
                <w:noProof/>
              </w:rPr>
              <w:t xml:space="preserve">Member States should step up coordinated investments and regulatory </w:t>
            </w:r>
            <w:r w:rsidR="5B87342B" w:rsidRPr="00417E18">
              <w:rPr>
                <w:rFonts w:eastAsia="Calibri" w:cs="Calibri"/>
                <w:noProof/>
              </w:rPr>
              <w:t>measures to develop and deploy</w:t>
            </w:r>
            <w:r w:rsidR="2F29DB91" w:rsidRPr="00417E18">
              <w:rPr>
                <w:rFonts w:eastAsia="Calibri" w:cs="Calibri"/>
                <w:noProof/>
              </w:rPr>
              <w:t xml:space="preserve"> secure, sovereign and interoperable digital solutions for online public and government services, including</w:t>
            </w:r>
            <w:r w:rsidR="5B87342B" w:rsidRPr="00417E18">
              <w:rPr>
                <w:rFonts w:eastAsia="Calibri" w:cs="Calibri"/>
                <w:noProof/>
              </w:rPr>
              <w:t>:</w:t>
            </w:r>
          </w:p>
          <w:p w14:paraId="23FE389D" w14:textId="016C327B" w:rsidR="5CE6E5D7" w:rsidRPr="00417E18" w:rsidRDefault="5B87342B" w:rsidP="00F36E2D">
            <w:pPr>
              <w:pStyle w:val="ListParagraph"/>
              <w:numPr>
                <w:ilvl w:val="0"/>
                <w:numId w:val="22"/>
              </w:numPr>
              <w:spacing w:before="0" w:after="0" w:line="278" w:lineRule="auto"/>
              <w:rPr>
                <w:rFonts w:eastAsia="Calibri" w:cs="Calibri"/>
                <w:noProof/>
              </w:rPr>
            </w:pPr>
            <w:r w:rsidRPr="00417E18">
              <w:rPr>
                <w:rFonts w:eastAsia="Calibri" w:cs="Calibri"/>
                <w:noProof/>
              </w:rPr>
              <w:t>accelerating the connection of competent authorities to the Once-Only Technical System (OOTS) and the full implementation of the Single Digital Gateway Regulation;</w:t>
            </w:r>
          </w:p>
          <w:p w14:paraId="48C0FDF6" w14:textId="1EB7FADD" w:rsidR="002B1CBE" w:rsidRPr="00417E18" w:rsidRDefault="5B87342B" w:rsidP="00F36E2D">
            <w:pPr>
              <w:pStyle w:val="ListParagraph"/>
              <w:numPr>
                <w:ilvl w:val="0"/>
                <w:numId w:val="22"/>
              </w:numPr>
              <w:spacing w:before="0" w:after="0" w:line="278" w:lineRule="auto"/>
              <w:rPr>
                <w:rFonts w:eastAsia="Calibri" w:cs="Calibri"/>
                <w:noProof/>
              </w:rPr>
            </w:pPr>
            <w:r w:rsidRPr="00417E18">
              <w:rPr>
                <w:rFonts w:eastAsia="Calibri" w:cs="Calibri"/>
                <w:noProof/>
              </w:rPr>
              <w:t>making more systematic use of public procurement to support the development and uptake of secure and sovereign digital solutions across the Union;</w:t>
            </w:r>
          </w:p>
          <w:p w14:paraId="5633DC4E" w14:textId="5B064B2A" w:rsidR="5CE6E5D7" w:rsidRPr="00417E18" w:rsidRDefault="5B87342B" w:rsidP="00F36E2D">
            <w:pPr>
              <w:pStyle w:val="ListParagraph"/>
              <w:numPr>
                <w:ilvl w:val="0"/>
                <w:numId w:val="22"/>
              </w:numPr>
              <w:spacing w:before="0" w:after="0" w:line="278" w:lineRule="auto"/>
              <w:rPr>
                <w:rFonts w:eastAsia="Calibri" w:cs="Calibri"/>
                <w:noProof/>
              </w:rPr>
            </w:pPr>
            <w:r w:rsidRPr="00417E18">
              <w:rPr>
                <w:rFonts w:eastAsia="Calibri" w:cs="Calibri"/>
                <w:noProof/>
              </w:rPr>
              <w:t>strengthening the cross-border dimension of public services through the Interoperable Europe Act framework and engagement with the IMPACTS-EDIC</w:t>
            </w:r>
            <w:r w:rsidR="2F29DB91" w:rsidRPr="00417E18">
              <w:rPr>
                <w:rFonts w:eastAsia="Calibri" w:cs="Calibri"/>
                <w:noProof/>
              </w:rPr>
              <w:t>.</w:t>
            </w:r>
          </w:p>
          <w:p w14:paraId="4E73CEEC" w14:textId="3DE9D3D4" w:rsidR="5CE6E5D7" w:rsidRPr="00417E18" w:rsidRDefault="1DEF3A33" w:rsidP="00F36E2D">
            <w:pPr>
              <w:pStyle w:val="ListParagraph"/>
              <w:numPr>
                <w:ilvl w:val="0"/>
                <w:numId w:val="22"/>
              </w:numPr>
              <w:spacing w:before="0" w:after="0" w:line="278" w:lineRule="auto"/>
              <w:rPr>
                <w:rFonts w:eastAsia="Calibri" w:cs="Calibri"/>
                <w:noProof/>
              </w:rPr>
            </w:pPr>
            <w:r w:rsidRPr="00967EE0">
              <w:rPr>
                <w:rFonts w:eastAsia="Calibri" w:cs="Calibri"/>
                <w:noProof/>
              </w:rPr>
              <w:t>engaging with multi-country initiatives, as the LDT CitiVERSE EDIC, to enable their cities and regions to deploy AI-driven urban solutions and leverage reusable cross-border services.</w:t>
            </w:r>
          </w:p>
        </w:tc>
      </w:tr>
    </w:tbl>
    <w:p w14:paraId="75E6367D" w14:textId="5AE9AE2A" w:rsidR="003A53C2" w:rsidRPr="00417E18" w:rsidRDefault="72AFFC84" w:rsidP="00E11929">
      <w:pPr>
        <w:pStyle w:val="Heading3"/>
        <w:numPr>
          <w:ilvl w:val="2"/>
          <w:numId w:val="40"/>
        </w:numPr>
        <w:rPr>
          <w:noProof/>
        </w:rPr>
      </w:pPr>
      <w:bookmarkStart w:id="112" w:name="_Toc226710915"/>
      <w:bookmarkStart w:id="113" w:name="_Toc191016145"/>
      <w:bookmarkStart w:id="114" w:name="_Toc473538101"/>
      <w:bookmarkStart w:id="115" w:name="_Toc231830070"/>
      <w:r w:rsidRPr="00417E18">
        <w:rPr>
          <w:noProof/>
        </w:rPr>
        <w:t>e</w:t>
      </w:r>
      <w:r w:rsidR="00D3095A">
        <w:rPr>
          <w:noProof/>
        </w:rPr>
        <w:t>-</w:t>
      </w:r>
      <w:r w:rsidRPr="00417E18">
        <w:rPr>
          <w:noProof/>
        </w:rPr>
        <w:t>Health</w:t>
      </w:r>
      <w:bookmarkEnd w:id="112"/>
      <w:bookmarkEnd w:id="113"/>
      <w:bookmarkEnd w:id="114"/>
      <w:bookmarkEnd w:id="115"/>
      <w:r w:rsidRPr="00417E18">
        <w:rPr>
          <w:noProof/>
        </w:rPr>
        <w:t xml:space="preserve"> </w:t>
      </w:r>
    </w:p>
    <w:p w14:paraId="1B7AD61E" w14:textId="644087E5" w:rsidR="08079347" w:rsidRPr="00417E18" w:rsidRDefault="0893D76E" w:rsidP="50A16846">
      <w:pPr>
        <w:spacing w:before="0" w:after="120" w:line="259" w:lineRule="auto"/>
        <w:rPr>
          <w:rFonts w:eastAsia="Calibri" w:cs="Calibri"/>
          <w:noProof/>
          <w:color w:val="000000" w:themeColor="text1"/>
          <w:sz w:val="22"/>
          <w:szCs w:val="22"/>
        </w:rPr>
      </w:pPr>
      <w:r w:rsidRPr="00417E18">
        <w:rPr>
          <w:rFonts w:eastAsia="Calibri" w:cs="Calibri"/>
          <w:noProof/>
          <w:color w:val="000000" w:themeColor="text1"/>
          <w:sz w:val="22"/>
          <w:szCs w:val="22"/>
        </w:rPr>
        <w:t xml:space="preserve">The conceptual framework of the e-Health indicator is focused on the availability of electronic health data for European citizens and does not measure actual usage of online health data access services. The framework consists of four thematic dimensions, each including indicators that measure key aspects of the availability of online access to electronic health record data. </w:t>
      </w:r>
      <w:r w:rsidR="00893F77">
        <w:rPr>
          <w:rFonts w:eastAsia="Calibri" w:cs="Calibri"/>
          <w:noProof/>
          <w:color w:val="000000" w:themeColor="text1"/>
          <w:sz w:val="22"/>
          <w:szCs w:val="22"/>
        </w:rPr>
        <w:t xml:space="preserve">In total, </w:t>
      </w:r>
      <w:r w:rsidR="00893F77" w:rsidRPr="2D73FA45">
        <w:rPr>
          <w:rFonts w:eastAsia="Calibri" w:cs="Calibri"/>
          <w:noProof/>
          <w:color w:val="000000" w:themeColor="text1"/>
          <w:sz w:val="22"/>
          <w:szCs w:val="22"/>
        </w:rPr>
        <w:t>t</w:t>
      </w:r>
      <w:r w:rsidRPr="2D73FA45">
        <w:rPr>
          <w:rFonts w:eastAsia="Calibri" w:cs="Calibri"/>
          <w:noProof/>
          <w:color w:val="000000" w:themeColor="text1"/>
          <w:sz w:val="22"/>
          <w:szCs w:val="22"/>
        </w:rPr>
        <w:t>here</w:t>
      </w:r>
      <w:r w:rsidRPr="00417E18">
        <w:rPr>
          <w:rFonts w:eastAsia="Calibri" w:cs="Calibri"/>
          <w:noProof/>
          <w:color w:val="000000" w:themeColor="text1"/>
          <w:sz w:val="22"/>
          <w:szCs w:val="22"/>
        </w:rPr>
        <w:t xml:space="preserve"> are 12 </w:t>
      </w:r>
      <w:r w:rsidR="3AFEA66B" w:rsidRPr="2D73FA45">
        <w:rPr>
          <w:rFonts w:eastAsia="Calibri" w:cs="Calibri"/>
          <w:noProof/>
          <w:color w:val="000000" w:themeColor="text1"/>
          <w:sz w:val="22"/>
          <w:szCs w:val="22"/>
        </w:rPr>
        <w:t>sub-</w:t>
      </w:r>
      <w:r w:rsidRPr="00417E18">
        <w:rPr>
          <w:rFonts w:eastAsia="Calibri" w:cs="Calibri"/>
          <w:noProof/>
          <w:color w:val="000000" w:themeColor="text1"/>
          <w:sz w:val="22"/>
          <w:szCs w:val="22"/>
        </w:rPr>
        <w:t>indicators in total at country level that describe:</w:t>
      </w:r>
    </w:p>
    <w:p w14:paraId="4251111C" w14:textId="4909B7FD" w:rsidR="08079347" w:rsidRPr="00417E18" w:rsidRDefault="0893D76E" w:rsidP="50A16846">
      <w:pPr>
        <w:spacing w:before="0" w:after="160" w:line="259" w:lineRule="auto"/>
        <w:ind w:firstLine="720"/>
        <w:rPr>
          <w:rFonts w:eastAsia="Calibri" w:cs="Calibri"/>
          <w:noProof/>
          <w:color w:val="000000" w:themeColor="text1"/>
          <w:sz w:val="22"/>
          <w:szCs w:val="22"/>
        </w:rPr>
      </w:pPr>
      <w:r w:rsidRPr="00417E18">
        <w:rPr>
          <w:rFonts w:eastAsia="Calibri" w:cs="Calibri"/>
          <w:noProof/>
          <w:color w:val="000000" w:themeColor="text1"/>
          <w:sz w:val="22"/>
          <w:szCs w:val="22"/>
        </w:rPr>
        <w:t>1. the nationwide availability of online access to electronic health data;</w:t>
      </w:r>
    </w:p>
    <w:p w14:paraId="78005EDA" w14:textId="55D2444A" w:rsidR="08079347" w:rsidRPr="00417E18" w:rsidRDefault="0893D76E" w:rsidP="50A16846">
      <w:pPr>
        <w:spacing w:before="0" w:after="160" w:line="259" w:lineRule="auto"/>
        <w:ind w:firstLine="720"/>
        <w:rPr>
          <w:rFonts w:eastAsia="Calibri" w:cs="Calibri"/>
          <w:noProof/>
          <w:color w:val="000000" w:themeColor="text1"/>
          <w:sz w:val="22"/>
          <w:szCs w:val="22"/>
        </w:rPr>
      </w:pPr>
      <w:r w:rsidRPr="00417E18">
        <w:rPr>
          <w:rFonts w:eastAsia="Calibri" w:cs="Calibri"/>
          <w:noProof/>
          <w:color w:val="000000" w:themeColor="text1"/>
          <w:sz w:val="22"/>
          <w:szCs w:val="22"/>
        </w:rPr>
        <w:t>2. the categories of accessible health data;</w:t>
      </w:r>
    </w:p>
    <w:p w14:paraId="4AB359C5" w14:textId="444CA254" w:rsidR="08079347" w:rsidRPr="00417E18" w:rsidRDefault="0893D76E" w:rsidP="50A16846">
      <w:pPr>
        <w:spacing w:before="0" w:after="160" w:line="259" w:lineRule="auto"/>
        <w:ind w:left="993" w:hanging="284"/>
        <w:rPr>
          <w:rFonts w:eastAsia="Calibri" w:cs="Calibri"/>
          <w:noProof/>
          <w:color w:val="000000" w:themeColor="text1"/>
          <w:sz w:val="22"/>
          <w:szCs w:val="22"/>
        </w:rPr>
      </w:pPr>
      <w:r w:rsidRPr="00417E18">
        <w:rPr>
          <w:rFonts w:eastAsia="Calibri" w:cs="Calibri"/>
          <w:noProof/>
          <w:color w:val="000000" w:themeColor="text1"/>
          <w:sz w:val="22"/>
          <w:szCs w:val="22"/>
        </w:rPr>
        <w:t xml:space="preserve">3. the availability of authentication schemes, type of front-end solutions and </w:t>
      </w:r>
      <w:r w:rsidR="00893F77">
        <w:rPr>
          <w:rFonts w:eastAsia="Calibri" w:cs="Calibri"/>
          <w:noProof/>
          <w:color w:val="000000" w:themeColor="text1"/>
          <w:sz w:val="22"/>
          <w:szCs w:val="22"/>
        </w:rPr>
        <w:t xml:space="preserve">their </w:t>
      </w:r>
      <w:r w:rsidRPr="00417E18">
        <w:rPr>
          <w:rFonts w:eastAsia="Calibri" w:cs="Calibri"/>
          <w:noProof/>
          <w:color w:val="000000" w:themeColor="text1"/>
          <w:sz w:val="22"/>
          <w:szCs w:val="22"/>
        </w:rPr>
        <w:t>coverage;</w:t>
      </w:r>
    </w:p>
    <w:p w14:paraId="362A1145" w14:textId="77A60127" w:rsidR="08079347" w:rsidRPr="00417E18" w:rsidRDefault="0893D76E" w:rsidP="50A16846">
      <w:pPr>
        <w:spacing w:before="0" w:after="160" w:line="259" w:lineRule="auto"/>
        <w:ind w:firstLine="720"/>
        <w:rPr>
          <w:rFonts w:eastAsia="Calibri" w:cs="Calibri"/>
          <w:noProof/>
          <w:color w:val="000000" w:themeColor="text1"/>
          <w:sz w:val="22"/>
          <w:szCs w:val="22"/>
        </w:rPr>
      </w:pPr>
      <w:r w:rsidRPr="00417E18">
        <w:rPr>
          <w:rFonts w:eastAsia="Calibri" w:cs="Calibri"/>
          <w:noProof/>
          <w:color w:val="000000" w:themeColor="text1"/>
          <w:sz w:val="22"/>
          <w:szCs w:val="22"/>
        </w:rPr>
        <w:t xml:space="preserve">4. accessibility for certain categories of people, </w:t>
      </w:r>
      <w:r w:rsidR="00893F77">
        <w:rPr>
          <w:rFonts w:eastAsia="Calibri" w:cs="Calibri"/>
          <w:noProof/>
          <w:color w:val="000000" w:themeColor="text1"/>
          <w:sz w:val="22"/>
          <w:szCs w:val="22"/>
        </w:rPr>
        <w:t>including</w:t>
      </w:r>
      <w:r w:rsidRPr="00417E18">
        <w:rPr>
          <w:rFonts w:eastAsia="Calibri" w:cs="Calibri"/>
          <w:noProof/>
          <w:color w:val="000000" w:themeColor="text1"/>
          <w:sz w:val="22"/>
          <w:szCs w:val="22"/>
        </w:rPr>
        <w:t xml:space="preserve"> vulnerable groups. </w:t>
      </w:r>
    </w:p>
    <w:p w14:paraId="4CEA6FC6" w14:textId="7709700F" w:rsidR="08079347" w:rsidRPr="00417E18" w:rsidRDefault="0893D76E" w:rsidP="50A16846">
      <w:pPr>
        <w:spacing w:before="0" w:after="160" w:line="259" w:lineRule="auto"/>
        <w:rPr>
          <w:rFonts w:eastAsia="Calibri" w:cs="Calibri"/>
          <w:noProof/>
          <w:color w:val="000000" w:themeColor="text1"/>
          <w:sz w:val="22"/>
          <w:szCs w:val="22"/>
        </w:rPr>
      </w:pPr>
      <w:r w:rsidRPr="2D73FA45">
        <w:rPr>
          <w:rFonts w:eastAsia="Calibri" w:cs="Calibri"/>
          <w:noProof/>
          <w:color w:val="000000" w:themeColor="text1"/>
          <w:sz w:val="22"/>
          <w:szCs w:val="22"/>
        </w:rPr>
        <w:t>The</w:t>
      </w:r>
      <w:r w:rsidR="4BFECB58" w:rsidRPr="2D73FA45">
        <w:rPr>
          <w:rFonts w:eastAsia="Calibri" w:cs="Calibri"/>
          <w:noProof/>
          <w:color w:val="000000" w:themeColor="text1"/>
          <w:sz w:val="22"/>
          <w:szCs w:val="22"/>
        </w:rPr>
        <w:t xml:space="preserve"> composite</w:t>
      </w:r>
      <w:r w:rsidRPr="00417E18">
        <w:rPr>
          <w:rFonts w:eastAsia="Calibri" w:cs="Calibri"/>
          <w:noProof/>
          <w:color w:val="000000" w:themeColor="text1"/>
          <w:sz w:val="22"/>
          <w:szCs w:val="22"/>
        </w:rPr>
        <w:t xml:space="preserve"> e-Health indicator is an aggregate measure of the scores of each thematic dimension</w:t>
      </w:r>
      <w:r w:rsidR="3271B7CE" w:rsidRPr="2D73FA45">
        <w:rPr>
          <w:rFonts w:eastAsia="Calibri" w:cs="Calibri"/>
          <w:noProof/>
          <w:color w:val="000000" w:themeColor="text1"/>
          <w:sz w:val="22"/>
          <w:szCs w:val="22"/>
        </w:rPr>
        <w:t xml:space="preserve"> calculated as an average of the 12 sub-indicators</w:t>
      </w:r>
      <w:r w:rsidRPr="00417E18">
        <w:rPr>
          <w:rFonts w:eastAsia="Calibri" w:cs="Calibri"/>
          <w:noProof/>
          <w:color w:val="000000" w:themeColor="text1"/>
          <w:sz w:val="22"/>
          <w:szCs w:val="22"/>
        </w:rPr>
        <w:t>.</w:t>
      </w:r>
    </w:p>
    <w:p w14:paraId="156E1DE2" w14:textId="7527F961" w:rsidR="00D04203" w:rsidRDefault="0893D76E" w:rsidP="7A63C867">
      <w:pPr>
        <w:spacing w:before="0" w:after="160" w:line="259" w:lineRule="auto"/>
        <w:rPr>
          <w:rFonts w:eastAsia="Calibri" w:cs="Calibri"/>
          <w:bCs/>
          <w:noProof/>
          <w:color w:val="000000" w:themeColor="text1"/>
          <w:sz w:val="22"/>
          <w:szCs w:val="22"/>
          <w:lang w:eastAsia="en-GB"/>
        </w:rPr>
      </w:pPr>
      <w:r w:rsidRPr="00417E18">
        <w:rPr>
          <w:rFonts w:eastAsia="Calibri" w:cs="Calibri"/>
          <w:noProof/>
          <w:color w:val="000000" w:themeColor="text1"/>
          <w:sz w:val="22"/>
          <w:szCs w:val="22"/>
        </w:rPr>
        <w:t>The baseline trajectory is estimated on the basis of the three available data points, from 2022 to 2025. The observed points are well above the ideal path connecting the e</w:t>
      </w:r>
      <w:r w:rsidR="0044191F">
        <w:rPr>
          <w:rFonts w:eastAsia="Calibri" w:cs="Calibri"/>
          <w:noProof/>
          <w:color w:val="000000" w:themeColor="text1"/>
          <w:sz w:val="22"/>
          <w:szCs w:val="22"/>
        </w:rPr>
        <w:t>-</w:t>
      </w:r>
      <w:r w:rsidRPr="00417E18">
        <w:rPr>
          <w:rFonts w:eastAsia="Calibri" w:cs="Calibri"/>
          <w:noProof/>
          <w:color w:val="000000" w:themeColor="text1"/>
          <w:sz w:val="22"/>
          <w:szCs w:val="22"/>
        </w:rPr>
        <w:t>Health indicator value at the start of the programme with its EU target value (100/100) (</w:t>
      </w:r>
      <w:r w:rsidR="007B6296" w:rsidRPr="007B6296">
        <w:rPr>
          <w:rFonts w:eastAsia="Calibri" w:cs="Calibri"/>
          <w:noProof/>
          <w:color w:val="000000" w:themeColor="text1"/>
          <w:sz w:val="22"/>
          <w:szCs w:val="22"/>
        </w:rPr>
        <w:fldChar w:fldCharType="begin"/>
      </w:r>
      <w:r w:rsidR="007B6296" w:rsidRPr="007B6296">
        <w:rPr>
          <w:rFonts w:eastAsia="Calibri" w:cs="Calibri"/>
          <w:noProof/>
          <w:color w:val="000000" w:themeColor="text1"/>
          <w:sz w:val="22"/>
          <w:szCs w:val="22"/>
        </w:rPr>
        <w:instrText xml:space="preserve"> REF _Ref229040316 \h </w:instrText>
      </w:r>
      <w:r w:rsidR="007B6296">
        <w:rPr>
          <w:rFonts w:eastAsia="Calibri" w:cs="Calibri"/>
          <w:noProof/>
          <w:color w:val="000000" w:themeColor="text1"/>
          <w:sz w:val="22"/>
          <w:szCs w:val="22"/>
        </w:rPr>
        <w:instrText xml:space="preserve"> \* MERGEFORMAT </w:instrText>
      </w:r>
      <w:r w:rsidR="007B6296" w:rsidRPr="007B6296">
        <w:rPr>
          <w:rFonts w:eastAsia="Calibri" w:cs="Calibri"/>
          <w:noProof/>
          <w:color w:val="000000" w:themeColor="text1"/>
          <w:sz w:val="22"/>
          <w:szCs w:val="22"/>
        </w:rPr>
      </w:r>
      <w:r w:rsidR="007B6296" w:rsidRPr="007B6296">
        <w:rPr>
          <w:rFonts w:eastAsia="Calibri" w:cs="Calibri"/>
          <w:noProof/>
          <w:color w:val="000000" w:themeColor="text1"/>
          <w:sz w:val="22"/>
          <w:szCs w:val="22"/>
        </w:rPr>
        <w:fldChar w:fldCharType="separate"/>
      </w:r>
      <w:r w:rsidR="007B6296" w:rsidRPr="007B6296">
        <w:rPr>
          <w:noProof/>
          <w:sz w:val="22"/>
          <w:szCs w:val="22"/>
          <w:u w:val="single"/>
        </w:rPr>
        <w:t>Figure 20</w:t>
      </w:r>
      <w:r w:rsidR="007B6296" w:rsidRPr="007B6296">
        <w:rPr>
          <w:rFonts w:eastAsia="Calibri" w:cs="Calibri"/>
          <w:noProof/>
          <w:color w:val="000000" w:themeColor="text1"/>
          <w:sz w:val="22"/>
          <w:szCs w:val="22"/>
        </w:rPr>
        <w:fldChar w:fldCharType="end"/>
      </w:r>
      <w:r w:rsidRPr="007B6296">
        <w:rPr>
          <w:rFonts w:eastAsia="Calibri" w:cs="Calibri"/>
          <w:noProof/>
          <w:color w:val="000000" w:themeColor="text1"/>
          <w:sz w:val="22"/>
          <w:szCs w:val="22"/>
        </w:rPr>
        <w:t>).</w:t>
      </w:r>
      <w:r w:rsidRPr="00417E18">
        <w:rPr>
          <w:rFonts w:eastAsia="Calibri" w:cs="Calibri"/>
          <w:noProof/>
          <w:color w:val="000000" w:themeColor="text1"/>
          <w:sz w:val="22"/>
          <w:szCs w:val="22"/>
        </w:rPr>
        <w:t xml:space="preserve"> </w:t>
      </w:r>
      <w:r w:rsidR="00460263" w:rsidRPr="00460263">
        <w:rPr>
          <w:rFonts w:eastAsia="Calibri" w:cs="Calibri"/>
          <w:b/>
          <w:bCs/>
          <w:noProof/>
          <w:color w:val="000000" w:themeColor="text1"/>
          <w:sz w:val="22"/>
          <w:szCs w:val="22"/>
          <w:lang w:eastAsia="en-GB"/>
        </w:rPr>
        <w:t>The access to eHealth indicator rose by 3.8 points</w:t>
      </w:r>
      <w:r w:rsidR="00460263" w:rsidRPr="00460263">
        <w:rPr>
          <w:rFonts w:eastAsia="Calibri" w:cs="Calibri"/>
          <w:b/>
          <w:noProof/>
          <w:color w:val="000000" w:themeColor="text1"/>
          <w:sz w:val="22"/>
          <w:szCs w:val="22"/>
          <w:lang w:eastAsia="en-GB"/>
        </w:rPr>
        <w:t xml:space="preserve">, from 82.7 in 2024 to 86.5 in 2025. </w:t>
      </w:r>
      <w:r w:rsidR="00460263" w:rsidRPr="00460263">
        <w:rPr>
          <w:rFonts w:eastAsia="Calibri" w:cs="Calibri"/>
          <w:bCs/>
          <w:noProof/>
          <w:color w:val="000000" w:themeColor="text1"/>
          <w:sz w:val="22"/>
          <w:szCs w:val="22"/>
          <w:lang w:eastAsia="en-GB"/>
        </w:rPr>
        <w:t>This represents a year-on-year increase of</w:t>
      </w:r>
      <w:r w:rsidR="00460263" w:rsidRPr="00460263">
        <w:rPr>
          <w:rFonts w:eastAsia="Calibri" w:cs="Calibri"/>
          <w:b/>
          <w:bCs/>
          <w:noProof/>
          <w:color w:val="000000" w:themeColor="text1"/>
          <w:sz w:val="22"/>
          <w:szCs w:val="22"/>
          <w:lang w:eastAsia="en-GB"/>
        </w:rPr>
        <w:t xml:space="preserve"> 4.6%</w:t>
      </w:r>
      <w:r w:rsidR="00460263" w:rsidRPr="00460263">
        <w:rPr>
          <w:rFonts w:eastAsia="Calibri" w:cs="Calibri"/>
          <w:b/>
          <w:noProof/>
          <w:color w:val="000000" w:themeColor="text1"/>
          <w:sz w:val="22"/>
          <w:szCs w:val="22"/>
          <w:lang w:eastAsia="en-GB"/>
        </w:rPr>
        <w:t>.</w:t>
      </w:r>
      <w:r w:rsidR="0274B47E" w:rsidRPr="41DDC5D9">
        <w:rPr>
          <w:rFonts w:eastAsia="Calibri" w:cs="Calibri"/>
          <w:b/>
          <w:bCs/>
          <w:noProof/>
          <w:color w:val="000000" w:themeColor="text1"/>
          <w:sz w:val="22"/>
          <w:szCs w:val="22"/>
          <w:lang w:eastAsia="en-GB"/>
        </w:rPr>
        <w:t xml:space="preserve"> </w:t>
      </w:r>
      <w:r w:rsidR="00460263" w:rsidRPr="00460263">
        <w:rPr>
          <w:rFonts w:eastAsia="Calibri" w:cs="Calibri"/>
          <w:bCs/>
          <w:noProof/>
          <w:color w:val="000000" w:themeColor="text1"/>
          <w:sz w:val="22"/>
          <w:szCs w:val="22"/>
          <w:lang w:eastAsia="en-GB"/>
        </w:rPr>
        <w:t>According to the forecast along the baseline trajectory</w:t>
      </w:r>
      <w:r w:rsidR="00460263" w:rsidRPr="00460263">
        <w:rPr>
          <w:rFonts w:eastAsia="Calibri" w:cs="Calibri"/>
          <w:b/>
          <w:noProof/>
          <w:color w:val="000000" w:themeColor="text1"/>
          <w:sz w:val="22"/>
          <w:szCs w:val="22"/>
          <w:lang w:eastAsia="en-GB"/>
        </w:rPr>
        <w:t xml:space="preserve">, </w:t>
      </w:r>
      <w:r w:rsidR="00460263" w:rsidRPr="00460263">
        <w:rPr>
          <w:rFonts w:eastAsia="Calibri" w:cs="Calibri"/>
          <w:b/>
          <w:bCs/>
          <w:noProof/>
          <w:color w:val="000000" w:themeColor="text1"/>
          <w:sz w:val="22"/>
          <w:szCs w:val="22"/>
          <w:lang w:eastAsia="en-GB"/>
        </w:rPr>
        <w:t>the target is expected to be achieved by 2028</w:t>
      </w:r>
      <w:r w:rsidR="00460263" w:rsidRPr="00460263">
        <w:rPr>
          <w:rFonts w:eastAsia="Calibri" w:cs="Calibri"/>
          <w:b/>
          <w:noProof/>
          <w:color w:val="000000" w:themeColor="text1"/>
          <w:sz w:val="22"/>
          <w:szCs w:val="22"/>
          <w:lang w:eastAsia="en-GB"/>
        </w:rPr>
        <w:t xml:space="preserve"> </w:t>
      </w:r>
      <w:r w:rsidR="00460263" w:rsidRPr="00460263">
        <w:rPr>
          <w:rFonts w:eastAsia="Calibri" w:cs="Calibri"/>
          <w:bCs/>
          <w:noProof/>
          <w:color w:val="000000" w:themeColor="text1"/>
          <w:sz w:val="22"/>
          <w:szCs w:val="22"/>
          <w:lang w:eastAsia="en-GB"/>
        </w:rPr>
        <w:t>(</w:t>
      </w:r>
      <w:r w:rsidR="007B6296" w:rsidRPr="007B6296">
        <w:rPr>
          <w:rFonts w:eastAsia="Calibri" w:cs="Calibri"/>
          <w:bCs/>
          <w:noProof/>
          <w:color w:val="000000" w:themeColor="text1"/>
          <w:sz w:val="22"/>
          <w:szCs w:val="22"/>
          <w:lang w:eastAsia="en-GB"/>
        </w:rPr>
        <w:fldChar w:fldCharType="begin"/>
      </w:r>
      <w:r w:rsidR="007B6296" w:rsidRPr="007B6296">
        <w:rPr>
          <w:rFonts w:eastAsia="Calibri" w:cs="Calibri"/>
          <w:bCs/>
          <w:noProof/>
          <w:color w:val="000000" w:themeColor="text1"/>
          <w:sz w:val="22"/>
          <w:szCs w:val="22"/>
          <w:lang w:eastAsia="en-GB"/>
        </w:rPr>
        <w:instrText xml:space="preserve"> REF _Ref229040316 \h </w:instrText>
      </w:r>
      <w:r w:rsidR="007B6296">
        <w:rPr>
          <w:rFonts w:eastAsia="Calibri" w:cs="Calibri"/>
          <w:bCs/>
          <w:noProof/>
          <w:color w:val="000000" w:themeColor="text1"/>
          <w:sz w:val="22"/>
          <w:szCs w:val="22"/>
          <w:lang w:eastAsia="en-GB"/>
        </w:rPr>
        <w:instrText xml:space="preserve"> \* MERGEFORMAT </w:instrText>
      </w:r>
      <w:r w:rsidR="007B6296" w:rsidRPr="007B6296">
        <w:rPr>
          <w:rFonts w:eastAsia="Calibri" w:cs="Calibri"/>
          <w:bCs/>
          <w:noProof/>
          <w:color w:val="000000" w:themeColor="text1"/>
          <w:sz w:val="22"/>
          <w:szCs w:val="22"/>
          <w:lang w:eastAsia="en-GB"/>
        </w:rPr>
      </w:r>
      <w:r w:rsidR="007B6296" w:rsidRPr="007B6296">
        <w:rPr>
          <w:rFonts w:eastAsia="Calibri" w:cs="Calibri"/>
          <w:bCs/>
          <w:noProof/>
          <w:color w:val="000000" w:themeColor="text1"/>
          <w:sz w:val="22"/>
          <w:szCs w:val="22"/>
          <w:lang w:eastAsia="en-GB"/>
        </w:rPr>
        <w:fldChar w:fldCharType="separate"/>
      </w:r>
      <w:r w:rsidR="007B6296" w:rsidRPr="007B6296">
        <w:rPr>
          <w:noProof/>
          <w:sz w:val="22"/>
          <w:szCs w:val="22"/>
          <w:u w:val="single"/>
        </w:rPr>
        <w:t>Figure 20</w:t>
      </w:r>
      <w:r w:rsidR="007B6296" w:rsidRPr="007B6296">
        <w:rPr>
          <w:rFonts w:eastAsia="Calibri" w:cs="Calibri"/>
          <w:bCs/>
          <w:noProof/>
          <w:color w:val="000000" w:themeColor="text1"/>
          <w:sz w:val="22"/>
          <w:szCs w:val="22"/>
          <w:lang w:eastAsia="en-GB"/>
        </w:rPr>
        <w:fldChar w:fldCharType="end"/>
      </w:r>
      <w:r w:rsidR="00460263" w:rsidRPr="00460263">
        <w:rPr>
          <w:rFonts w:eastAsia="Calibri" w:cs="Calibri"/>
          <w:bCs/>
          <w:noProof/>
          <w:color w:val="000000" w:themeColor="text1"/>
          <w:sz w:val="22"/>
          <w:szCs w:val="22"/>
          <w:lang w:eastAsia="en-GB"/>
        </w:rPr>
        <w:t xml:space="preserve">). </w:t>
      </w:r>
    </w:p>
    <w:p w14:paraId="2F95F225" w14:textId="10ED4C5E" w:rsidR="48CDD9AD" w:rsidRPr="00417E18" w:rsidRDefault="00A31407" w:rsidP="00DE698D">
      <w:pPr>
        <w:keepNext/>
        <w:spacing w:before="0" w:after="160" w:line="259" w:lineRule="auto"/>
        <w:rPr>
          <w:noProof/>
        </w:rPr>
      </w:pPr>
      <w:r w:rsidRPr="006022C0">
        <w:rPr>
          <w:noProof/>
          <w:lang w:eastAsia="en-GB"/>
        </w:rPr>
        <w:drawing>
          <wp:inline distT="0" distB="0" distL="0" distR="0" wp14:anchorId="7D23146E" wp14:editId="22C1AC7C">
            <wp:extent cx="5869087" cy="1918322"/>
            <wp:effectExtent l="0" t="0" r="0" b="6350"/>
            <wp:docPr id="755230442" name="Picture 3" descr="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graph"/>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5888870" cy="1924788"/>
                    </a:xfrm>
                    <a:prstGeom prst="rect">
                      <a:avLst/>
                    </a:prstGeom>
                    <a:noFill/>
                    <a:ln>
                      <a:noFill/>
                    </a:ln>
                  </pic:spPr>
                </pic:pic>
              </a:graphicData>
            </a:graphic>
          </wp:inline>
        </w:drawing>
      </w:r>
    </w:p>
    <w:p w14:paraId="1F7F958B" w14:textId="1ABC6967" w:rsidR="00DE698D" w:rsidRDefault="00DE698D" w:rsidP="00DE698D">
      <w:pPr>
        <w:pStyle w:val="Caption"/>
        <w:rPr>
          <w:noProof/>
        </w:rPr>
      </w:pPr>
      <w:bookmarkStart w:id="116" w:name="_Ref229040316"/>
      <w:r w:rsidRPr="00DE698D">
        <w:rPr>
          <w:noProof/>
          <w:u w:val="single"/>
        </w:rPr>
        <w:t xml:space="preserve">Figure </w:t>
      </w:r>
      <w:r w:rsidRPr="00DE698D">
        <w:rPr>
          <w:noProof/>
          <w:u w:val="single"/>
        </w:rPr>
        <w:fldChar w:fldCharType="begin"/>
      </w:r>
      <w:r w:rsidRPr="00DE698D">
        <w:rPr>
          <w:noProof/>
          <w:u w:val="single"/>
        </w:rPr>
        <w:instrText xml:space="preserve"> SEQ Figure \* ARABIC </w:instrText>
      </w:r>
      <w:r w:rsidRPr="00DE698D">
        <w:rPr>
          <w:noProof/>
          <w:u w:val="single"/>
        </w:rPr>
        <w:fldChar w:fldCharType="separate"/>
      </w:r>
      <w:r w:rsidRPr="00DE698D">
        <w:rPr>
          <w:noProof/>
          <w:u w:val="single"/>
        </w:rPr>
        <w:t>20</w:t>
      </w:r>
      <w:r w:rsidRPr="00DE698D">
        <w:rPr>
          <w:noProof/>
          <w:u w:val="single"/>
        </w:rPr>
        <w:fldChar w:fldCharType="end"/>
      </w:r>
      <w:bookmarkEnd w:id="116"/>
      <w:r>
        <w:rPr>
          <w:noProof/>
        </w:rPr>
        <w:t xml:space="preserve">: </w:t>
      </w:r>
      <w:r w:rsidRPr="00772BF9">
        <w:rPr>
          <w:noProof/>
        </w:rPr>
        <w:t>e-Health composite indicator. Historical data, Digital Decade and revised baseline trajectory</w:t>
      </w:r>
      <w:r w:rsidR="005B1E39">
        <w:rPr>
          <w:noProof/>
        </w:rPr>
        <w:t>.</w:t>
      </w:r>
    </w:p>
    <w:p w14:paraId="4430BE00" w14:textId="220CF4AA" w:rsidR="008B4666" w:rsidRPr="00417E18" w:rsidRDefault="5E4246E1" w:rsidP="50A16846">
      <w:pPr>
        <w:spacing w:before="200" w:after="120"/>
        <w:rPr>
          <w:rFonts w:eastAsia="Calibri" w:cs="Calibri"/>
          <w:noProof/>
          <w:sz w:val="22"/>
          <w:szCs w:val="22"/>
        </w:rPr>
      </w:pPr>
      <w:r w:rsidRPr="00417E18">
        <w:rPr>
          <w:rFonts w:eastAsia="Calibri" w:cs="Calibri"/>
          <w:noProof/>
          <w:color w:val="000000" w:themeColor="text1"/>
          <w:sz w:val="22"/>
          <w:szCs w:val="22"/>
        </w:rPr>
        <w:t xml:space="preserve">Accelerating the digitisation of health systems to </w:t>
      </w:r>
      <w:r w:rsidR="690DDE20">
        <w:rPr>
          <w:rFonts w:eastAsia="Calibri" w:cs="Calibri"/>
          <w:noProof/>
          <w:color w:val="000000" w:themeColor="text1"/>
          <w:sz w:val="22"/>
          <w:szCs w:val="22"/>
        </w:rPr>
        <w:t>improve</w:t>
      </w:r>
      <w:r w:rsidRPr="00417E18">
        <w:rPr>
          <w:rFonts w:eastAsia="Calibri" w:cs="Calibri"/>
          <w:noProof/>
          <w:color w:val="000000" w:themeColor="text1"/>
          <w:sz w:val="22"/>
          <w:szCs w:val="22"/>
        </w:rPr>
        <w:t xml:space="preserve"> access to and sharing of electronic health records (EHRs) is crucial for boosting </w:t>
      </w:r>
      <w:r w:rsidRPr="00417E18">
        <w:rPr>
          <w:rFonts w:eastAsia="Calibri" w:cs="Calibri"/>
          <w:b/>
          <w:bCs/>
          <w:noProof/>
          <w:color w:val="000000" w:themeColor="text1"/>
          <w:sz w:val="22"/>
          <w:szCs w:val="22"/>
        </w:rPr>
        <w:t xml:space="preserve">EU competitiveness and </w:t>
      </w:r>
      <w:r w:rsidR="28F36DDC" w:rsidRPr="00417E18">
        <w:rPr>
          <w:rFonts w:eastAsia="Calibri" w:cs="Calibri"/>
          <w:b/>
          <w:bCs/>
          <w:noProof/>
          <w:color w:val="000000" w:themeColor="text1"/>
          <w:sz w:val="22"/>
          <w:szCs w:val="22"/>
        </w:rPr>
        <w:t>technological</w:t>
      </w:r>
      <w:r w:rsidR="76DF76A2" w:rsidRPr="00417E18">
        <w:rPr>
          <w:rFonts w:eastAsia="Calibri" w:cs="Calibri"/>
          <w:b/>
          <w:bCs/>
          <w:noProof/>
          <w:color w:val="000000" w:themeColor="text1"/>
          <w:sz w:val="22"/>
          <w:szCs w:val="22"/>
        </w:rPr>
        <w:t xml:space="preserve"> sovereignty</w:t>
      </w:r>
      <w:r w:rsidR="008B4666" w:rsidRPr="00417E18">
        <w:rPr>
          <w:rStyle w:val="FootnoteReference"/>
          <w:rFonts w:eastAsia="Calibri" w:cs="Calibri"/>
          <w:noProof/>
          <w:color w:val="000000" w:themeColor="text1"/>
          <w:sz w:val="22"/>
          <w:szCs w:val="22"/>
        </w:rPr>
        <w:footnoteReference w:id="81"/>
      </w:r>
      <w:r w:rsidR="44D02514" w:rsidRPr="00417E18">
        <w:rPr>
          <w:rFonts w:eastAsia="Calibri" w:cs="Calibri"/>
          <w:noProof/>
          <w:color w:val="000000" w:themeColor="text1"/>
          <w:sz w:val="22"/>
          <w:szCs w:val="22"/>
        </w:rPr>
        <w:t>.</w:t>
      </w:r>
      <w:r w:rsidR="5EDF8464" w:rsidRPr="00417E18">
        <w:rPr>
          <w:rFonts w:eastAsia="Calibri" w:cs="Calibri"/>
          <w:noProof/>
          <w:color w:val="000000" w:themeColor="text1"/>
          <w:sz w:val="22"/>
          <w:szCs w:val="22"/>
        </w:rPr>
        <w:t xml:space="preserve"> </w:t>
      </w:r>
      <w:r w:rsidRPr="00417E18">
        <w:rPr>
          <w:rFonts w:eastAsia="Calibri" w:cs="Calibri"/>
          <w:noProof/>
          <w:color w:val="000000" w:themeColor="text1"/>
          <w:sz w:val="22"/>
          <w:szCs w:val="22"/>
        </w:rPr>
        <w:t xml:space="preserve">EU Member States are taking significant steps in this direction by setting up public services to facilitate access to health data for primary and secondary use as mandated under </w:t>
      </w:r>
      <w:hyperlink r:id="rId51">
        <w:r w:rsidR="39DDF127" w:rsidRPr="00417E18">
          <w:rPr>
            <w:rStyle w:val="Hyperlink"/>
            <w:rFonts w:eastAsia="Calibri" w:cs="Calibri"/>
            <w:noProof/>
            <w:sz w:val="22"/>
            <w:szCs w:val="22"/>
          </w:rPr>
          <w:t>the</w:t>
        </w:r>
        <w:r w:rsidR="3B07CEBA" w:rsidRPr="00417E18">
          <w:rPr>
            <w:rStyle w:val="Hyperlink"/>
            <w:rFonts w:eastAsia="Calibri" w:cs="Calibri"/>
            <w:noProof/>
            <w:sz w:val="22"/>
            <w:szCs w:val="22"/>
          </w:rPr>
          <w:t xml:space="preserve"> European Health Data Space (EHDS) Regulation</w:t>
        </w:r>
      </w:hyperlink>
      <w:r w:rsidR="3B07CEBA" w:rsidRPr="00417E18">
        <w:rPr>
          <w:rFonts w:eastAsia="Calibri" w:cs="Calibri"/>
          <w:noProof/>
          <w:color w:val="000000" w:themeColor="text1"/>
          <w:sz w:val="22"/>
          <w:szCs w:val="22"/>
        </w:rPr>
        <w:t>.</w:t>
      </w:r>
      <w:r w:rsidRPr="00417E18">
        <w:rPr>
          <w:rFonts w:eastAsia="Calibri" w:cs="Calibri"/>
          <w:noProof/>
          <w:color w:val="000000" w:themeColor="text1"/>
          <w:sz w:val="22"/>
          <w:szCs w:val="22"/>
        </w:rPr>
        <w:t xml:space="preserve"> By leveraging a strong regulatory framework, collaborative resource pooling, advanced data infrastructures, and high-performance computing facilities, health data can be harnessed to develop the next generation of </w:t>
      </w:r>
      <w:r w:rsidRPr="00417E18">
        <w:rPr>
          <w:rFonts w:eastAsia="Calibri" w:cs="Calibri"/>
          <w:b/>
          <w:bCs/>
          <w:noProof/>
          <w:color w:val="000000" w:themeColor="text1"/>
          <w:sz w:val="22"/>
          <w:szCs w:val="22"/>
        </w:rPr>
        <w:t>European AI models</w:t>
      </w:r>
      <w:r w:rsidRPr="00417E18">
        <w:rPr>
          <w:rFonts w:eastAsia="Calibri" w:cs="Calibri"/>
          <w:noProof/>
          <w:color w:val="000000" w:themeColor="text1"/>
          <w:sz w:val="22"/>
          <w:szCs w:val="22"/>
        </w:rPr>
        <w:t xml:space="preserve"> for personalised disease prevention and precision medicine. These solutions have the potential to address rising healthcare costs by promoting </w:t>
      </w:r>
      <w:r w:rsidRPr="00417E18">
        <w:rPr>
          <w:rFonts w:eastAsia="Calibri" w:cs="Calibri"/>
          <w:b/>
          <w:bCs/>
          <w:noProof/>
          <w:color w:val="000000" w:themeColor="text1"/>
          <w:sz w:val="22"/>
          <w:szCs w:val="22"/>
        </w:rPr>
        <w:t>simplification and efficiency</w:t>
      </w:r>
      <w:r w:rsidRPr="00417E18">
        <w:rPr>
          <w:rFonts w:eastAsia="Calibri" w:cs="Calibri"/>
          <w:noProof/>
          <w:color w:val="000000" w:themeColor="text1"/>
          <w:sz w:val="22"/>
          <w:szCs w:val="22"/>
        </w:rPr>
        <w:t>, ultimately leading to better outcomes for citizens.</w:t>
      </w:r>
    </w:p>
    <w:p w14:paraId="039B7EEE" w14:textId="1A7E69FA" w:rsidR="008B4666" w:rsidRPr="00417E18" w:rsidRDefault="39DDF127" w:rsidP="52B3C40B">
      <w:pPr>
        <w:spacing w:before="0" w:after="120"/>
        <w:rPr>
          <w:rStyle w:val="FootnoteReference"/>
          <w:rFonts w:eastAsia="Calibri" w:cs="Calibri"/>
          <w:noProof/>
          <w:color w:val="000000" w:themeColor="text1"/>
          <w:sz w:val="22"/>
          <w:szCs w:val="22"/>
        </w:rPr>
      </w:pPr>
      <w:r w:rsidRPr="00417E18">
        <w:rPr>
          <w:rFonts w:eastAsia="Calibri" w:cs="Calibri"/>
          <w:noProof/>
          <w:color w:val="000000" w:themeColor="text1"/>
          <w:sz w:val="22"/>
          <w:szCs w:val="22"/>
        </w:rPr>
        <w:t>A</w:t>
      </w:r>
      <w:r w:rsidR="4431ADD9" w:rsidRPr="00417E18">
        <w:rPr>
          <w:rFonts w:eastAsia="Calibri" w:cs="Calibri"/>
          <w:noProof/>
          <w:color w:val="000000" w:themeColor="text1"/>
          <w:sz w:val="22"/>
          <w:szCs w:val="22"/>
        </w:rPr>
        <w:t xml:space="preserve">ccording to the </w:t>
      </w:r>
      <w:hyperlink r:id="rId52">
        <w:r w:rsidR="4431ADD9" w:rsidRPr="00417E18">
          <w:rPr>
            <w:rStyle w:val="Hyperlink"/>
            <w:rFonts w:eastAsia="Calibri" w:cs="Calibri"/>
            <w:noProof/>
            <w:sz w:val="22"/>
            <w:szCs w:val="22"/>
          </w:rPr>
          <w:t>OECD's live repository of AI strategies &amp; policies</w:t>
        </w:r>
      </w:hyperlink>
      <w:r w:rsidR="4431ADD9" w:rsidRPr="00417E18">
        <w:rPr>
          <w:rFonts w:eastAsia="Calibri" w:cs="Calibri"/>
          <w:noProof/>
          <w:color w:val="000000" w:themeColor="text1"/>
          <w:sz w:val="22"/>
          <w:szCs w:val="22"/>
        </w:rPr>
        <w:t>, a</w:t>
      </w:r>
      <w:r w:rsidRPr="00417E18">
        <w:rPr>
          <w:rFonts w:eastAsia="Calibri" w:cs="Calibri"/>
          <w:noProof/>
          <w:color w:val="000000" w:themeColor="text1"/>
          <w:sz w:val="22"/>
          <w:szCs w:val="22"/>
        </w:rPr>
        <w:t>t</w:t>
      </w:r>
      <w:r w:rsidR="5E4246E1" w:rsidRPr="00417E18">
        <w:rPr>
          <w:rFonts w:eastAsia="Calibri" w:cs="Calibri"/>
          <w:noProof/>
          <w:color w:val="000000" w:themeColor="text1"/>
          <w:sz w:val="22"/>
          <w:szCs w:val="22"/>
        </w:rPr>
        <w:t xml:space="preserve"> least 19 EU Member States recognise health as a crucial sector in their national AI strategies or related initiatives.</w:t>
      </w:r>
      <w:r w:rsidR="22C85F32" w:rsidRPr="00417E18">
        <w:rPr>
          <w:rFonts w:eastAsia="Calibri" w:cs="Calibri"/>
          <w:noProof/>
          <w:color w:val="000000" w:themeColor="text1"/>
          <w:sz w:val="22"/>
          <w:szCs w:val="22"/>
        </w:rPr>
        <w:t xml:space="preserve"> </w:t>
      </w:r>
      <w:r w:rsidR="22C85F32" w:rsidRPr="00417E18">
        <w:rPr>
          <w:rFonts w:eastAsia="Calibri" w:cs="Calibri"/>
          <w:noProof/>
          <w:sz w:val="22"/>
          <w:szCs w:val="22"/>
        </w:rPr>
        <w:t xml:space="preserve">However, AI adoption and integration in healthcare across the EU remain limited and uneven. Although </w:t>
      </w:r>
      <w:hyperlink r:id="rId53">
        <w:r w:rsidR="28E697F6" w:rsidRPr="00417E18">
          <w:rPr>
            <w:rStyle w:val="Hyperlink"/>
            <w:rFonts w:eastAsia="Calibri" w:cs="Calibri"/>
            <w:noProof/>
            <w:sz w:val="22"/>
            <w:szCs w:val="22"/>
          </w:rPr>
          <w:t>94% of EU healthcare providers</w:t>
        </w:r>
      </w:hyperlink>
      <w:r w:rsidR="22C85F32" w:rsidRPr="00417E18">
        <w:rPr>
          <w:rFonts w:eastAsia="Calibri" w:cs="Calibri"/>
          <w:noProof/>
          <w:sz w:val="22"/>
          <w:szCs w:val="22"/>
        </w:rPr>
        <w:t xml:space="preserve"> are </w:t>
      </w:r>
      <w:r w:rsidR="311F55B6">
        <w:rPr>
          <w:rFonts w:eastAsia="Calibri" w:cs="Calibri"/>
          <w:noProof/>
          <w:sz w:val="22"/>
          <w:szCs w:val="22"/>
        </w:rPr>
        <w:t xml:space="preserve">already </w:t>
      </w:r>
      <w:r w:rsidR="54F3D397" w:rsidRPr="00417E18">
        <w:rPr>
          <w:rFonts w:eastAsia="Calibri" w:cs="Calibri"/>
          <w:noProof/>
          <w:sz w:val="22"/>
          <w:szCs w:val="22"/>
        </w:rPr>
        <w:t>u</w:t>
      </w:r>
      <w:r w:rsidR="311F55B6">
        <w:rPr>
          <w:rFonts w:eastAsia="Calibri" w:cs="Calibri"/>
          <w:noProof/>
          <w:sz w:val="22"/>
          <w:szCs w:val="22"/>
        </w:rPr>
        <w:t>sing</w:t>
      </w:r>
      <w:r w:rsidR="22C85F32" w:rsidRPr="00417E18">
        <w:rPr>
          <w:rFonts w:eastAsia="Calibri" w:cs="Calibri"/>
          <w:noProof/>
          <w:sz w:val="22"/>
          <w:szCs w:val="22"/>
        </w:rPr>
        <w:t xml:space="preserve"> or planning to invest in AI within the next four years,</w:t>
      </w:r>
      <w:r w:rsidR="183C5DE3" w:rsidRPr="00417E18">
        <w:rPr>
          <w:rFonts w:eastAsia="Calibri" w:cs="Calibri"/>
          <w:noProof/>
          <w:sz w:val="22"/>
          <w:szCs w:val="22"/>
        </w:rPr>
        <w:t xml:space="preserve"> challenges persist in scaling up investment and integrating advanced technology into often under-resourced healthcare systems</w:t>
      </w:r>
      <w:r w:rsidR="008B4666" w:rsidRPr="00417E18">
        <w:rPr>
          <w:rStyle w:val="FootnoteReference"/>
          <w:rFonts w:eastAsia="Calibri" w:cs="Calibri"/>
          <w:noProof/>
          <w:color w:val="000000" w:themeColor="text1"/>
          <w:sz w:val="22"/>
          <w:szCs w:val="22"/>
        </w:rPr>
        <w:footnoteReference w:id="82"/>
      </w:r>
      <w:r w:rsidR="13E6C939" w:rsidRPr="00417E18">
        <w:rPr>
          <w:rStyle w:val="FootnoteReference"/>
          <w:rFonts w:eastAsia="Calibri" w:cs="Calibri"/>
          <w:noProof/>
          <w:color w:val="000000" w:themeColor="text1"/>
          <w:sz w:val="22"/>
          <w:szCs w:val="22"/>
        </w:rPr>
        <w:t xml:space="preserve"> </w:t>
      </w:r>
      <w:r w:rsidR="3669336F" w:rsidRPr="00417E18">
        <w:rPr>
          <w:rFonts w:eastAsia="Calibri" w:cs="Calibri"/>
          <w:noProof/>
          <w:sz w:val="22"/>
          <w:szCs w:val="22"/>
        </w:rPr>
        <w:t>.</w:t>
      </w:r>
    </w:p>
    <w:p w14:paraId="5800BA87" w14:textId="5AD9F527" w:rsidR="007B3084" w:rsidRPr="00417E18" w:rsidRDefault="007B3084" w:rsidP="52B3C40B">
      <w:pPr>
        <w:spacing w:before="0" w:after="120"/>
        <w:rPr>
          <w:rStyle w:val="FootnoteReference"/>
          <w:rFonts w:eastAsia="Calibri" w:cs="Calibri"/>
          <w:noProof/>
          <w:color w:val="000000" w:themeColor="text1"/>
          <w:sz w:val="22"/>
          <w:szCs w:val="22"/>
        </w:rPr>
      </w:pPr>
      <w:r w:rsidRPr="00417E18">
        <w:rPr>
          <w:rFonts w:eastAsia="Calibri" w:cs="Calibri"/>
          <w:noProof/>
          <w:color w:val="000000" w:themeColor="text1"/>
          <w:sz w:val="22"/>
          <w:szCs w:val="22"/>
        </w:rPr>
        <w:t>In their National Roadmaps, Member States reported investing EUR 7.</w:t>
      </w:r>
      <w:r w:rsidR="00230F5E" w:rsidRPr="00417E18">
        <w:rPr>
          <w:rFonts w:eastAsia="Calibri" w:cs="Calibri"/>
          <w:noProof/>
          <w:color w:val="000000" w:themeColor="text1"/>
          <w:sz w:val="22"/>
          <w:szCs w:val="22"/>
        </w:rPr>
        <w:t>7</w:t>
      </w:r>
      <w:r w:rsidRPr="00417E18">
        <w:rPr>
          <w:rFonts w:eastAsia="Calibri" w:cs="Calibri"/>
          <w:noProof/>
          <w:color w:val="000000" w:themeColor="text1"/>
          <w:sz w:val="22"/>
          <w:szCs w:val="22"/>
        </w:rPr>
        <w:t xml:space="preserve"> billion to support e-Health services (all coming from public budgets), with approximately </w:t>
      </w:r>
      <w:r w:rsidR="003E3425" w:rsidRPr="00417E18">
        <w:rPr>
          <w:rFonts w:eastAsia="Calibri" w:cs="Calibri"/>
          <w:noProof/>
          <w:color w:val="000000" w:themeColor="text1"/>
          <w:sz w:val="22"/>
          <w:szCs w:val="22"/>
        </w:rPr>
        <w:t>98</w:t>
      </w:r>
      <w:r w:rsidRPr="00417E18">
        <w:rPr>
          <w:rFonts w:eastAsia="Calibri" w:cs="Calibri"/>
          <w:noProof/>
          <w:color w:val="000000" w:themeColor="text1"/>
          <w:sz w:val="22"/>
          <w:szCs w:val="22"/>
        </w:rPr>
        <w:t xml:space="preserve"> measures, most of them focusing on accessibility and uptake.</w:t>
      </w:r>
    </w:p>
    <w:p w14:paraId="07EE2345" w14:textId="5F6A035F" w:rsidR="008B4666" w:rsidRPr="00417E18" w:rsidRDefault="5E4246E1" w:rsidP="16FBFCDA">
      <w:pPr>
        <w:spacing w:before="0" w:after="120"/>
        <w:rPr>
          <w:rFonts w:eastAsia="Calibri" w:cs="Calibri"/>
          <w:noProof/>
          <w:color w:val="000000" w:themeColor="text1"/>
          <w:sz w:val="22"/>
          <w:szCs w:val="22"/>
        </w:rPr>
      </w:pPr>
      <w:r w:rsidRPr="00417E18">
        <w:rPr>
          <w:rFonts w:eastAsia="Calibri" w:cs="Calibri"/>
          <w:noProof/>
          <w:color w:val="000000" w:themeColor="text1"/>
          <w:sz w:val="22"/>
          <w:szCs w:val="22"/>
        </w:rPr>
        <w:t xml:space="preserve">Addressing these issues requires targeted policy measures at national and European levels. The Commission announced in the </w:t>
      </w:r>
      <w:hyperlink r:id="rId54">
        <w:r w:rsidR="39DDF127" w:rsidRPr="00417E18">
          <w:rPr>
            <w:rStyle w:val="Hyperlink"/>
            <w:rFonts w:eastAsia="Calibri" w:cs="Calibri"/>
            <w:b/>
            <w:bCs/>
            <w:noProof/>
            <w:sz w:val="22"/>
            <w:szCs w:val="22"/>
          </w:rPr>
          <w:t>Apply AI Strategy</w:t>
        </w:r>
      </w:hyperlink>
      <w:r w:rsidR="07E9DE62" w:rsidRPr="00417E18">
        <w:rPr>
          <w:rFonts w:eastAsia="Calibri" w:cs="Calibri"/>
          <w:noProof/>
          <w:color w:val="000000" w:themeColor="text1"/>
          <w:sz w:val="22"/>
          <w:szCs w:val="22"/>
        </w:rPr>
        <w:t xml:space="preserve"> </w:t>
      </w:r>
      <w:r w:rsidRPr="00417E18">
        <w:rPr>
          <w:rFonts w:eastAsia="Calibri" w:cs="Calibri"/>
          <w:noProof/>
          <w:color w:val="000000" w:themeColor="text1"/>
          <w:sz w:val="22"/>
          <w:szCs w:val="22"/>
        </w:rPr>
        <w:t xml:space="preserve">four flagship initiatives to boost AI adoption in healthcare and pharmaceuticals. </w:t>
      </w:r>
      <w:bookmarkStart w:id="117" w:name="_Int_GdqH7my9"/>
      <w:r w:rsidR="39DDF127" w:rsidRPr="00417E18">
        <w:rPr>
          <w:rFonts w:eastAsia="Calibri" w:cs="Calibri"/>
          <w:noProof/>
          <w:color w:val="000000" w:themeColor="text1"/>
          <w:sz w:val="22"/>
          <w:szCs w:val="22"/>
        </w:rPr>
        <w:t>The</w:t>
      </w:r>
      <w:bookmarkEnd w:id="117"/>
      <w:r w:rsidR="39DDF127" w:rsidRPr="00417E18">
        <w:rPr>
          <w:rFonts w:eastAsia="Calibri" w:cs="Calibri"/>
          <w:noProof/>
          <w:color w:val="000000" w:themeColor="text1"/>
          <w:sz w:val="22"/>
          <w:szCs w:val="22"/>
        </w:rPr>
        <w:t xml:space="preserve"> </w:t>
      </w:r>
      <w:hyperlink r:id="rId55">
        <w:r w:rsidR="39DDF127" w:rsidRPr="00417E18">
          <w:rPr>
            <w:rStyle w:val="Hyperlink"/>
            <w:rFonts w:eastAsia="Calibri" w:cs="Calibri"/>
            <w:noProof/>
            <w:sz w:val="22"/>
            <w:szCs w:val="22"/>
          </w:rPr>
          <w:t>network of European AI-powered advanced screening centres</w:t>
        </w:r>
      </w:hyperlink>
      <w:r w:rsidR="39DDF127" w:rsidRPr="00417E18">
        <w:rPr>
          <w:rFonts w:eastAsia="Calibri" w:cs="Calibri"/>
          <w:noProof/>
          <w:color w:val="000000" w:themeColor="text1"/>
          <w:sz w:val="22"/>
          <w:szCs w:val="22"/>
        </w:rPr>
        <w:t xml:space="preserve"> will</w:t>
      </w:r>
      <w:r w:rsidRPr="00417E18">
        <w:rPr>
          <w:rFonts w:eastAsia="Calibri" w:cs="Calibri"/>
          <w:noProof/>
          <w:color w:val="000000" w:themeColor="text1"/>
          <w:sz w:val="22"/>
          <w:szCs w:val="22"/>
        </w:rPr>
        <w:t xml:space="preserve"> speed up the introduction of innovative solutions for prevention, early detection and diagnosis in cancer and cardiovascular diseases, while </w:t>
      </w:r>
      <w:bookmarkStart w:id="118" w:name="_Int_NMCdn00d"/>
      <w:r w:rsidRPr="00417E18">
        <w:rPr>
          <w:rFonts w:eastAsia="Calibri" w:cs="Calibri"/>
          <w:noProof/>
          <w:color w:val="000000" w:themeColor="text1"/>
          <w:sz w:val="22"/>
          <w:szCs w:val="22"/>
        </w:rPr>
        <w:t>the</w:t>
      </w:r>
      <w:bookmarkEnd w:id="118"/>
      <w:r w:rsidRPr="00417E18">
        <w:rPr>
          <w:rFonts w:eastAsia="Calibri" w:cs="Calibri"/>
          <w:noProof/>
          <w:color w:val="000000" w:themeColor="text1"/>
          <w:sz w:val="22"/>
          <w:szCs w:val="22"/>
        </w:rPr>
        <w:t xml:space="preserve"> </w:t>
      </w:r>
      <w:hyperlink r:id="rId56">
        <w:r w:rsidR="39DDF127" w:rsidRPr="00417E18">
          <w:rPr>
            <w:rStyle w:val="Hyperlink"/>
            <w:rFonts w:eastAsia="Calibri" w:cs="Calibri"/>
            <w:noProof/>
            <w:sz w:val="22"/>
            <w:szCs w:val="22"/>
          </w:rPr>
          <w:t>European Network of Expertise on AI Deployment in Healthcare</w:t>
        </w:r>
      </w:hyperlink>
      <w:r w:rsidRPr="00417E18">
        <w:rPr>
          <w:rFonts w:eastAsia="Calibri" w:cs="Calibri"/>
          <w:noProof/>
          <w:color w:val="000000" w:themeColor="text1"/>
          <w:sz w:val="22"/>
          <w:szCs w:val="22"/>
        </w:rPr>
        <w:t xml:space="preserve"> will consolidate guidelines and best practices to safely and effectively integrate AI in healthcare settings. </w:t>
      </w:r>
    </w:p>
    <w:p w14:paraId="430E1AD9" w14:textId="1E4087F7" w:rsidR="008B4666" w:rsidRPr="00417E18" w:rsidRDefault="5E4246E1" w:rsidP="16FBFCDA">
      <w:pPr>
        <w:spacing w:before="0" w:after="120"/>
        <w:rPr>
          <w:rFonts w:eastAsia="Calibri" w:cs="Calibri"/>
          <w:noProof/>
          <w:color w:val="000000" w:themeColor="text1"/>
          <w:sz w:val="22"/>
          <w:szCs w:val="22"/>
        </w:rPr>
      </w:pPr>
      <w:r w:rsidRPr="00417E18">
        <w:rPr>
          <w:rFonts w:eastAsia="Calibri" w:cs="Calibri"/>
          <w:noProof/>
          <w:color w:val="000000" w:themeColor="text1"/>
          <w:sz w:val="22"/>
          <w:szCs w:val="22"/>
        </w:rPr>
        <w:t xml:space="preserve">EU Member States are progressing towards achieving universal citizen access to their EHRs by 2030, as indicated by this year's </w:t>
      </w:r>
      <w:r w:rsidRPr="00417E18">
        <w:rPr>
          <w:rFonts w:eastAsia="Calibri" w:cs="Calibri"/>
          <w:b/>
          <w:bCs/>
          <w:noProof/>
          <w:color w:val="000000" w:themeColor="text1"/>
          <w:sz w:val="22"/>
          <w:szCs w:val="22"/>
        </w:rPr>
        <w:t>e</w:t>
      </w:r>
      <w:r w:rsidR="0044191F">
        <w:rPr>
          <w:rFonts w:eastAsia="Calibri" w:cs="Calibri"/>
          <w:b/>
          <w:bCs/>
          <w:noProof/>
          <w:color w:val="000000" w:themeColor="text1"/>
          <w:sz w:val="22"/>
          <w:szCs w:val="22"/>
        </w:rPr>
        <w:t>-</w:t>
      </w:r>
      <w:r w:rsidRPr="00417E18">
        <w:rPr>
          <w:rFonts w:eastAsia="Calibri" w:cs="Calibri"/>
          <w:b/>
          <w:bCs/>
          <w:noProof/>
          <w:color w:val="000000" w:themeColor="text1"/>
          <w:sz w:val="22"/>
          <w:szCs w:val="22"/>
        </w:rPr>
        <w:t>Health indicator</w:t>
      </w:r>
      <w:r w:rsidR="00B51E4A">
        <w:rPr>
          <w:rFonts w:eastAsia="Calibri" w:cs="Calibri"/>
          <w:noProof/>
          <w:color w:val="000000" w:themeColor="text1"/>
          <w:sz w:val="22"/>
          <w:szCs w:val="22"/>
        </w:rPr>
        <w:t>.</w:t>
      </w:r>
      <w:r w:rsidRPr="00417E18">
        <w:rPr>
          <w:rFonts w:eastAsia="Calibri" w:cs="Calibri"/>
          <w:noProof/>
          <w:color w:val="000000" w:themeColor="text1"/>
          <w:sz w:val="22"/>
          <w:szCs w:val="22"/>
        </w:rPr>
        <w:t xml:space="preserve"> Efforts are also ongoing to ensure that national, regional and local health information systems are operational by March 2029 for health data to be processed in line with the EHDS Regulation. This will provide robust governance and accelerate the implementation of necessary infrastructures, ensuring continuity of care by connecting various providers, and enhancing accessibility of health data for citizens and other authorised users. Moreover, mature health information systems will support the deployment of AI solutions by enabling the safeguarded secondary use of anonymised or pseudonymised health records.</w:t>
      </w:r>
    </w:p>
    <w:p w14:paraId="43DA7856" w14:textId="181E3EAF" w:rsidR="008B4666" w:rsidRPr="00417E18" w:rsidRDefault="588E3A86" w:rsidP="52B3C40B">
      <w:pPr>
        <w:spacing w:before="0" w:after="120"/>
        <w:rPr>
          <w:rFonts w:eastAsia="Calibri" w:cs="Calibri"/>
          <w:noProof/>
          <w:color w:val="000000" w:themeColor="text1"/>
          <w:sz w:val="22"/>
          <w:szCs w:val="22"/>
        </w:rPr>
      </w:pPr>
      <w:r w:rsidRPr="00417E18">
        <w:rPr>
          <w:rFonts w:eastAsia="Calibri" w:cs="Calibri"/>
          <w:noProof/>
          <w:sz w:val="22"/>
          <w:szCs w:val="22"/>
        </w:rPr>
        <w:t>However, progress remains uneven across Member States, reflecting differences in administrative capacity, digital maturity, and investment levels</w:t>
      </w:r>
      <w:r w:rsidR="62DB9CFE" w:rsidRPr="00417E18">
        <w:rPr>
          <w:rFonts w:eastAsia="Calibri" w:cs="Calibri"/>
          <w:noProof/>
          <w:sz w:val="22"/>
          <w:szCs w:val="22"/>
        </w:rPr>
        <w:t>.</w:t>
      </w:r>
      <w:r w:rsidRPr="00417E18">
        <w:rPr>
          <w:rFonts w:eastAsia="Calibri" w:cs="Calibri"/>
          <w:noProof/>
          <w:sz w:val="22"/>
          <w:szCs w:val="22"/>
        </w:rPr>
        <w:t xml:space="preserve"> </w:t>
      </w:r>
      <w:r w:rsidR="00CC2B71" w:rsidRPr="00417E18">
        <w:rPr>
          <w:rFonts w:eastAsia="Calibri" w:cs="Calibri"/>
          <w:noProof/>
          <w:color w:val="000000" w:themeColor="text1"/>
          <w:sz w:val="22"/>
          <w:szCs w:val="22"/>
        </w:rPr>
        <w:t>Insufficient funding</w:t>
      </w:r>
      <w:r w:rsidR="711D0EF8" w:rsidRPr="1D434876">
        <w:rPr>
          <w:rFonts w:eastAsia="Calibri" w:cs="Calibri"/>
          <w:noProof/>
          <w:color w:val="000000" w:themeColor="text1"/>
          <w:sz w:val="22"/>
          <w:szCs w:val="22"/>
        </w:rPr>
        <w:t>,</w:t>
      </w:r>
      <w:r w:rsidR="5E4246E1" w:rsidRPr="00417E18">
        <w:rPr>
          <w:rFonts w:eastAsia="Calibri" w:cs="Calibri"/>
          <w:noProof/>
          <w:color w:val="000000" w:themeColor="text1"/>
          <w:sz w:val="22"/>
          <w:szCs w:val="22"/>
        </w:rPr>
        <w:t xml:space="preserve"> digital skills and readiness among healthcare professionals, </w:t>
      </w:r>
      <w:r w:rsidR="0AC009B4" w:rsidRPr="1D434876">
        <w:rPr>
          <w:rFonts w:eastAsia="Calibri" w:cs="Calibri"/>
          <w:noProof/>
          <w:sz w:val="22"/>
          <w:szCs w:val="22"/>
        </w:rPr>
        <w:t>as well as</w:t>
      </w:r>
      <w:r w:rsidR="5E4246E1" w:rsidRPr="1D434876">
        <w:rPr>
          <w:rFonts w:eastAsia="Calibri" w:cs="Calibri"/>
          <w:noProof/>
          <w:sz w:val="22"/>
          <w:szCs w:val="22"/>
        </w:rPr>
        <w:t xml:space="preserve"> </w:t>
      </w:r>
      <w:r w:rsidR="5E4246E1" w:rsidRPr="00417E18">
        <w:rPr>
          <w:rFonts w:eastAsia="Calibri" w:cs="Calibri"/>
          <w:noProof/>
          <w:color w:val="000000" w:themeColor="text1"/>
          <w:sz w:val="22"/>
          <w:szCs w:val="22"/>
        </w:rPr>
        <w:t>inconsistencies in data quality and harmonisation across healthcare providers limit interoperability and information exchange within and across health systems. The EHDS Regulation provides an opportunity to address these issues. It mandates the establishment of Digital Health Authorities and health data access services for primary use, as well as Health Data Access Bodies for secondary use by March 2027</w:t>
      </w:r>
      <w:r w:rsidR="00FF30F7" w:rsidRPr="61157EDD">
        <w:rPr>
          <w:rFonts w:eastAsia="Calibri" w:cs="Calibri"/>
          <w:noProof/>
          <w:color w:val="000000" w:themeColor="text1"/>
          <w:sz w:val="22"/>
          <w:szCs w:val="22"/>
          <w:vertAlign w:val="superscript"/>
        </w:rPr>
        <w:footnoteReference w:id="83"/>
      </w:r>
      <w:r w:rsidR="5E4246E1" w:rsidRPr="00417E18">
        <w:rPr>
          <w:rFonts w:eastAsia="Calibri" w:cs="Calibri"/>
          <w:noProof/>
          <w:color w:val="000000" w:themeColor="text1"/>
          <w:sz w:val="22"/>
          <w:szCs w:val="22"/>
        </w:rPr>
        <w:t>.</w:t>
      </w:r>
    </w:p>
    <w:p w14:paraId="3F353D8C" w14:textId="68C6A0D7" w:rsidR="008B4666" w:rsidRPr="00417E18" w:rsidRDefault="5E4246E1" w:rsidP="16FBFCDA">
      <w:pPr>
        <w:spacing w:before="0" w:after="120"/>
        <w:rPr>
          <w:rFonts w:eastAsia="Calibri" w:cs="Calibri"/>
          <w:noProof/>
          <w:color w:val="000000" w:themeColor="text1"/>
          <w:sz w:val="22"/>
          <w:szCs w:val="22"/>
        </w:rPr>
      </w:pPr>
      <w:r w:rsidRPr="00417E18">
        <w:rPr>
          <w:rFonts w:eastAsia="Calibri" w:cs="Calibri"/>
          <w:noProof/>
          <w:color w:val="000000" w:themeColor="text1"/>
          <w:sz w:val="22"/>
          <w:szCs w:val="22"/>
        </w:rPr>
        <w:t xml:space="preserve">Finally, European initiatives are paving the way for the cross-border harmonisation, secure storage, processing and analysis of health data for high-impact use cases, such as genomics and imaging-AI. </w:t>
      </w:r>
      <w:r w:rsidR="39DDF127" w:rsidRPr="00417E18">
        <w:rPr>
          <w:rFonts w:eastAsia="Calibri" w:cs="Calibri"/>
          <w:noProof/>
          <w:color w:val="000000" w:themeColor="text1"/>
          <w:sz w:val="22"/>
          <w:szCs w:val="22"/>
        </w:rPr>
        <w:t xml:space="preserve">The </w:t>
      </w:r>
      <w:hyperlink r:id="rId57">
        <w:r w:rsidR="39DDF127" w:rsidRPr="00417E18">
          <w:rPr>
            <w:rStyle w:val="Hyperlink"/>
            <w:rFonts w:eastAsia="Calibri" w:cs="Calibri"/>
            <w:noProof/>
            <w:sz w:val="22"/>
            <w:szCs w:val="22"/>
          </w:rPr>
          <w:t>Genomic Data Infrastructure</w:t>
        </w:r>
      </w:hyperlink>
      <w:r w:rsidRPr="00417E18">
        <w:rPr>
          <w:rFonts w:eastAsia="Calibri" w:cs="Calibri"/>
          <w:noProof/>
          <w:color w:val="000000" w:themeColor="text1"/>
          <w:sz w:val="22"/>
          <w:szCs w:val="22"/>
        </w:rPr>
        <w:t xml:space="preserve"> (GDI) and </w:t>
      </w:r>
      <w:hyperlink r:id="rId58">
        <w:r w:rsidR="39DDF127" w:rsidRPr="00417E18">
          <w:rPr>
            <w:rStyle w:val="Hyperlink"/>
            <w:rFonts w:eastAsia="Calibri" w:cs="Calibri"/>
            <w:noProof/>
            <w:sz w:val="22"/>
            <w:szCs w:val="22"/>
          </w:rPr>
          <w:t>Cancer Image Europe platform</w:t>
        </w:r>
      </w:hyperlink>
      <w:r w:rsidRPr="00417E18">
        <w:rPr>
          <w:rFonts w:eastAsia="Calibri" w:cs="Calibri"/>
          <w:noProof/>
          <w:color w:val="000000" w:themeColor="text1"/>
          <w:sz w:val="22"/>
          <w:szCs w:val="22"/>
        </w:rPr>
        <w:t xml:space="preserve"> (EUCAIM) projects are developing federated infrastructures and governance which aim to support and complement the implementation of the EHDS. In GDI, more than half of EU Member States are expected to have operational federated infrastructures by late 2026, advancing towards a secure and decentralised access to genomic and clinical data across Europe. The Cancer Image Europe Platform already supports the optimisation of the use of medical imaging and AI for personalised cancer care offering over 80 medical imaging datasets, preprocessing tools, and capabilities for distributed AI algorithm training.</w:t>
      </w:r>
    </w:p>
    <w:p w14:paraId="083DCEDF" w14:textId="0686D361" w:rsidR="00007732" w:rsidRPr="006022C0" w:rsidRDefault="46EF7B23" w:rsidP="52B3C40B">
      <w:pPr>
        <w:spacing w:before="0" w:after="120"/>
        <w:rPr>
          <w:rFonts w:eastAsia="Calibri" w:cs="Calibri"/>
          <w:noProof/>
          <w:sz w:val="22"/>
          <w:szCs w:val="22"/>
        </w:rPr>
      </w:pPr>
      <w:r w:rsidRPr="00417E18">
        <w:rPr>
          <w:rFonts w:eastAsia="Calibri" w:cs="Calibri"/>
          <w:noProof/>
          <w:sz w:val="22"/>
          <w:szCs w:val="22"/>
        </w:rPr>
        <w:t xml:space="preserve">Building on the above, </w:t>
      </w:r>
      <w:r w:rsidRPr="00CF6D9C">
        <w:rPr>
          <w:rFonts w:eastAsia="Calibri" w:cs="Calibri"/>
          <w:b/>
          <w:noProof/>
          <w:sz w:val="22"/>
          <w:szCs w:val="22"/>
        </w:rPr>
        <w:t>new</w:t>
      </w:r>
      <w:r w:rsidR="6261A96A" w:rsidRPr="00CF6D9C">
        <w:rPr>
          <w:rFonts w:eastAsia="Calibri" w:cs="Calibri"/>
          <w:b/>
          <w:noProof/>
          <w:sz w:val="22"/>
          <w:szCs w:val="22"/>
        </w:rPr>
        <w:t xml:space="preserve"> investments in the </w:t>
      </w:r>
      <w:r w:rsidR="4ED47951" w:rsidRPr="00CF6D9C">
        <w:rPr>
          <w:rFonts w:eastAsia="Calibri" w:cs="Calibri"/>
          <w:b/>
          <w:noProof/>
          <w:sz w:val="22"/>
          <w:szCs w:val="22"/>
        </w:rPr>
        <w:t>digitalisation</w:t>
      </w:r>
      <w:r w:rsidR="6261A96A" w:rsidRPr="00CF6D9C">
        <w:rPr>
          <w:rFonts w:eastAsia="Calibri" w:cs="Calibri"/>
          <w:b/>
          <w:noProof/>
          <w:sz w:val="22"/>
          <w:szCs w:val="22"/>
        </w:rPr>
        <w:t xml:space="preserve"> of health systems</w:t>
      </w:r>
      <w:r w:rsidRPr="00CF6D9C">
        <w:rPr>
          <w:rFonts w:eastAsia="Calibri" w:cs="Calibri"/>
          <w:b/>
          <w:noProof/>
          <w:sz w:val="22"/>
          <w:szCs w:val="22"/>
        </w:rPr>
        <w:t xml:space="preserve"> to</w:t>
      </w:r>
      <w:r w:rsidR="6261A96A" w:rsidRPr="00CF6D9C">
        <w:rPr>
          <w:rFonts w:eastAsia="Calibri" w:cs="Calibri"/>
          <w:b/>
          <w:noProof/>
          <w:sz w:val="22"/>
          <w:szCs w:val="22"/>
        </w:rPr>
        <w:t xml:space="preserve"> </w:t>
      </w:r>
      <w:r w:rsidRPr="00CF6D9C">
        <w:rPr>
          <w:rFonts w:eastAsia="Calibri" w:cs="Calibri"/>
          <w:b/>
          <w:noProof/>
          <w:sz w:val="22"/>
          <w:szCs w:val="22"/>
        </w:rPr>
        <w:t xml:space="preserve">facilitate the </w:t>
      </w:r>
      <w:r w:rsidR="2EDABD12" w:rsidRPr="00CF6D9C">
        <w:rPr>
          <w:rFonts w:eastAsia="Calibri" w:cs="Calibri"/>
          <w:b/>
          <w:noProof/>
          <w:sz w:val="22"/>
          <w:szCs w:val="22"/>
        </w:rPr>
        <w:t xml:space="preserve">adoption and integration </w:t>
      </w:r>
      <w:r w:rsidRPr="00CF6D9C">
        <w:rPr>
          <w:rFonts w:eastAsia="Calibri" w:cs="Calibri"/>
          <w:b/>
          <w:noProof/>
          <w:sz w:val="22"/>
          <w:szCs w:val="22"/>
        </w:rPr>
        <w:t>of AI in healthcare</w:t>
      </w:r>
      <w:r w:rsidR="00910C21">
        <w:rPr>
          <w:rFonts w:eastAsia="Calibri" w:cs="Calibri"/>
          <w:b/>
          <w:bCs/>
          <w:noProof/>
          <w:sz w:val="22"/>
          <w:szCs w:val="22"/>
        </w:rPr>
        <w:t xml:space="preserve"> are needed</w:t>
      </w:r>
      <w:r w:rsidRPr="00CF6D9C">
        <w:rPr>
          <w:rFonts w:eastAsia="Calibri" w:cs="Calibri"/>
          <w:b/>
          <w:bCs/>
          <w:noProof/>
          <w:sz w:val="22"/>
          <w:szCs w:val="22"/>
        </w:rPr>
        <w:t>.</w:t>
      </w:r>
      <w:r w:rsidR="6261A96A" w:rsidRPr="00417E18">
        <w:rPr>
          <w:rFonts w:eastAsia="Calibri" w:cs="Calibri"/>
          <w:noProof/>
          <w:sz w:val="22"/>
          <w:szCs w:val="22"/>
        </w:rPr>
        <w:t xml:space="preserve"> This involves </w:t>
      </w:r>
      <w:r w:rsidR="4AF3E669" w:rsidRPr="00417E18">
        <w:rPr>
          <w:rFonts w:eastAsia="Calibri" w:cs="Calibri"/>
          <w:noProof/>
          <w:sz w:val="22"/>
          <w:szCs w:val="22"/>
        </w:rPr>
        <w:t xml:space="preserve">leveraging the EHDS and </w:t>
      </w:r>
      <w:r w:rsidR="6261A96A" w:rsidRPr="00417E18">
        <w:rPr>
          <w:rFonts w:eastAsia="Calibri" w:cs="Calibri"/>
          <w:noProof/>
          <w:sz w:val="22"/>
          <w:szCs w:val="22"/>
        </w:rPr>
        <w:t>secure federated health data infrastructures to ensure safe storage, processing, and analysis of health data</w:t>
      </w:r>
      <w:r w:rsidR="17F5CEE9" w:rsidRPr="00417E18">
        <w:rPr>
          <w:rFonts w:eastAsia="Calibri" w:cs="Calibri"/>
          <w:noProof/>
          <w:sz w:val="22"/>
          <w:szCs w:val="22"/>
        </w:rPr>
        <w:t>,</w:t>
      </w:r>
      <w:r w:rsidR="6261A96A" w:rsidRPr="00417E18">
        <w:rPr>
          <w:rFonts w:eastAsia="Calibri" w:cs="Calibri"/>
          <w:noProof/>
          <w:sz w:val="22"/>
          <w:szCs w:val="22"/>
        </w:rPr>
        <w:t xml:space="preserve"> </w:t>
      </w:r>
      <w:r w:rsidR="2BBCA14B" w:rsidRPr="00417E18">
        <w:rPr>
          <w:rFonts w:eastAsia="Calibri" w:cs="Calibri"/>
          <w:noProof/>
          <w:sz w:val="22"/>
          <w:szCs w:val="22"/>
        </w:rPr>
        <w:t xml:space="preserve">as well as </w:t>
      </w:r>
      <w:r w:rsidR="6261A96A" w:rsidRPr="00417E18">
        <w:rPr>
          <w:rFonts w:eastAsia="Calibri" w:cs="Calibri"/>
          <w:noProof/>
          <w:sz w:val="22"/>
          <w:szCs w:val="22"/>
        </w:rPr>
        <w:t>enhancing the digital skills and readiness of healthcare professionals</w:t>
      </w:r>
      <w:r w:rsidR="14FE17DF" w:rsidRPr="00417E18">
        <w:rPr>
          <w:rFonts w:eastAsia="Calibri" w:cs="Calibri"/>
          <w:noProof/>
          <w:sz w:val="22"/>
          <w:szCs w:val="22"/>
        </w:rPr>
        <w:t>.</w:t>
      </w:r>
    </w:p>
    <w:tbl>
      <w:tblPr>
        <w:tblStyle w:val="TableGrid"/>
        <w:tblW w:w="0" w:type="auto"/>
        <w:tblLook w:val="06A0" w:firstRow="1" w:lastRow="0" w:firstColumn="1" w:lastColumn="0" w:noHBand="1" w:noVBand="1"/>
      </w:tblPr>
      <w:tblGrid>
        <w:gridCol w:w="9350"/>
      </w:tblGrid>
      <w:tr w:rsidR="23EFFDF5" w:rsidRPr="00417E18" w14:paraId="2F078692" w14:textId="77777777" w:rsidTr="698D0C64">
        <w:trPr>
          <w:trHeight w:val="300"/>
        </w:trPr>
        <w:tc>
          <w:tcPr>
            <w:tcW w:w="9360" w:type="dxa"/>
            <w:shd w:val="clear" w:color="auto" w:fill="D4F1EE"/>
          </w:tcPr>
          <w:p w14:paraId="5D03C192" w14:textId="00052CDF" w:rsidR="32414DC4" w:rsidRPr="00417E18" w:rsidRDefault="32414DC4" w:rsidP="23EFFDF5">
            <w:pPr>
              <w:rPr>
                <w:rFonts w:eastAsia="Calibri" w:cs="Calibri"/>
                <w:b/>
                <w:noProof/>
                <w:color w:val="000000" w:themeColor="text1"/>
              </w:rPr>
            </w:pPr>
            <w:r w:rsidRPr="00417E18">
              <w:rPr>
                <w:rFonts w:eastAsia="Calibri" w:cs="Calibri"/>
                <w:b/>
                <w:noProof/>
                <w:color w:val="000000" w:themeColor="text1"/>
              </w:rPr>
              <w:t xml:space="preserve">Recommendation: </w:t>
            </w:r>
          </w:p>
          <w:p w14:paraId="58FD5942" w14:textId="446E8172" w:rsidR="23EFFDF5" w:rsidRPr="00417E18" w:rsidRDefault="0E3DCDD5" w:rsidP="00E04347">
            <w:pPr>
              <w:spacing w:before="60" w:after="120"/>
              <w:rPr>
                <w:rFonts w:eastAsia="Calibri" w:cs="Calibri"/>
                <w:noProof/>
              </w:rPr>
            </w:pPr>
            <w:r w:rsidRPr="00417E18">
              <w:rPr>
                <w:rFonts w:eastAsia="Calibri" w:cs="Calibri"/>
                <w:noProof/>
              </w:rPr>
              <w:t>Member States should continue to cooperate and invest in the digitalisation of healthcare systems to strengthen the EU's competitiveness and strategic sovereignty while improving health outcomes for citizens, by:</w:t>
            </w:r>
          </w:p>
          <w:p w14:paraId="7BA1AB71" w14:textId="2C8283A8" w:rsidR="23EFFDF5" w:rsidRPr="00417E18" w:rsidRDefault="0E3DCDD5" w:rsidP="00F36E2D">
            <w:pPr>
              <w:pStyle w:val="ListParagraph"/>
              <w:numPr>
                <w:ilvl w:val="0"/>
                <w:numId w:val="23"/>
              </w:numPr>
              <w:spacing w:before="60" w:after="120"/>
              <w:contextualSpacing w:val="0"/>
              <w:rPr>
                <w:rFonts w:eastAsia="Calibri" w:cs="Calibri"/>
                <w:noProof/>
              </w:rPr>
            </w:pPr>
            <w:r w:rsidRPr="00417E18">
              <w:rPr>
                <w:rFonts w:eastAsia="Calibri" w:cs="Calibri"/>
                <w:noProof/>
              </w:rPr>
              <w:t>establishing the necessary public services and health information systems to enable universal citizen access to their electronic health records and to facilitate secure access to health data for secondary use, in line with the EHDS Regulation;</w:t>
            </w:r>
          </w:p>
          <w:p w14:paraId="7BF10EEC" w14:textId="40A1DF63" w:rsidR="23EFFDF5" w:rsidRPr="00417E18" w:rsidRDefault="0E3DCDD5" w:rsidP="00F36E2D">
            <w:pPr>
              <w:pStyle w:val="ListParagraph"/>
              <w:numPr>
                <w:ilvl w:val="0"/>
                <w:numId w:val="23"/>
              </w:numPr>
              <w:spacing w:before="60" w:after="120"/>
              <w:contextualSpacing w:val="0"/>
              <w:rPr>
                <w:rFonts w:eastAsia="Calibri" w:cs="Calibri"/>
                <w:noProof/>
              </w:rPr>
            </w:pPr>
            <w:r w:rsidRPr="00417E18">
              <w:rPr>
                <w:rFonts w:eastAsia="Calibri" w:cs="Calibri"/>
                <w:noProof/>
              </w:rPr>
              <w:t>advancing the development and deployment of safe, trustworthy AI in healthcare by developing and implementing national strategies and roadmaps with monitoring frameworks;</w:t>
            </w:r>
          </w:p>
          <w:p w14:paraId="4877B932" w14:textId="7F8CD443" w:rsidR="23EFFDF5" w:rsidRPr="00417E18" w:rsidRDefault="0E3DCDD5" w:rsidP="00F36E2D">
            <w:pPr>
              <w:pStyle w:val="ListParagraph"/>
              <w:numPr>
                <w:ilvl w:val="0"/>
                <w:numId w:val="23"/>
              </w:numPr>
              <w:spacing w:before="60" w:after="120"/>
              <w:contextualSpacing w:val="0"/>
              <w:rPr>
                <w:rFonts w:eastAsia="Calibri" w:cs="Calibri"/>
                <w:noProof/>
              </w:rPr>
            </w:pPr>
            <w:r w:rsidRPr="00417E18">
              <w:rPr>
                <w:rFonts w:eastAsia="Calibri" w:cs="Calibri"/>
                <w:noProof/>
              </w:rPr>
              <w:t>accelerating cooperation on European health data infrastructures through EDICs and supporting the participation of healthcare organisations in the activities of the Apply AI Strategy's Network of AI-powered Advanced Medical Centres</w:t>
            </w:r>
            <w:r w:rsidR="00CC007C">
              <w:rPr>
                <w:rFonts w:eastAsia="Calibri" w:cs="Calibri"/>
                <w:noProof/>
              </w:rPr>
              <w:t>.</w:t>
            </w:r>
          </w:p>
        </w:tc>
      </w:tr>
    </w:tbl>
    <w:p w14:paraId="01FDEDBB" w14:textId="3F72E65C" w:rsidR="008B4666" w:rsidRPr="00417E18" w:rsidRDefault="008B4666" w:rsidP="16FBFCDA">
      <w:pPr>
        <w:pStyle w:val="ListParagraph"/>
        <w:spacing w:before="0" w:after="160"/>
        <w:contextualSpacing w:val="0"/>
        <w:rPr>
          <w:noProof/>
          <w:sz w:val="22"/>
          <w:szCs w:val="22"/>
        </w:rPr>
      </w:pPr>
      <w:r w:rsidRPr="00417E18">
        <w:rPr>
          <w:noProof/>
          <w:sz w:val="22"/>
          <w:szCs w:val="22"/>
        </w:rPr>
        <w:br w:type="page"/>
      </w:r>
    </w:p>
    <w:p w14:paraId="2BA1743F" w14:textId="4F6B2304" w:rsidR="003A53C2" w:rsidRPr="00417E18" w:rsidRDefault="4DB62358" w:rsidP="00E11929">
      <w:pPr>
        <w:pStyle w:val="Heading2"/>
        <w:numPr>
          <w:ilvl w:val="1"/>
          <w:numId w:val="40"/>
        </w:numPr>
        <w:rPr>
          <w:noProof/>
        </w:rPr>
      </w:pPr>
      <w:bookmarkStart w:id="119" w:name="_Toc226710916"/>
      <w:bookmarkStart w:id="120" w:name="_Toc1655240907"/>
      <w:bookmarkStart w:id="121" w:name="_Toc1388149227"/>
      <w:bookmarkStart w:id="122" w:name="_Toc231830071"/>
      <w:r w:rsidRPr="00417E18">
        <w:rPr>
          <w:noProof/>
        </w:rPr>
        <w:t>Digital for decarbonisation and sustainable tech</w:t>
      </w:r>
      <w:bookmarkEnd w:id="119"/>
      <w:bookmarkEnd w:id="120"/>
      <w:bookmarkEnd w:id="121"/>
      <w:r w:rsidR="00D74C39">
        <w:rPr>
          <w:noProof/>
        </w:rPr>
        <w:t>nologies</w:t>
      </w:r>
      <w:bookmarkEnd w:id="122"/>
    </w:p>
    <w:p w14:paraId="40C4F54D" w14:textId="5C82538C" w:rsidR="331E198E" w:rsidRPr="00417E18" w:rsidRDefault="7F75AAB8" w:rsidP="331E198E">
      <w:pPr>
        <w:spacing w:after="120"/>
        <w:rPr>
          <w:rFonts w:cs="Calibri"/>
          <w:noProof/>
          <w:sz w:val="22"/>
          <w:szCs w:val="22"/>
        </w:rPr>
      </w:pPr>
      <w:r w:rsidRPr="00417E18">
        <w:rPr>
          <w:rFonts w:eastAsia="Calibri" w:cs="Calibri"/>
          <w:noProof/>
          <w:sz w:val="22"/>
          <w:szCs w:val="22"/>
        </w:rPr>
        <w:t>Digitalisation can help decarbonise and make Europe’s economy more resource efficient, but these benefits are not automatic. They depend on whether digital solutions deliver a measurable net positive impact and whether the expansion of digital infrastructures remains compatible with energy, water and material constraints. This section therefore looks at both sides of the equation: digital for sustainability, and the sustainability of digital itself.</w:t>
      </w:r>
      <w:r w:rsidR="28653AB0" w:rsidRPr="00417E18">
        <w:rPr>
          <w:rFonts w:eastAsia="Calibri" w:cs="Calibri"/>
          <w:noProof/>
          <w:sz w:val="22"/>
          <w:szCs w:val="22"/>
        </w:rPr>
        <w:t xml:space="preserve"> </w:t>
      </w:r>
      <w:r w:rsidR="2F4A57C1" w:rsidRPr="00417E18">
        <w:rPr>
          <w:rFonts w:cs="Calibri"/>
          <w:noProof/>
          <w:sz w:val="22"/>
          <w:szCs w:val="22"/>
        </w:rPr>
        <w:t>When citizens were asked about the synergies between digital and green transitions in the Digital Decade Eurobarometer 2026, 50% of them positioned the green digital technologies (e.g. energy-saving tech) between the technologies that will have the most positive impact on their daily life in the next 10 years. In addition, 78% of respondents think AI should be developed as a priority in an environmentally sustainable way (e.g. using renewable and clean energy).</w:t>
      </w:r>
    </w:p>
    <w:p w14:paraId="1F770173" w14:textId="2A1258DC" w:rsidR="00E0735B" w:rsidRPr="00E0735B" w:rsidRDefault="132958E6" w:rsidP="00E0735B">
      <w:pPr>
        <w:rPr>
          <w:rFonts w:eastAsia="Aptos" w:cs="Calibri"/>
          <w:noProof/>
          <w:color w:val="000000" w:themeColor="text1"/>
          <w:sz w:val="22"/>
          <w:szCs w:val="22"/>
        </w:rPr>
      </w:pPr>
      <w:r w:rsidRPr="1F6B507D">
        <w:rPr>
          <w:rFonts w:eastAsia="Aptos" w:cs="Calibri"/>
          <w:noProof/>
          <w:color w:val="000000" w:themeColor="text1"/>
          <w:sz w:val="22"/>
          <w:szCs w:val="22"/>
        </w:rPr>
        <w:t xml:space="preserve">The revised Digital Decade National Roadmaps include </w:t>
      </w:r>
      <w:r w:rsidR="12052F1B" w:rsidRPr="1F6B507D">
        <w:rPr>
          <w:rFonts w:eastAsia="Aptos" w:cs="Calibri"/>
          <w:noProof/>
          <w:color w:val="000000" w:themeColor="text1"/>
          <w:sz w:val="22"/>
          <w:szCs w:val="22"/>
        </w:rPr>
        <w:t>62</w:t>
      </w:r>
      <w:r w:rsidRPr="1F6B507D">
        <w:rPr>
          <w:rFonts w:eastAsia="Aptos" w:cs="Calibri"/>
          <w:noProof/>
          <w:color w:val="000000" w:themeColor="text1"/>
          <w:sz w:val="22"/>
          <w:szCs w:val="22"/>
        </w:rPr>
        <w:t xml:space="preserve"> measures from 18 Member States contributing simultaneously to the Digital Decade’s green and digital objectives. Of these 59 measures, 37 are specifically designed to simultaneously address those green and digital objectives, with a total investment of EUR 222.2 million.</w:t>
      </w:r>
    </w:p>
    <w:p w14:paraId="3EE192DD" w14:textId="1CE7BE60" w:rsidR="15430431" w:rsidRPr="007426B2" w:rsidRDefault="4FD75CD1" w:rsidP="00E11929">
      <w:pPr>
        <w:pStyle w:val="Heading3"/>
        <w:numPr>
          <w:ilvl w:val="2"/>
          <w:numId w:val="40"/>
        </w:numPr>
        <w:rPr>
          <w:noProof/>
          <w:sz w:val="24"/>
          <w:szCs w:val="24"/>
        </w:rPr>
      </w:pPr>
      <w:bookmarkStart w:id="123" w:name="_Toc231830072"/>
      <w:r w:rsidRPr="00F9322D">
        <w:rPr>
          <w:rStyle w:val="Heading3Char"/>
          <w:noProof/>
        </w:rPr>
        <w:t>Sustainable digitalisation for competitiveness, resilience and net positive</w:t>
      </w:r>
      <w:r w:rsidRPr="007426B2">
        <w:rPr>
          <w:noProof/>
          <w:sz w:val="24"/>
          <w:szCs w:val="24"/>
        </w:rPr>
        <w:t xml:space="preserve"> impacts</w:t>
      </w:r>
      <w:bookmarkEnd w:id="123"/>
      <w:r w:rsidRPr="007426B2">
        <w:rPr>
          <w:noProof/>
          <w:sz w:val="24"/>
          <w:szCs w:val="24"/>
        </w:rPr>
        <w:t xml:space="preserve"> </w:t>
      </w:r>
    </w:p>
    <w:p w14:paraId="37D81F8B" w14:textId="7AADB99A" w:rsidR="15430431" w:rsidRPr="00417E18" w:rsidRDefault="49D750DF" w:rsidP="7BBBE22F">
      <w:pPr>
        <w:spacing w:after="120"/>
        <w:rPr>
          <w:rFonts w:eastAsia="Aptos" w:cs="Calibri"/>
          <w:noProof/>
          <w:color w:val="000000" w:themeColor="text1"/>
          <w:sz w:val="22"/>
          <w:szCs w:val="22"/>
        </w:rPr>
      </w:pPr>
      <w:r w:rsidRPr="00417E18">
        <w:rPr>
          <w:rFonts w:eastAsia="Calibri" w:cs="Calibri"/>
          <w:noProof/>
          <w:sz w:val="22"/>
          <w:szCs w:val="22"/>
        </w:rPr>
        <w:t xml:space="preserve">Sustainability is no longer only an environmental objective. It is increasingly a driver of industrial growth, competitiveness, innovation and resilience. </w:t>
      </w:r>
      <w:r w:rsidR="4BB615C4" w:rsidRPr="00417E18">
        <w:rPr>
          <w:rFonts w:eastAsia="Aptos" w:cs="Calibri"/>
          <w:noProof/>
          <w:color w:val="000000" w:themeColor="text1"/>
          <w:sz w:val="22"/>
          <w:szCs w:val="22"/>
        </w:rPr>
        <w:t>However, digital contribution to climate neutrality and circular economy (clean industry) is not automatic. It depends on achieving a measurable net positive climate impact and realising its potential in enabling circular, profitable and future proof business models.</w:t>
      </w:r>
    </w:p>
    <w:p w14:paraId="6B0955FA" w14:textId="24574C19" w:rsidR="15430431" w:rsidRPr="00417E18" w:rsidRDefault="55262924" w:rsidP="5234B031">
      <w:pPr>
        <w:rPr>
          <w:rFonts w:eastAsia="Aptos" w:cs="Calibri"/>
          <w:noProof/>
          <w:color w:val="000000" w:themeColor="text1"/>
          <w:sz w:val="22"/>
          <w:szCs w:val="22"/>
          <w:highlight w:val="yellow"/>
        </w:rPr>
      </w:pPr>
      <w:r w:rsidRPr="00417E18">
        <w:rPr>
          <w:rFonts w:eastAsia="Aptos" w:cs="Calibri"/>
          <w:noProof/>
          <w:color w:val="000000" w:themeColor="text1"/>
          <w:sz w:val="22"/>
          <w:szCs w:val="22"/>
        </w:rPr>
        <w:t xml:space="preserve"> </w:t>
      </w:r>
      <w:r w:rsidR="7F56B668" w:rsidRPr="00417E18">
        <w:rPr>
          <w:rFonts w:eastAsia="Aptos" w:cs="Calibri"/>
          <w:b/>
          <w:bCs/>
          <w:noProof/>
          <w:color w:val="000000" w:themeColor="text1"/>
          <w:sz w:val="22"/>
          <w:szCs w:val="22"/>
        </w:rPr>
        <w:t>A fundamental issue to ensuring such net positive impacts is the pacing problem</w:t>
      </w:r>
      <w:r w:rsidR="7F56B668" w:rsidRPr="00417E18">
        <w:rPr>
          <w:rFonts w:eastAsia="Aptos" w:cs="Calibri"/>
          <w:noProof/>
          <w:color w:val="000000" w:themeColor="text1"/>
          <w:sz w:val="22"/>
          <w:szCs w:val="22"/>
        </w:rPr>
        <w:t xml:space="preserve">: </w:t>
      </w:r>
      <w:r w:rsidR="005A51C2">
        <w:rPr>
          <w:rFonts w:eastAsia="Aptos" w:cs="Calibri"/>
          <w:noProof/>
          <w:color w:val="000000" w:themeColor="text1"/>
          <w:sz w:val="22"/>
          <w:szCs w:val="22"/>
        </w:rPr>
        <w:t>t</w:t>
      </w:r>
      <w:r w:rsidR="7F56B668" w:rsidRPr="00417E18">
        <w:rPr>
          <w:rFonts w:eastAsia="Aptos" w:cs="Calibri"/>
          <w:noProof/>
          <w:color w:val="000000" w:themeColor="text1"/>
          <w:sz w:val="22"/>
          <w:szCs w:val="22"/>
        </w:rPr>
        <w:t>he speed of technological change in digital markets, particularly AI and compute infrastructures, often exceeds the speed of policy, permitting and reporting systems. This creates a growing need for faster monitoring, comparable sustainability metrics, and earlier coordination between digital, energy and environmental authorities.</w:t>
      </w:r>
    </w:p>
    <w:p w14:paraId="556B9950" w14:textId="37351E00" w:rsidR="15430431" w:rsidRPr="00417E18" w:rsidRDefault="4BB615C4" w:rsidP="5234B031">
      <w:pPr>
        <w:rPr>
          <w:rFonts w:eastAsia="Aptos" w:cs="Calibri"/>
          <w:noProof/>
          <w:color w:val="000000" w:themeColor="text1"/>
          <w:sz w:val="22"/>
          <w:szCs w:val="22"/>
        </w:rPr>
      </w:pPr>
      <w:r w:rsidRPr="00417E18">
        <w:rPr>
          <w:rFonts w:eastAsia="Aptos" w:cs="Calibri"/>
          <w:b/>
          <w:noProof/>
          <w:color w:val="000000" w:themeColor="text1"/>
          <w:sz w:val="22"/>
          <w:szCs w:val="22"/>
        </w:rPr>
        <w:t xml:space="preserve">The convergence of digital and green strategies </w:t>
      </w:r>
      <w:r w:rsidR="004966CB">
        <w:rPr>
          <w:rFonts w:eastAsia="Aptos" w:cs="Calibri"/>
          <w:b/>
          <w:noProof/>
          <w:color w:val="000000" w:themeColor="text1"/>
          <w:sz w:val="22"/>
          <w:szCs w:val="22"/>
        </w:rPr>
        <w:t>can strengthen</w:t>
      </w:r>
      <w:r w:rsidR="004966CB" w:rsidRPr="00417E18">
        <w:rPr>
          <w:rFonts w:eastAsia="Aptos" w:cs="Calibri"/>
          <w:b/>
          <w:noProof/>
          <w:color w:val="000000" w:themeColor="text1"/>
          <w:sz w:val="22"/>
          <w:szCs w:val="22"/>
        </w:rPr>
        <w:t xml:space="preserve"> </w:t>
      </w:r>
      <w:r w:rsidR="5C0D992F" w:rsidRPr="199DCED6">
        <w:rPr>
          <w:rFonts w:eastAsia="Aptos" w:cs="Calibri"/>
          <w:b/>
          <w:bCs/>
          <w:noProof/>
          <w:color w:val="000000" w:themeColor="text1"/>
          <w:sz w:val="22"/>
          <w:szCs w:val="22"/>
        </w:rPr>
        <w:t xml:space="preserve">the </w:t>
      </w:r>
      <w:r w:rsidR="5C0D992F" w:rsidRPr="41DDC5D9">
        <w:rPr>
          <w:rFonts w:eastAsia="Aptos" w:cs="Calibri"/>
          <w:b/>
          <w:bCs/>
          <w:noProof/>
          <w:color w:val="000000" w:themeColor="text1"/>
          <w:sz w:val="22"/>
          <w:szCs w:val="22"/>
        </w:rPr>
        <w:t>EU</w:t>
      </w:r>
      <w:r w:rsidRPr="41DDC5D9">
        <w:rPr>
          <w:rFonts w:eastAsia="Aptos" w:cs="Calibri"/>
          <w:b/>
          <w:bCs/>
          <w:noProof/>
          <w:color w:val="000000" w:themeColor="text1"/>
          <w:sz w:val="22"/>
          <w:szCs w:val="22"/>
        </w:rPr>
        <w:t>’s</w:t>
      </w:r>
      <w:r w:rsidRPr="00417E18">
        <w:rPr>
          <w:rFonts w:eastAsia="Aptos" w:cs="Calibri"/>
          <w:b/>
          <w:noProof/>
          <w:color w:val="000000" w:themeColor="text1"/>
          <w:sz w:val="22"/>
          <w:szCs w:val="22"/>
        </w:rPr>
        <w:t xml:space="preserve"> competitiveness, sovereignty and resilience while contributing to achieving climate goals.</w:t>
      </w:r>
      <w:r w:rsidRPr="00417E18">
        <w:rPr>
          <w:rFonts w:eastAsia="Aptos" w:cs="Calibri"/>
          <w:noProof/>
          <w:color w:val="000000" w:themeColor="text1"/>
          <w:sz w:val="22"/>
          <w:szCs w:val="22"/>
        </w:rPr>
        <w:t xml:space="preserve"> Enabling smart technologies and making digital infrastructure more environmentally friendly reduces operational costs and encourages consumer adoption. </w:t>
      </w:r>
      <w:r w:rsidR="7E4C25D6" w:rsidRPr="00417E18">
        <w:rPr>
          <w:rFonts w:eastAsia="Calibri" w:cs="Calibri"/>
          <w:noProof/>
          <w:sz w:val="22"/>
          <w:szCs w:val="22"/>
        </w:rPr>
        <w:t>GreenTech development will depend heavily on digital capabilities such as connectivity, AI infrastructure, cloud-edge systems, semiconductors, interoperable data systems and circular digital hardware</w:t>
      </w:r>
      <w:r w:rsidR="00FF30F7">
        <w:rPr>
          <w:rStyle w:val="FootnoteReference"/>
          <w:rFonts w:eastAsia="Aptos" w:cs="Calibri"/>
          <w:noProof/>
          <w:sz w:val="22"/>
          <w:szCs w:val="22"/>
        </w:rPr>
        <w:footnoteReference w:id="84"/>
      </w:r>
      <w:r w:rsidR="7E4C25D6" w:rsidRPr="00417E18">
        <w:rPr>
          <w:rFonts w:eastAsia="Calibri" w:cs="Calibri"/>
          <w:noProof/>
          <w:sz w:val="22"/>
          <w:szCs w:val="22"/>
        </w:rPr>
        <w:t>.</w:t>
      </w:r>
      <w:r w:rsidR="68BFF834" w:rsidRPr="41DDC5D9">
        <w:rPr>
          <w:rFonts w:eastAsia="Calibri" w:cs="Calibri"/>
          <w:noProof/>
          <w:sz w:val="22"/>
          <w:szCs w:val="22"/>
        </w:rPr>
        <w:t xml:space="preserve"> </w:t>
      </w:r>
      <w:r w:rsidR="72001712" w:rsidRPr="41DDC5D9">
        <w:rPr>
          <w:rFonts w:eastAsia="Calibri" w:cs="Calibri"/>
          <w:noProof/>
          <w:sz w:val="22"/>
          <w:szCs w:val="22"/>
        </w:rPr>
        <w:t>T</w:t>
      </w:r>
      <w:r w:rsidR="154B8BD4" w:rsidRPr="41DDC5D9">
        <w:rPr>
          <w:rFonts w:eastAsia="Calibri" w:cs="Calibri"/>
          <w:noProof/>
          <w:sz w:val="22"/>
          <w:szCs w:val="22"/>
        </w:rPr>
        <w:t>he</w:t>
      </w:r>
      <w:r w:rsidR="68BFF834" w:rsidRPr="00417E18">
        <w:rPr>
          <w:rFonts w:eastAsia="Calibri" w:cs="Calibri"/>
          <w:noProof/>
          <w:sz w:val="22"/>
          <w:szCs w:val="22"/>
        </w:rPr>
        <w:t xml:space="preserve"> digital layer enabling this transformation </w:t>
      </w:r>
      <w:r w:rsidR="4F2903B8" w:rsidRPr="0FD3384E">
        <w:rPr>
          <w:rFonts w:eastAsia="Calibri" w:cs="Calibri"/>
          <w:noProof/>
          <w:sz w:val="22"/>
          <w:szCs w:val="22"/>
        </w:rPr>
        <w:t xml:space="preserve">needs to </w:t>
      </w:r>
      <w:r w:rsidR="4F2903B8" w:rsidRPr="41DDC5D9">
        <w:rPr>
          <w:rFonts w:eastAsia="Calibri" w:cs="Calibri"/>
          <w:noProof/>
          <w:sz w:val="22"/>
          <w:szCs w:val="22"/>
        </w:rPr>
        <w:t>be</w:t>
      </w:r>
      <w:r w:rsidR="68BFF834" w:rsidRPr="00417E18">
        <w:rPr>
          <w:rFonts w:eastAsia="Calibri" w:cs="Calibri"/>
          <w:noProof/>
          <w:sz w:val="22"/>
          <w:szCs w:val="22"/>
        </w:rPr>
        <w:t xml:space="preserve"> built, scaled and anchored in </w:t>
      </w:r>
      <w:r w:rsidR="486FA656" w:rsidRPr="41DDC5D9">
        <w:rPr>
          <w:rFonts w:eastAsia="Calibri" w:cs="Calibri"/>
          <w:noProof/>
          <w:sz w:val="22"/>
          <w:szCs w:val="22"/>
        </w:rPr>
        <w:t>the EU</w:t>
      </w:r>
      <w:r w:rsidR="005E1A7D">
        <w:rPr>
          <w:rFonts w:eastAsia="Calibri" w:cs="Calibri"/>
          <w:noProof/>
          <w:sz w:val="22"/>
          <w:szCs w:val="22"/>
        </w:rPr>
        <w:t>, with the potential to o</w:t>
      </w:r>
      <w:r w:rsidRPr="00417E18">
        <w:rPr>
          <w:rFonts w:eastAsia="Aptos" w:cs="Calibri"/>
          <w:noProof/>
          <w:color w:val="000000" w:themeColor="text1"/>
          <w:sz w:val="22"/>
          <w:szCs w:val="22"/>
        </w:rPr>
        <w:t>ptimise supply chains and creates profitable, circular business models. All these factors contribute to decarbonisation and strengthen Europe’s position in the green technology sector.</w:t>
      </w:r>
    </w:p>
    <w:p w14:paraId="1766043E" w14:textId="4AAED1DC" w:rsidR="15430431" w:rsidRPr="00417E18" w:rsidRDefault="4BB615C4" w:rsidP="5234B031">
      <w:pPr>
        <w:rPr>
          <w:rFonts w:eastAsia="Aptos" w:cs="Calibri"/>
          <w:noProof/>
          <w:color w:val="000000" w:themeColor="text1"/>
          <w:sz w:val="22"/>
          <w:szCs w:val="22"/>
          <w:highlight w:val="yellow"/>
        </w:rPr>
      </w:pPr>
      <w:r w:rsidRPr="00417E18">
        <w:rPr>
          <w:rFonts w:eastAsia="Aptos" w:cs="Calibri"/>
          <w:b/>
          <w:bCs/>
          <w:noProof/>
          <w:color w:val="000000" w:themeColor="text1"/>
          <w:sz w:val="22"/>
          <w:szCs w:val="22"/>
        </w:rPr>
        <w:t>The digital sector’s “hidden” material footprint remains a primary threat to European strategic autonomy.</w:t>
      </w:r>
      <w:r w:rsidRPr="00417E18">
        <w:rPr>
          <w:rFonts w:eastAsia="Aptos" w:cs="Calibri"/>
          <w:noProof/>
          <w:color w:val="000000" w:themeColor="text1"/>
          <w:sz w:val="22"/>
          <w:szCs w:val="22"/>
        </w:rPr>
        <w:t xml:space="preserve"> </w:t>
      </w:r>
      <w:r w:rsidR="0B5D62BE" w:rsidRPr="00417E18">
        <w:rPr>
          <w:rFonts w:eastAsia="Aptos" w:cs="Calibri"/>
          <w:noProof/>
          <w:color w:val="000000" w:themeColor="text1"/>
          <w:sz w:val="22"/>
          <w:szCs w:val="22"/>
        </w:rPr>
        <w:t xml:space="preserve">The production of digital devices relies on significant volumes of raw materials, </w:t>
      </w:r>
      <w:r w:rsidR="3FFD014C" w:rsidRPr="199DCED6">
        <w:rPr>
          <w:rFonts w:eastAsia="Aptos" w:cs="Calibri"/>
          <w:noProof/>
          <w:color w:val="000000" w:themeColor="text1"/>
          <w:sz w:val="22"/>
          <w:szCs w:val="22"/>
        </w:rPr>
        <w:t>many of them not found in the EU</w:t>
      </w:r>
      <w:r w:rsidR="0B5D62BE" w:rsidRPr="199DCED6">
        <w:rPr>
          <w:rFonts w:eastAsia="Aptos" w:cs="Calibri"/>
          <w:noProof/>
          <w:color w:val="000000" w:themeColor="text1"/>
          <w:sz w:val="22"/>
          <w:szCs w:val="22"/>
        </w:rPr>
        <w:t xml:space="preserve">, </w:t>
      </w:r>
      <w:r w:rsidR="0B5D62BE" w:rsidRPr="00417E18">
        <w:rPr>
          <w:rFonts w:eastAsia="Aptos" w:cs="Calibri"/>
          <w:noProof/>
          <w:color w:val="000000" w:themeColor="text1"/>
          <w:sz w:val="22"/>
          <w:szCs w:val="22"/>
        </w:rPr>
        <w:t xml:space="preserve">energy, water and complex global supply chains, increasing </w:t>
      </w:r>
      <w:r w:rsidR="60E2A392" w:rsidRPr="199DCED6">
        <w:rPr>
          <w:rFonts w:eastAsia="Aptos" w:cs="Calibri"/>
          <w:noProof/>
          <w:color w:val="000000" w:themeColor="text1"/>
          <w:sz w:val="22"/>
          <w:szCs w:val="22"/>
        </w:rPr>
        <w:t xml:space="preserve">the </w:t>
      </w:r>
      <w:r w:rsidR="60E2A392" w:rsidRPr="6200255F">
        <w:rPr>
          <w:rFonts w:eastAsia="Aptos" w:cs="Calibri"/>
          <w:noProof/>
          <w:color w:val="000000" w:themeColor="text1"/>
          <w:sz w:val="22"/>
          <w:szCs w:val="22"/>
        </w:rPr>
        <w:t>EU</w:t>
      </w:r>
      <w:r w:rsidR="0B5D62BE" w:rsidRPr="6200255F">
        <w:rPr>
          <w:rFonts w:eastAsia="Aptos" w:cs="Calibri"/>
          <w:noProof/>
          <w:color w:val="000000" w:themeColor="text1"/>
          <w:sz w:val="22"/>
          <w:szCs w:val="22"/>
        </w:rPr>
        <w:t>’s</w:t>
      </w:r>
      <w:r w:rsidR="0B5D62BE" w:rsidRPr="00417E18">
        <w:rPr>
          <w:rFonts w:eastAsia="Aptos" w:cs="Calibri"/>
          <w:noProof/>
          <w:color w:val="000000" w:themeColor="text1"/>
          <w:sz w:val="22"/>
          <w:szCs w:val="22"/>
        </w:rPr>
        <w:t xml:space="preserve"> exposure to external dependencies and resource risks.</w:t>
      </w:r>
    </w:p>
    <w:p w14:paraId="33541AE5" w14:textId="10F31E47" w:rsidR="00775E9F" w:rsidRPr="00FF30F7" w:rsidRDefault="1B909B81">
      <w:pPr>
        <w:rPr>
          <w:rFonts w:eastAsia="Aptos" w:cs="Calibri"/>
          <w:noProof/>
          <w:sz w:val="22"/>
          <w:szCs w:val="22"/>
        </w:rPr>
      </w:pPr>
      <w:r w:rsidRPr="00417E18">
        <w:rPr>
          <w:rFonts w:eastAsia="Aptos" w:cs="Calibri"/>
          <w:b/>
          <w:noProof/>
          <w:color w:val="000000" w:themeColor="text1"/>
          <w:sz w:val="22"/>
          <w:szCs w:val="22"/>
        </w:rPr>
        <w:t>AI is increasingly acknowledged as a transformative force for the green transition.</w:t>
      </w:r>
      <w:r w:rsidRPr="00417E18">
        <w:rPr>
          <w:rFonts w:eastAsia="Aptos" w:cs="Calibri"/>
          <w:noProof/>
          <w:color w:val="000000" w:themeColor="text1"/>
          <w:sz w:val="22"/>
          <w:szCs w:val="22"/>
        </w:rPr>
        <w:t xml:space="preserve"> </w:t>
      </w:r>
      <w:r w:rsidR="1DA7D6FE" w:rsidRPr="00417E18">
        <w:rPr>
          <w:rFonts w:eastAsia="Aptos" w:cs="Calibri"/>
          <w:noProof/>
          <w:color w:val="000000" w:themeColor="text1"/>
          <w:sz w:val="22"/>
          <w:szCs w:val="22"/>
        </w:rPr>
        <w:t xml:space="preserve">It </w:t>
      </w:r>
      <w:r w:rsidR="1DA7D6FE" w:rsidRPr="00417E18">
        <w:rPr>
          <w:rFonts w:eastAsia="Calibri" w:cs="Calibri"/>
          <w:noProof/>
          <w:sz w:val="22"/>
          <w:szCs w:val="22"/>
        </w:rPr>
        <w:t>can serve as a key enabler of system intelligence, improving renewable forecasting, grid balancing and predictive maintenance, and enabling flexible demand that adjusts to variable solar and wind output.</w:t>
      </w:r>
      <w:r w:rsidR="1B9230A2" w:rsidRPr="00417E18">
        <w:rPr>
          <w:rFonts w:eastAsia="Calibri" w:cs="Calibri"/>
          <w:noProof/>
          <w:sz w:val="22"/>
          <w:szCs w:val="22"/>
        </w:rPr>
        <w:t xml:space="preserve"> AI-based fault detection can reduce outage </w:t>
      </w:r>
      <w:r w:rsidR="1B9230A2" w:rsidRPr="00FF30F7">
        <w:rPr>
          <w:rFonts w:eastAsia="Calibri" w:cs="Calibri"/>
          <w:noProof/>
          <w:sz w:val="22"/>
          <w:szCs w:val="22"/>
        </w:rPr>
        <w:t>durations by 30 to 50%, and remote sensors combined with AI-based management could unlock up to 175 GW of additional transmission capacity without any new lines being built, according to the IEA's Energy and AI report (2025)</w:t>
      </w:r>
      <w:r w:rsidRPr="00FF30F7">
        <w:rPr>
          <w:rFonts w:eastAsia="Aptos" w:cs="Calibri"/>
          <w:noProof/>
          <w:color w:val="000000" w:themeColor="text1"/>
          <w:sz w:val="22"/>
          <w:szCs w:val="22"/>
          <w:vertAlign w:val="superscript"/>
        </w:rPr>
        <w:footnoteReference w:id="85"/>
      </w:r>
      <w:r w:rsidR="00D017FA" w:rsidRPr="00FF30F7">
        <w:rPr>
          <w:rFonts w:eastAsia="Calibri" w:cs="Calibri"/>
          <w:noProof/>
          <w:sz w:val="22"/>
          <w:szCs w:val="22"/>
        </w:rPr>
        <w:t>.</w:t>
      </w:r>
      <w:r w:rsidR="7B8DE48D" w:rsidRPr="00FF30F7">
        <w:rPr>
          <w:rFonts w:eastAsia="Aptos" w:cs="Calibri"/>
          <w:noProof/>
          <w:color w:val="000000" w:themeColor="text1"/>
          <w:sz w:val="22"/>
          <w:szCs w:val="22"/>
          <w:vertAlign w:val="superscript"/>
        </w:rPr>
        <w:t xml:space="preserve"> </w:t>
      </w:r>
      <w:r w:rsidR="08F8D7F6" w:rsidRPr="00FF30F7">
        <w:rPr>
          <w:rFonts w:eastAsia="Aptos" w:cs="Calibri"/>
          <w:noProof/>
          <w:sz w:val="22"/>
          <w:szCs w:val="22"/>
        </w:rPr>
        <w:t>M</w:t>
      </w:r>
      <w:r w:rsidR="05E25E32" w:rsidRPr="00FF30F7">
        <w:rPr>
          <w:rFonts w:eastAsia="Aptos" w:cs="Calibri"/>
          <w:noProof/>
          <w:sz w:val="22"/>
          <w:szCs w:val="22"/>
        </w:rPr>
        <w:t>uch</w:t>
      </w:r>
      <w:r w:rsidR="1604792C" w:rsidRPr="00FF30F7">
        <w:rPr>
          <w:rFonts w:eastAsia="Aptos" w:cs="Calibri"/>
          <w:noProof/>
          <w:sz w:val="22"/>
          <w:szCs w:val="22"/>
        </w:rPr>
        <w:t xml:space="preserve"> of AI's environmental footprint is concentrated in a relatively small number of large, power-</w:t>
      </w:r>
      <w:r w:rsidR="715BD0CD" w:rsidRPr="00FF30F7">
        <w:rPr>
          <w:rFonts w:eastAsia="Aptos" w:cs="Calibri"/>
          <w:noProof/>
          <w:sz w:val="22"/>
          <w:szCs w:val="22"/>
        </w:rPr>
        <w:t>intensive</w:t>
      </w:r>
      <w:r w:rsidR="1604792C" w:rsidRPr="00FF30F7">
        <w:rPr>
          <w:rFonts w:eastAsia="Aptos" w:cs="Calibri"/>
          <w:noProof/>
          <w:sz w:val="22"/>
          <w:szCs w:val="22"/>
        </w:rPr>
        <w:t xml:space="preserve"> data centres, with a typical AI-focused facility consuming as much electricity as 100</w:t>
      </w:r>
      <w:r w:rsidR="007D20F5">
        <w:rPr>
          <w:rFonts w:eastAsia="Aptos" w:cs="Calibri"/>
          <w:noProof/>
          <w:sz w:val="22"/>
          <w:szCs w:val="22"/>
        </w:rPr>
        <w:t xml:space="preserve"> </w:t>
      </w:r>
      <w:r w:rsidR="1604792C" w:rsidRPr="00FF30F7">
        <w:rPr>
          <w:rFonts w:eastAsia="Aptos" w:cs="Calibri"/>
          <w:noProof/>
          <w:sz w:val="22"/>
          <w:szCs w:val="22"/>
        </w:rPr>
        <w:t>000 households</w:t>
      </w:r>
      <w:r w:rsidRPr="00FF30F7">
        <w:rPr>
          <w:rFonts w:eastAsia="Aptos" w:cs="Calibri"/>
          <w:noProof/>
          <w:sz w:val="22"/>
          <w:szCs w:val="22"/>
          <w:vertAlign w:val="superscript"/>
        </w:rPr>
        <w:footnoteReference w:id="86"/>
      </w:r>
      <w:r w:rsidR="007470D4" w:rsidRPr="00FF30F7">
        <w:rPr>
          <w:rFonts w:eastAsia="Aptos" w:cs="Calibri"/>
          <w:noProof/>
          <w:sz w:val="22"/>
          <w:szCs w:val="22"/>
        </w:rPr>
        <w:t>.</w:t>
      </w:r>
      <w:r w:rsidR="7E86AA47" w:rsidRPr="00FF30F7">
        <w:rPr>
          <w:rFonts w:eastAsia="Aptos" w:cs="Calibri"/>
          <w:noProof/>
          <w:sz w:val="22"/>
          <w:szCs w:val="22"/>
          <w:vertAlign w:val="superscript"/>
        </w:rPr>
        <w:t xml:space="preserve"> </w:t>
      </w:r>
      <w:r w:rsidR="1EFB5E10" w:rsidRPr="00FF30F7">
        <w:rPr>
          <w:rFonts w:eastAsia="Aptos" w:cs="Calibri"/>
          <w:noProof/>
          <w:sz w:val="22"/>
          <w:szCs w:val="22"/>
        </w:rPr>
        <w:t>This dual reality makes transparent monitoring and proportionate governance increasingly important</w:t>
      </w:r>
      <w:r w:rsidR="1558EACE" w:rsidRPr="00FF30F7">
        <w:rPr>
          <w:rFonts w:eastAsia="Aptos" w:cs="Calibri"/>
          <w:noProof/>
          <w:sz w:val="22"/>
          <w:szCs w:val="22"/>
        </w:rPr>
        <w:t>.</w:t>
      </w:r>
    </w:p>
    <w:p w14:paraId="0584B50E" w14:textId="66853CC6" w:rsidR="15430431" w:rsidRPr="00124DF3" w:rsidRDefault="4BB615C4" w:rsidP="00E11929">
      <w:pPr>
        <w:pStyle w:val="Heading3"/>
        <w:numPr>
          <w:ilvl w:val="2"/>
          <w:numId w:val="40"/>
        </w:numPr>
        <w:rPr>
          <w:noProof/>
        </w:rPr>
      </w:pPr>
      <w:bookmarkStart w:id="124" w:name="_Toc231830073"/>
      <w:r w:rsidRPr="00124DF3">
        <w:rPr>
          <w:noProof/>
        </w:rPr>
        <w:t>Rising environmental concerns: electricity, water and material demand for digital transition</w:t>
      </w:r>
      <w:bookmarkEnd w:id="124"/>
    </w:p>
    <w:p w14:paraId="388C58FA" w14:textId="13FFFE5D" w:rsidR="15430431" w:rsidRPr="00417E18" w:rsidRDefault="4BB615C4" w:rsidP="5234B031">
      <w:pPr>
        <w:rPr>
          <w:rFonts w:eastAsia="Aptos" w:cs="Calibri"/>
          <w:noProof/>
          <w:color w:val="000000" w:themeColor="text1"/>
          <w:sz w:val="22"/>
          <w:szCs w:val="22"/>
        </w:rPr>
      </w:pPr>
      <w:r w:rsidRPr="00417E18">
        <w:rPr>
          <w:rFonts w:eastAsia="Aptos" w:cs="Calibri"/>
          <w:noProof/>
          <w:color w:val="000000" w:themeColor="text1"/>
          <w:sz w:val="22"/>
          <w:szCs w:val="22"/>
        </w:rPr>
        <w:t xml:space="preserve">Despite the promising </w:t>
      </w:r>
      <w:r w:rsidRPr="00FF30F7">
        <w:rPr>
          <w:rFonts w:eastAsia="Aptos" w:cs="Calibri"/>
          <w:noProof/>
          <w:color w:val="000000" w:themeColor="text1"/>
          <w:sz w:val="22"/>
          <w:szCs w:val="22"/>
        </w:rPr>
        <w:t xml:space="preserve">benefits of digitalisation for the green transition, the environmental </w:t>
      </w:r>
      <w:r w:rsidR="5120D40A" w:rsidRPr="00FF30F7">
        <w:rPr>
          <w:rFonts w:eastAsia="Aptos" w:cs="Calibri"/>
          <w:noProof/>
          <w:color w:val="000000" w:themeColor="text1"/>
          <w:sz w:val="22"/>
          <w:szCs w:val="22"/>
        </w:rPr>
        <w:t>footprint</w:t>
      </w:r>
      <w:r w:rsidRPr="00FF30F7">
        <w:rPr>
          <w:rFonts w:eastAsia="Aptos" w:cs="Calibri"/>
          <w:noProof/>
          <w:color w:val="000000" w:themeColor="text1"/>
          <w:sz w:val="22"/>
          <w:szCs w:val="22"/>
        </w:rPr>
        <w:t xml:space="preserve"> of the digital economy is intensifying. </w:t>
      </w:r>
      <w:r w:rsidR="7CE939C6" w:rsidRPr="00FF30F7">
        <w:rPr>
          <w:rFonts w:eastAsia="Aptos" w:cs="Calibri"/>
          <w:noProof/>
          <w:sz w:val="22"/>
          <w:szCs w:val="22"/>
        </w:rPr>
        <w:t xml:space="preserve">In 2025, data centres in Europe consumed approximately 72 terawatt-hours (TWh) of electricity, compared to </w:t>
      </w:r>
      <w:r w:rsidR="00BC7810">
        <w:rPr>
          <w:rFonts w:eastAsia="Aptos" w:cs="Calibri"/>
          <w:noProof/>
          <w:sz w:val="22"/>
          <w:szCs w:val="22"/>
        </w:rPr>
        <w:t>70</w:t>
      </w:r>
      <w:r w:rsidR="7CE939C6" w:rsidRPr="00FF30F7">
        <w:rPr>
          <w:rFonts w:eastAsia="Aptos" w:cs="Calibri"/>
          <w:noProof/>
          <w:sz w:val="22"/>
          <w:szCs w:val="22"/>
        </w:rPr>
        <w:t xml:space="preserve"> TWh in 2024, highlighting the sector’s substantial and </w:t>
      </w:r>
      <w:r w:rsidR="0F3A48C0" w:rsidRPr="00FF30F7">
        <w:rPr>
          <w:rFonts w:eastAsia="Aptos" w:cs="Calibri"/>
          <w:noProof/>
          <w:sz w:val="22"/>
          <w:szCs w:val="22"/>
        </w:rPr>
        <w:t xml:space="preserve">rising </w:t>
      </w:r>
      <w:r w:rsidR="7CE939C6" w:rsidRPr="00FF30F7">
        <w:rPr>
          <w:rFonts w:eastAsia="Aptos" w:cs="Calibri"/>
          <w:noProof/>
          <w:sz w:val="22"/>
          <w:szCs w:val="22"/>
        </w:rPr>
        <w:t>energy requ</w:t>
      </w:r>
      <w:r w:rsidR="1A85A05C" w:rsidRPr="00FF30F7">
        <w:rPr>
          <w:rFonts w:eastAsia="Aptos" w:cs="Calibri"/>
          <w:noProof/>
          <w:sz w:val="22"/>
          <w:szCs w:val="22"/>
        </w:rPr>
        <w:t>ire</w:t>
      </w:r>
      <w:r w:rsidR="7CE939C6" w:rsidRPr="00FF30F7">
        <w:rPr>
          <w:rFonts w:eastAsia="Aptos" w:cs="Calibri"/>
          <w:noProof/>
          <w:sz w:val="22"/>
          <w:szCs w:val="22"/>
        </w:rPr>
        <w:t>ments.</w:t>
      </w:r>
      <w:r w:rsidR="592AFA5F" w:rsidRPr="00FF30F7">
        <w:rPr>
          <w:rFonts w:eastAsia="Aptos" w:cs="Calibri"/>
          <w:noProof/>
          <w:color w:val="000000" w:themeColor="text1"/>
          <w:sz w:val="22"/>
          <w:szCs w:val="22"/>
        </w:rPr>
        <w:t xml:space="preserve"> </w:t>
      </w:r>
      <w:r w:rsidR="363A37E6" w:rsidRPr="00FF30F7">
        <w:rPr>
          <w:rFonts w:eastAsia="Aptos" w:cs="Calibri"/>
          <w:noProof/>
          <w:color w:val="000000" w:themeColor="text1"/>
          <w:sz w:val="22"/>
          <w:szCs w:val="22"/>
        </w:rPr>
        <w:t>By 2030,</w:t>
      </w:r>
      <w:r w:rsidRPr="00FF30F7">
        <w:rPr>
          <w:rFonts w:eastAsia="Aptos" w:cs="Calibri"/>
          <w:noProof/>
          <w:color w:val="000000" w:themeColor="text1"/>
          <w:sz w:val="22"/>
          <w:szCs w:val="22"/>
        </w:rPr>
        <w:t xml:space="preserve"> electricity usage by data centres in Europe </w:t>
      </w:r>
      <w:r w:rsidR="5120D40A" w:rsidRPr="00FF30F7">
        <w:rPr>
          <w:rFonts w:eastAsia="Aptos" w:cs="Calibri"/>
          <w:noProof/>
          <w:color w:val="000000" w:themeColor="text1"/>
          <w:sz w:val="22"/>
          <w:szCs w:val="22"/>
        </w:rPr>
        <w:t xml:space="preserve">is </w:t>
      </w:r>
      <w:r w:rsidR="5120D40A" w:rsidRPr="00FF30F7">
        <w:rPr>
          <w:rFonts w:cs="Calibri"/>
          <w:noProof/>
          <w:sz w:val="22"/>
          <w:szCs w:val="22"/>
        </w:rPr>
        <w:t>expected to</w:t>
      </w:r>
      <w:r w:rsidRPr="00FF30F7">
        <w:rPr>
          <w:rFonts w:cs="Calibri"/>
          <w:noProof/>
          <w:sz w:val="22"/>
          <w:szCs w:val="22"/>
        </w:rPr>
        <w:t xml:space="preserve"> rise </w:t>
      </w:r>
      <w:r w:rsidR="77FB2295" w:rsidRPr="00FF30F7">
        <w:rPr>
          <w:rFonts w:cs="Calibri"/>
          <w:noProof/>
          <w:sz w:val="22"/>
          <w:szCs w:val="22"/>
        </w:rPr>
        <w:t>towards 115 TWh, an increase by at least 45 TWh compared to 2025</w:t>
      </w:r>
      <w:r w:rsidR="77FB2295">
        <w:rPr>
          <w:rFonts w:eastAsia="Aptos" w:cs="Calibri"/>
          <w:noProof/>
          <w:color w:val="000000" w:themeColor="text1"/>
          <w:sz w:val="22"/>
          <w:szCs w:val="22"/>
        </w:rPr>
        <w:t>.</w:t>
      </w:r>
      <w:r w:rsidR="00DC4F4E" w:rsidRPr="00FF30F7">
        <w:rPr>
          <w:rStyle w:val="FootnoteReference"/>
          <w:rFonts w:eastAsia="Aptos" w:cs="Calibri"/>
          <w:noProof/>
          <w:color w:val="000000" w:themeColor="text1"/>
          <w:sz w:val="22"/>
          <w:szCs w:val="22"/>
        </w:rPr>
        <w:footnoteReference w:id="87"/>
      </w:r>
      <w:r w:rsidRPr="00FF30F7">
        <w:rPr>
          <w:rFonts w:eastAsia="Aptos" w:cs="Calibri"/>
          <w:noProof/>
          <w:color w:val="000000" w:themeColor="text1"/>
          <w:sz w:val="22"/>
          <w:szCs w:val="22"/>
        </w:rPr>
        <w:t xml:space="preserve"> While data centres are major energy consumers, they also </w:t>
      </w:r>
      <w:r w:rsidR="4BA9B783" w:rsidRPr="00FF30F7">
        <w:rPr>
          <w:rFonts w:eastAsia="Aptos" w:cs="Calibri"/>
          <w:noProof/>
          <w:color w:val="000000" w:themeColor="text1"/>
          <w:sz w:val="22"/>
          <w:szCs w:val="22"/>
        </w:rPr>
        <w:t>have</w:t>
      </w:r>
      <w:r w:rsidRPr="00FF30F7">
        <w:rPr>
          <w:rFonts w:eastAsia="Aptos" w:cs="Calibri"/>
          <w:noProof/>
          <w:color w:val="000000" w:themeColor="text1"/>
          <w:sz w:val="22"/>
          <w:szCs w:val="22"/>
        </w:rPr>
        <w:t xml:space="preserve"> the </w:t>
      </w:r>
      <w:r w:rsidR="1C0A5EAD" w:rsidRPr="00FF30F7">
        <w:rPr>
          <w:rFonts w:eastAsia="Aptos" w:cs="Calibri"/>
          <w:noProof/>
          <w:color w:val="000000" w:themeColor="text1"/>
          <w:sz w:val="22"/>
          <w:szCs w:val="22"/>
        </w:rPr>
        <w:t>potential</w:t>
      </w:r>
      <w:r w:rsidRPr="00FF30F7">
        <w:rPr>
          <w:rFonts w:eastAsia="Aptos" w:cs="Calibri"/>
          <w:noProof/>
          <w:color w:val="000000" w:themeColor="text1"/>
          <w:sz w:val="22"/>
          <w:szCs w:val="22"/>
        </w:rPr>
        <w:t xml:space="preserve"> to enhance system flexibility and demand response. </w:t>
      </w:r>
      <w:r w:rsidR="4BA9B783" w:rsidRPr="00FF30F7">
        <w:rPr>
          <w:rFonts w:eastAsia="Aptos" w:cs="Calibri"/>
          <w:noProof/>
          <w:color w:val="000000" w:themeColor="text1"/>
          <w:sz w:val="22"/>
          <w:szCs w:val="22"/>
        </w:rPr>
        <w:t>Under</w:t>
      </w:r>
      <w:r w:rsidR="1C0A5EAD" w:rsidRPr="00FF30F7">
        <w:rPr>
          <w:rFonts w:eastAsia="Aptos" w:cs="Calibri"/>
          <w:noProof/>
          <w:color w:val="000000" w:themeColor="text1"/>
          <w:sz w:val="22"/>
          <w:szCs w:val="22"/>
        </w:rPr>
        <w:t xml:space="preserve"> the right</w:t>
      </w:r>
      <w:r w:rsidRPr="00FF30F7">
        <w:rPr>
          <w:rFonts w:eastAsia="Aptos" w:cs="Calibri"/>
          <w:noProof/>
          <w:color w:val="000000" w:themeColor="text1"/>
          <w:sz w:val="22"/>
          <w:szCs w:val="22"/>
        </w:rPr>
        <w:t xml:space="preserve"> conditions, they can offer grid services through on-site battery storage, adaptable cooling</w:t>
      </w:r>
      <w:r w:rsidRPr="00417E18">
        <w:rPr>
          <w:rFonts w:eastAsia="Aptos" w:cs="Calibri"/>
          <w:noProof/>
          <w:color w:val="000000" w:themeColor="text1"/>
          <w:sz w:val="22"/>
          <w:szCs w:val="22"/>
        </w:rPr>
        <w:t xml:space="preserve"> systems, load shifting, or by transferring computing tasks from one region to another as a </w:t>
      </w:r>
      <w:r w:rsidR="719FA0BE">
        <w:rPr>
          <w:rFonts w:eastAsia="Aptos" w:cs="Calibri"/>
          <w:noProof/>
          <w:color w:val="000000" w:themeColor="text1"/>
          <w:sz w:val="22"/>
          <w:szCs w:val="22"/>
        </w:rPr>
        <w:t xml:space="preserve">form of </w:t>
      </w:r>
      <w:r w:rsidRPr="00417E18">
        <w:rPr>
          <w:rFonts w:eastAsia="Aptos" w:cs="Calibri"/>
          <w:noProof/>
          <w:color w:val="000000" w:themeColor="text1"/>
          <w:sz w:val="22"/>
          <w:szCs w:val="22"/>
        </w:rPr>
        <w:t>sustained curtailment.</w:t>
      </w:r>
    </w:p>
    <w:p w14:paraId="2A1D5DC6" w14:textId="70110C00" w:rsidR="49805ADD" w:rsidRPr="00417E18" w:rsidRDefault="49805ADD" w:rsidP="000A7CD8">
      <w:pPr>
        <w:spacing w:line="278" w:lineRule="auto"/>
        <w:rPr>
          <w:rFonts w:eastAsia="Aptos" w:cs="Calibri"/>
          <w:noProof/>
          <w:color w:val="000000" w:themeColor="text1"/>
          <w:sz w:val="22"/>
          <w:szCs w:val="22"/>
        </w:rPr>
      </w:pPr>
      <w:r w:rsidRPr="00417E18">
        <w:rPr>
          <w:rFonts w:eastAsia="Aptos" w:cs="Calibri"/>
          <w:noProof/>
          <w:color w:val="000000" w:themeColor="text1"/>
          <w:sz w:val="22"/>
          <w:szCs w:val="22"/>
        </w:rPr>
        <w:t>Water use is also becoming more relevant, particularly in regions facing water stress. Data centre cooling technologies, site selection and reuse of waste heat and water should therefore be considered as part of sustainable infrastructure planning.</w:t>
      </w:r>
    </w:p>
    <w:p w14:paraId="1AF5613B" w14:textId="6157C7AF" w:rsidR="49805ADD" w:rsidRPr="001266AA" w:rsidRDefault="49805ADD" w:rsidP="62C1AF40">
      <w:pPr>
        <w:rPr>
          <w:rFonts w:eastAsia="Aptos" w:cs="Calibri"/>
          <w:noProof/>
          <w:color w:val="000000" w:themeColor="text1"/>
          <w:sz w:val="22"/>
          <w:szCs w:val="22"/>
          <w:highlight w:val="yellow"/>
        </w:rPr>
      </w:pPr>
      <w:r w:rsidRPr="001266AA">
        <w:rPr>
          <w:rFonts w:eastAsia="Aptos" w:cs="Calibri"/>
          <w:noProof/>
          <w:color w:val="000000" w:themeColor="text1"/>
          <w:sz w:val="22"/>
          <w:szCs w:val="22"/>
        </w:rPr>
        <w:t>Material circularity remains another strategic challenge. The EU currently recovers less than 1% of rare earth elements from end-of-life products, while supply chains remain highly concentrated. In 2024, 95% of EU imports of rare earth elements came from China, Malaysia and Russia combined</w:t>
      </w:r>
      <w:r w:rsidRPr="001266AA">
        <w:rPr>
          <w:rFonts w:eastAsia="Aptos" w:cs="Calibri"/>
          <w:noProof/>
          <w:color w:val="000000" w:themeColor="text1"/>
          <w:sz w:val="22"/>
          <w:szCs w:val="22"/>
          <w:vertAlign w:val="superscript"/>
        </w:rPr>
        <w:footnoteReference w:id="88"/>
      </w:r>
      <w:r w:rsidR="0003751E" w:rsidRPr="001266AA">
        <w:rPr>
          <w:rFonts w:eastAsia="Aptos" w:cs="Calibri"/>
          <w:noProof/>
          <w:color w:val="000000" w:themeColor="text1"/>
          <w:sz w:val="22"/>
          <w:szCs w:val="22"/>
        </w:rPr>
        <w:t>.</w:t>
      </w:r>
    </w:p>
    <w:p w14:paraId="151573C0" w14:textId="64D8933E" w:rsidR="00682E77" w:rsidRPr="001266AA" w:rsidRDefault="4BB615C4" w:rsidP="5234B031">
      <w:pPr>
        <w:rPr>
          <w:rFonts w:eastAsia="Aptos" w:cs="Calibri"/>
          <w:noProof/>
          <w:color w:val="000000" w:themeColor="text1"/>
          <w:sz w:val="22"/>
          <w:szCs w:val="22"/>
        </w:rPr>
      </w:pPr>
      <w:r w:rsidRPr="001266AA">
        <w:rPr>
          <w:rFonts w:eastAsia="Aptos" w:cs="Calibri"/>
          <w:noProof/>
          <w:color w:val="000000" w:themeColor="text1"/>
          <w:sz w:val="22"/>
          <w:szCs w:val="22"/>
        </w:rPr>
        <w:t>These developments underline the need for a system-level resource management approach, ensuring that the deployment of digital infrastructure remains compatible with energy system constraints, water availability and material sustainability, particularly in regions facing resource stress</w:t>
      </w:r>
      <w:r w:rsidR="0068710E" w:rsidRPr="001266AA">
        <w:rPr>
          <w:rStyle w:val="FootnoteReference"/>
          <w:rFonts w:eastAsia="Aptos" w:cs="Calibri"/>
          <w:noProof/>
          <w:color w:val="000000" w:themeColor="text1"/>
          <w:sz w:val="22"/>
          <w:szCs w:val="22"/>
        </w:rPr>
        <w:footnoteReference w:id="89"/>
      </w:r>
      <w:r w:rsidR="0003751E" w:rsidRPr="001266AA">
        <w:rPr>
          <w:rFonts w:eastAsia="Aptos" w:cs="Calibri"/>
          <w:noProof/>
          <w:color w:val="000000" w:themeColor="text1"/>
          <w:sz w:val="22"/>
          <w:szCs w:val="22"/>
        </w:rPr>
        <w:t>.</w:t>
      </w:r>
    </w:p>
    <w:p w14:paraId="11EAF1CC" w14:textId="59B8CFBD" w:rsidR="15430431" w:rsidRPr="00124DF3" w:rsidRDefault="4BB615C4" w:rsidP="00E11929">
      <w:pPr>
        <w:pStyle w:val="Heading3"/>
        <w:numPr>
          <w:ilvl w:val="2"/>
          <w:numId w:val="40"/>
        </w:numPr>
        <w:rPr>
          <w:rFonts w:eastAsia="Calibri"/>
          <w:noProof/>
        </w:rPr>
      </w:pPr>
      <w:bookmarkStart w:id="125" w:name="_Toc231830074"/>
      <w:r w:rsidRPr="00124DF3">
        <w:rPr>
          <w:noProof/>
        </w:rPr>
        <w:t xml:space="preserve">EU actions </w:t>
      </w:r>
      <w:r w:rsidR="00CA5378" w:rsidRPr="00124DF3">
        <w:rPr>
          <w:noProof/>
        </w:rPr>
        <w:t>to</w:t>
      </w:r>
      <w:r w:rsidRPr="00124DF3">
        <w:rPr>
          <w:noProof/>
        </w:rPr>
        <w:t xml:space="preserve"> unlock the twin green digital transition</w:t>
      </w:r>
      <w:bookmarkEnd w:id="125"/>
    </w:p>
    <w:p w14:paraId="4562DD9A" w14:textId="351AEABB" w:rsidR="2979BD1D" w:rsidRPr="00417E18" w:rsidRDefault="00E7103B" w:rsidP="6D30534B">
      <w:pPr>
        <w:rPr>
          <w:rFonts w:eastAsia="Calibri" w:cs="Calibri"/>
          <w:noProof/>
          <w:color w:val="000000" w:themeColor="text1"/>
          <w:sz w:val="22"/>
          <w:szCs w:val="22"/>
        </w:rPr>
      </w:pPr>
      <w:r w:rsidRPr="001266AA">
        <w:rPr>
          <w:rFonts w:eastAsia="Calibri" w:cs="Calibri"/>
          <w:noProof/>
          <w:color w:val="000000" w:themeColor="text1"/>
          <w:sz w:val="22"/>
          <w:szCs w:val="22"/>
        </w:rPr>
        <w:t xml:space="preserve">The </w:t>
      </w:r>
      <w:r w:rsidR="738B0E59" w:rsidRPr="001266AA">
        <w:rPr>
          <w:rFonts w:eastAsia="Calibri" w:cs="Calibri"/>
          <w:noProof/>
          <w:color w:val="000000" w:themeColor="text1"/>
          <w:sz w:val="22"/>
          <w:szCs w:val="22"/>
        </w:rPr>
        <w:t>EU</w:t>
      </w:r>
      <w:r w:rsidR="738B0E59" w:rsidRPr="00417E18">
        <w:rPr>
          <w:rFonts w:eastAsia="Calibri" w:cs="Calibri"/>
          <w:noProof/>
          <w:color w:val="000000" w:themeColor="text1"/>
          <w:sz w:val="22"/>
          <w:szCs w:val="22"/>
        </w:rPr>
        <w:t xml:space="preserve"> is deploying a broad policy toolbox that addresses both digital</w:t>
      </w:r>
      <w:r>
        <w:rPr>
          <w:rFonts w:eastAsia="Calibri" w:cs="Calibri"/>
          <w:noProof/>
          <w:color w:val="000000" w:themeColor="text1"/>
          <w:sz w:val="22"/>
          <w:szCs w:val="22"/>
        </w:rPr>
        <w:t>isation</w:t>
      </w:r>
      <w:r w:rsidR="738B0E59" w:rsidRPr="00417E18">
        <w:rPr>
          <w:rFonts w:eastAsia="Calibri" w:cs="Calibri"/>
          <w:noProof/>
          <w:color w:val="000000" w:themeColor="text1"/>
          <w:sz w:val="22"/>
          <w:szCs w:val="22"/>
        </w:rPr>
        <w:t xml:space="preserve"> as an enabler of sustainability and the sustainability of digital infrastructures themselves.</w:t>
      </w:r>
      <w:r w:rsidR="738B0E59" w:rsidRPr="00417E18">
        <w:rPr>
          <w:rFonts w:eastAsia="Calibri" w:cs="Calibri"/>
          <w:noProof/>
          <w:sz w:val="22"/>
          <w:szCs w:val="22"/>
        </w:rPr>
        <w:t xml:space="preserve"> </w:t>
      </w:r>
    </w:p>
    <w:p w14:paraId="1917B2F0" w14:textId="33CF7BFC" w:rsidR="2979BD1D" w:rsidRPr="00417E18" w:rsidRDefault="4839BDD4" w:rsidP="30F26871">
      <w:pPr>
        <w:rPr>
          <w:rFonts w:eastAsia="Calibri" w:cs="Calibri"/>
          <w:noProof/>
          <w:color w:val="000000" w:themeColor="text1"/>
          <w:sz w:val="22"/>
          <w:szCs w:val="22"/>
        </w:rPr>
      </w:pPr>
      <w:r w:rsidRPr="5FCDC78E">
        <w:rPr>
          <w:rFonts w:eastAsia="Calibri" w:cs="Calibri"/>
          <w:noProof/>
          <w:sz w:val="22"/>
          <w:szCs w:val="22"/>
        </w:rPr>
        <w:t xml:space="preserve">For instance, </w:t>
      </w:r>
      <w:r w:rsidR="304A8D8E" w:rsidRPr="5FCDC78E">
        <w:rPr>
          <w:rFonts w:eastAsia="Calibri" w:cs="Calibri"/>
          <w:noProof/>
          <w:sz w:val="22"/>
          <w:szCs w:val="22"/>
        </w:rPr>
        <w:t>m</w:t>
      </w:r>
      <w:r w:rsidR="3298048F" w:rsidRPr="5FCDC78E">
        <w:rPr>
          <w:rFonts w:eastAsia="Calibri" w:cs="Calibri"/>
          <w:noProof/>
          <w:sz w:val="22"/>
          <w:szCs w:val="22"/>
        </w:rPr>
        <w:t>easuring</w:t>
      </w:r>
      <w:r w:rsidR="7AAF1BC6" w:rsidRPr="00417E18">
        <w:rPr>
          <w:rFonts w:eastAsia="Calibri" w:cs="Calibri"/>
          <w:noProof/>
          <w:sz w:val="22"/>
          <w:szCs w:val="22"/>
        </w:rPr>
        <w:t xml:space="preserve"> and reducing the environmental footprint of telecommunications networks requires dedicated policy instruments. </w:t>
      </w:r>
      <w:r w:rsidR="69E0EC6C" w:rsidRPr="5FCDC78E">
        <w:rPr>
          <w:rFonts w:eastAsia="Calibri" w:cs="Calibri"/>
          <w:noProof/>
          <w:sz w:val="22"/>
          <w:szCs w:val="22"/>
        </w:rPr>
        <w:t>To this end,</w:t>
      </w:r>
      <w:r w:rsidR="41451BF5" w:rsidRPr="5FCDC78E">
        <w:rPr>
          <w:rFonts w:eastAsia="Calibri" w:cs="Calibri"/>
          <w:noProof/>
          <w:sz w:val="22"/>
          <w:szCs w:val="22"/>
        </w:rPr>
        <w:t xml:space="preserve"> </w:t>
      </w:r>
      <w:r w:rsidR="41451BF5" w:rsidRPr="5FCDC78E">
        <w:rPr>
          <w:rFonts w:eastAsia="Calibri" w:cs="Calibri"/>
          <w:noProof/>
          <w:color w:val="000000" w:themeColor="text1"/>
          <w:sz w:val="22"/>
          <w:szCs w:val="22"/>
        </w:rPr>
        <w:t>the Commission published in January 2026 a</w:t>
      </w:r>
      <w:r w:rsidR="18C997DC" w:rsidRPr="5FCDC78E">
        <w:rPr>
          <w:rFonts w:eastAsia="Calibri" w:cs="Calibri"/>
          <w:noProof/>
          <w:color w:val="000000" w:themeColor="text1"/>
          <w:sz w:val="22"/>
          <w:szCs w:val="22"/>
        </w:rPr>
        <w:t>n</w:t>
      </w:r>
      <w:r w:rsidR="206B7CA3" w:rsidRPr="5FCDC78E">
        <w:rPr>
          <w:rFonts w:eastAsia="Calibri" w:cs="Calibri"/>
          <w:noProof/>
          <w:color w:val="000000" w:themeColor="text1"/>
          <w:sz w:val="22"/>
          <w:szCs w:val="22"/>
        </w:rPr>
        <w:t xml:space="preserve"> </w:t>
      </w:r>
      <w:r w:rsidR="5335AA7A" w:rsidRPr="5FCDC78E">
        <w:rPr>
          <w:rFonts w:eastAsia="Calibri" w:cs="Calibri"/>
          <w:noProof/>
          <w:sz w:val="22"/>
          <w:szCs w:val="22"/>
        </w:rPr>
        <w:t>EU Code of Conduct (EU CoC) for the sustainability of telecommunications networks</w:t>
      </w:r>
      <w:r w:rsidR="00107139">
        <w:rPr>
          <w:rStyle w:val="FootnoteReference"/>
          <w:rFonts w:eastAsia="Calibri" w:cs="Calibri"/>
          <w:noProof/>
          <w:sz w:val="22"/>
          <w:szCs w:val="22"/>
        </w:rPr>
        <w:footnoteReference w:id="90"/>
      </w:r>
      <w:r w:rsidR="41451BF5" w:rsidRPr="5FCDC78E">
        <w:rPr>
          <w:rFonts w:eastAsia="Calibri" w:cs="Calibri"/>
          <w:noProof/>
          <w:color w:val="000000" w:themeColor="text1"/>
          <w:sz w:val="22"/>
          <w:szCs w:val="22"/>
        </w:rPr>
        <w:t xml:space="preserve">, </w:t>
      </w:r>
      <w:r w:rsidR="69A571F8" w:rsidRPr="5FCDC78E">
        <w:rPr>
          <w:rFonts w:eastAsia="Calibri" w:cs="Calibri"/>
          <w:noProof/>
          <w:color w:val="000000" w:themeColor="text1"/>
          <w:sz w:val="22"/>
          <w:szCs w:val="22"/>
        </w:rPr>
        <w:t>as</w:t>
      </w:r>
      <w:r w:rsidR="41451BF5" w:rsidRPr="5FCDC78E">
        <w:rPr>
          <w:rFonts w:eastAsia="Calibri" w:cs="Calibri"/>
          <w:noProof/>
          <w:color w:val="000000" w:themeColor="text1"/>
          <w:sz w:val="22"/>
          <w:szCs w:val="22"/>
        </w:rPr>
        <w:t xml:space="preserve"> </w:t>
      </w:r>
      <w:r w:rsidR="19FC4721" w:rsidRPr="5FCDC78E">
        <w:rPr>
          <w:rFonts w:eastAsia="Calibri" w:cs="Calibri"/>
          <w:noProof/>
          <w:color w:val="000000" w:themeColor="text1"/>
          <w:sz w:val="22"/>
          <w:szCs w:val="22"/>
        </w:rPr>
        <w:t>announced</w:t>
      </w:r>
      <w:r w:rsidR="41451BF5" w:rsidRPr="5FCDC78E">
        <w:rPr>
          <w:rFonts w:eastAsia="Calibri" w:cs="Calibri"/>
          <w:noProof/>
          <w:color w:val="000000" w:themeColor="text1"/>
          <w:sz w:val="22"/>
          <w:szCs w:val="22"/>
        </w:rPr>
        <w:t xml:space="preserve"> in the </w:t>
      </w:r>
      <w:r w:rsidR="320FD6BA" w:rsidRPr="5FCDC78E">
        <w:rPr>
          <w:rFonts w:eastAsia="Calibri" w:cs="Calibri"/>
          <w:noProof/>
          <w:sz w:val="22"/>
          <w:szCs w:val="22"/>
        </w:rPr>
        <w:t>2022 Digitalising the Energy System Action Plan</w:t>
      </w:r>
      <w:r w:rsidR="00107139">
        <w:rPr>
          <w:rStyle w:val="FootnoteReference"/>
          <w:rFonts w:eastAsia="Calibri" w:cs="Calibri"/>
          <w:noProof/>
          <w:sz w:val="22"/>
          <w:szCs w:val="22"/>
        </w:rPr>
        <w:footnoteReference w:id="91"/>
      </w:r>
      <w:r w:rsidR="41451BF5" w:rsidRPr="5FCDC78E">
        <w:rPr>
          <w:rFonts w:eastAsia="Calibri" w:cs="Calibri"/>
          <w:noProof/>
          <w:sz w:val="22"/>
          <w:szCs w:val="22"/>
        </w:rPr>
        <w:t xml:space="preserve">. </w:t>
      </w:r>
      <w:r w:rsidR="1F0E19D5" w:rsidRPr="5FCDC78E">
        <w:rPr>
          <w:rFonts w:eastAsia="Calibri" w:cs="Calibri"/>
          <w:noProof/>
          <w:color w:val="000000" w:themeColor="text1"/>
          <w:sz w:val="22"/>
          <w:szCs w:val="22"/>
        </w:rPr>
        <w:t xml:space="preserve">The Commission </w:t>
      </w:r>
      <w:r w:rsidR="00E3040F" w:rsidRPr="00417E18">
        <w:rPr>
          <w:rFonts w:eastAsia="Calibri" w:cs="Calibri"/>
          <w:noProof/>
          <w:color w:val="000000" w:themeColor="text1"/>
          <w:sz w:val="22"/>
          <w:szCs w:val="22"/>
        </w:rPr>
        <w:t xml:space="preserve">consulted </w:t>
      </w:r>
      <w:r w:rsidR="0F412C4E" w:rsidRPr="00417E18">
        <w:rPr>
          <w:rFonts w:eastAsia="Calibri" w:cs="Calibri"/>
          <w:noProof/>
          <w:color w:val="000000" w:themeColor="text1"/>
          <w:sz w:val="22"/>
          <w:szCs w:val="22"/>
        </w:rPr>
        <w:t>t</w:t>
      </w:r>
      <w:r w:rsidR="5AED61F9" w:rsidRPr="00417E18">
        <w:rPr>
          <w:rFonts w:eastAsia="Calibri" w:cs="Calibri"/>
          <w:noProof/>
          <w:color w:val="000000" w:themeColor="text1"/>
          <w:sz w:val="22"/>
          <w:szCs w:val="22"/>
        </w:rPr>
        <w:t>elecom</w:t>
      </w:r>
      <w:r w:rsidR="63754E79" w:rsidRPr="00417E18">
        <w:rPr>
          <w:rFonts w:eastAsia="Calibri" w:cs="Calibri"/>
          <w:noProof/>
          <w:color w:val="000000" w:themeColor="text1"/>
          <w:sz w:val="22"/>
          <w:szCs w:val="22"/>
        </w:rPr>
        <w:t>s</w:t>
      </w:r>
      <w:r w:rsidR="00223009" w:rsidRPr="00417E18">
        <w:rPr>
          <w:rFonts w:eastAsia="Calibri" w:cs="Calibri"/>
          <w:noProof/>
          <w:color w:val="000000" w:themeColor="text1"/>
          <w:sz w:val="22"/>
          <w:szCs w:val="22"/>
        </w:rPr>
        <w:t xml:space="preserve"> s</w:t>
      </w:r>
      <w:r w:rsidR="00340D76" w:rsidRPr="00417E18">
        <w:rPr>
          <w:rFonts w:eastAsia="Calibri" w:cs="Calibri"/>
          <w:noProof/>
          <w:color w:val="000000" w:themeColor="text1"/>
          <w:sz w:val="22"/>
          <w:szCs w:val="22"/>
        </w:rPr>
        <w:t xml:space="preserve">takeholders </w:t>
      </w:r>
      <w:r w:rsidR="69A571F8" w:rsidRPr="5FCDC78E">
        <w:rPr>
          <w:rFonts w:eastAsia="Calibri" w:cs="Calibri"/>
          <w:noProof/>
          <w:color w:val="000000" w:themeColor="text1"/>
          <w:sz w:val="22"/>
          <w:szCs w:val="22"/>
        </w:rPr>
        <w:t>broadly</w:t>
      </w:r>
      <w:r w:rsidR="037D9C94" w:rsidRPr="5FCDC78E">
        <w:rPr>
          <w:rFonts w:eastAsia="Calibri" w:cs="Calibri"/>
          <w:noProof/>
          <w:color w:val="000000" w:themeColor="text1"/>
          <w:sz w:val="22"/>
          <w:szCs w:val="22"/>
        </w:rPr>
        <w:t xml:space="preserve"> </w:t>
      </w:r>
      <w:r w:rsidR="00FF36BD" w:rsidRPr="00417E18">
        <w:rPr>
          <w:rFonts w:eastAsia="Calibri" w:cs="Calibri"/>
          <w:noProof/>
          <w:color w:val="000000" w:themeColor="text1"/>
          <w:sz w:val="22"/>
          <w:szCs w:val="22"/>
        </w:rPr>
        <w:t xml:space="preserve">for the preparation of this </w:t>
      </w:r>
      <w:r w:rsidR="1EAFB5CB" w:rsidRPr="00417E18">
        <w:rPr>
          <w:rFonts w:eastAsia="Calibri" w:cs="Calibri"/>
          <w:noProof/>
          <w:color w:val="000000" w:themeColor="text1"/>
          <w:sz w:val="22"/>
          <w:szCs w:val="22"/>
        </w:rPr>
        <w:t xml:space="preserve">EU </w:t>
      </w:r>
      <w:r w:rsidR="00FF36BD" w:rsidRPr="00417E18">
        <w:rPr>
          <w:rFonts w:eastAsia="Calibri" w:cs="Calibri"/>
          <w:noProof/>
          <w:color w:val="000000" w:themeColor="text1"/>
          <w:sz w:val="22"/>
          <w:szCs w:val="22"/>
        </w:rPr>
        <w:t xml:space="preserve">CoC, which is voluntary. </w:t>
      </w:r>
      <w:r w:rsidR="2979BD1D" w:rsidRPr="00417E18">
        <w:rPr>
          <w:rFonts w:eastAsia="Calibri" w:cs="Calibri"/>
          <w:noProof/>
          <w:color w:val="000000" w:themeColor="text1"/>
          <w:sz w:val="22"/>
          <w:szCs w:val="22"/>
        </w:rPr>
        <w:t>References to the EU</w:t>
      </w:r>
      <w:r w:rsidR="2979BD1D" w:rsidRPr="00417E18" w:rsidDel="2979BD1D">
        <w:rPr>
          <w:rFonts w:eastAsia="Calibri" w:cs="Calibri"/>
          <w:noProof/>
          <w:color w:val="000000" w:themeColor="text1"/>
          <w:sz w:val="22"/>
          <w:szCs w:val="22"/>
        </w:rPr>
        <w:t xml:space="preserve"> </w:t>
      </w:r>
      <w:r w:rsidR="004271CC" w:rsidRPr="00417E18">
        <w:rPr>
          <w:rFonts w:eastAsia="Calibri" w:cs="Calibri"/>
          <w:noProof/>
          <w:color w:val="000000" w:themeColor="text1"/>
          <w:sz w:val="22"/>
          <w:szCs w:val="22"/>
        </w:rPr>
        <w:t xml:space="preserve">CoC </w:t>
      </w:r>
      <w:r w:rsidR="00141600" w:rsidRPr="00417E18">
        <w:rPr>
          <w:rFonts w:eastAsia="Calibri" w:cs="Calibri"/>
          <w:noProof/>
          <w:color w:val="000000" w:themeColor="text1"/>
          <w:sz w:val="22"/>
          <w:szCs w:val="22"/>
        </w:rPr>
        <w:t xml:space="preserve">are </w:t>
      </w:r>
      <w:r w:rsidR="2979BD1D" w:rsidRPr="00417E18">
        <w:rPr>
          <w:rFonts w:eastAsia="Calibri" w:cs="Calibri"/>
          <w:noProof/>
          <w:color w:val="000000" w:themeColor="text1"/>
          <w:sz w:val="22"/>
          <w:szCs w:val="22"/>
        </w:rPr>
        <w:t xml:space="preserve">included in the Commission’s </w:t>
      </w:r>
      <w:r w:rsidR="0748CECA" w:rsidRPr="5FCDC78E">
        <w:rPr>
          <w:rFonts w:eastAsia="Calibri" w:cs="Calibri"/>
          <w:noProof/>
          <w:sz w:val="22"/>
          <w:szCs w:val="22"/>
        </w:rPr>
        <w:t>Digital Networks Act (DNA) proposal</w:t>
      </w:r>
      <w:r w:rsidR="00ED354A">
        <w:rPr>
          <w:rStyle w:val="FootnoteReference"/>
          <w:rFonts w:eastAsia="Calibri" w:cs="Calibri"/>
          <w:noProof/>
          <w:sz w:val="22"/>
          <w:szCs w:val="22"/>
        </w:rPr>
        <w:footnoteReference w:id="92"/>
      </w:r>
      <w:r w:rsidR="41451BF5" w:rsidRPr="5FCDC78E">
        <w:rPr>
          <w:rFonts w:eastAsia="Calibri" w:cs="Calibri"/>
          <w:noProof/>
          <w:sz w:val="22"/>
          <w:szCs w:val="22"/>
        </w:rPr>
        <w:t xml:space="preserve">, which is </w:t>
      </w:r>
      <w:r w:rsidR="2979BD1D" w:rsidRPr="5FCDC78E">
        <w:rPr>
          <w:rFonts w:eastAsia="Calibri" w:cs="Calibri"/>
          <w:noProof/>
          <w:sz w:val="22"/>
          <w:szCs w:val="22"/>
        </w:rPr>
        <w:t>currently in inter-institutional negotiations.</w:t>
      </w:r>
      <w:r w:rsidR="547D431D" w:rsidRPr="00417E18">
        <w:rPr>
          <w:rFonts w:eastAsia="Calibri" w:cs="Calibri"/>
          <w:noProof/>
          <w:color w:val="000000" w:themeColor="text1"/>
          <w:sz w:val="22"/>
          <w:szCs w:val="22"/>
        </w:rPr>
        <w:t xml:space="preserve"> </w:t>
      </w:r>
      <w:r w:rsidR="00AA1405" w:rsidRPr="00417E18">
        <w:rPr>
          <w:rFonts w:eastAsia="Calibri" w:cs="Calibri"/>
          <w:noProof/>
          <w:color w:val="000000" w:themeColor="text1"/>
          <w:sz w:val="22"/>
          <w:szCs w:val="22"/>
        </w:rPr>
        <w:t>F</w:t>
      </w:r>
      <w:r w:rsidR="00E54D9B" w:rsidRPr="00417E18">
        <w:rPr>
          <w:rFonts w:eastAsia="Calibri" w:cs="Calibri"/>
          <w:noProof/>
          <w:color w:val="000000" w:themeColor="text1"/>
          <w:sz w:val="22"/>
          <w:szCs w:val="22"/>
        </w:rPr>
        <w:t xml:space="preserve">eedback </w:t>
      </w:r>
      <w:r w:rsidR="00AA1405" w:rsidRPr="00417E18">
        <w:rPr>
          <w:rFonts w:eastAsia="Calibri" w:cs="Calibri"/>
          <w:noProof/>
          <w:color w:val="000000" w:themeColor="text1"/>
          <w:sz w:val="22"/>
          <w:szCs w:val="22"/>
        </w:rPr>
        <w:t xml:space="preserve">from stakeholders that </w:t>
      </w:r>
      <w:r w:rsidR="000B0FA0" w:rsidRPr="00417E18">
        <w:rPr>
          <w:rFonts w:eastAsia="Calibri" w:cs="Calibri"/>
          <w:noProof/>
          <w:color w:val="000000" w:themeColor="text1"/>
          <w:sz w:val="22"/>
          <w:szCs w:val="22"/>
        </w:rPr>
        <w:t xml:space="preserve">implement </w:t>
      </w:r>
      <w:r w:rsidR="547D431D" w:rsidRPr="00417E18">
        <w:rPr>
          <w:rFonts w:eastAsia="Calibri" w:cs="Calibri"/>
          <w:noProof/>
          <w:color w:val="000000" w:themeColor="text1"/>
          <w:sz w:val="22"/>
          <w:szCs w:val="22"/>
        </w:rPr>
        <w:t>the EU</w:t>
      </w:r>
      <w:r w:rsidR="7426B2C8" w:rsidRPr="00417E18">
        <w:rPr>
          <w:rFonts w:eastAsia="Calibri" w:cs="Calibri"/>
          <w:noProof/>
          <w:color w:val="000000" w:themeColor="text1"/>
          <w:sz w:val="22"/>
          <w:szCs w:val="22"/>
        </w:rPr>
        <w:t xml:space="preserve"> CoC </w:t>
      </w:r>
      <w:r w:rsidR="001939D9" w:rsidRPr="00417E18">
        <w:rPr>
          <w:rFonts w:eastAsia="Calibri" w:cs="Calibri"/>
          <w:noProof/>
          <w:color w:val="000000" w:themeColor="text1"/>
          <w:sz w:val="22"/>
          <w:szCs w:val="22"/>
        </w:rPr>
        <w:t>will</w:t>
      </w:r>
      <w:r w:rsidR="008C272D" w:rsidRPr="00417E18">
        <w:rPr>
          <w:rFonts w:eastAsia="Calibri" w:cs="Calibri"/>
          <w:noProof/>
          <w:color w:val="000000" w:themeColor="text1"/>
          <w:sz w:val="22"/>
          <w:szCs w:val="22"/>
        </w:rPr>
        <w:t xml:space="preserve"> </w:t>
      </w:r>
      <w:r w:rsidR="002B6FCA" w:rsidRPr="00417E18">
        <w:rPr>
          <w:rFonts w:eastAsia="Calibri" w:cs="Calibri"/>
          <w:noProof/>
          <w:color w:val="000000" w:themeColor="text1"/>
          <w:sz w:val="22"/>
          <w:szCs w:val="22"/>
        </w:rPr>
        <w:t xml:space="preserve">generate </w:t>
      </w:r>
      <w:r w:rsidR="7426B2C8" w:rsidRPr="00417E18">
        <w:rPr>
          <w:rFonts w:eastAsia="Calibri" w:cs="Calibri"/>
          <w:noProof/>
          <w:color w:val="000000" w:themeColor="text1"/>
          <w:sz w:val="22"/>
          <w:szCs w:val="22"/>
        </w:rPr>
        <w:t>data</w:t>
      </w:r>
      <w:r w:rsidR="2979BD1D" w:rsidRPr="00417E18" w:rsidDel="7110EE0A">
        <w:rPr>
          <w:rFonts w:eastAsia="Calibri" w:cs="Calibri"/>
          <w:noProof/>
          <w:color w:val="000000" w:themeColor="text1"/>
          <w:sz w:val="22"/>
          <w:szCs w:val="22"/>
        </w:rPr>
        <w:t xml:space="preserve"> </w:t>
      </w:r>
      <w:r w:rsidR="00A2307C" w:rsidRPr="00417E18">
        <w:rPr>
          <w:rFonts w:eastAsia="Calibri" w:cs="Calibri"/>
          <w:noProof/>
          <w:color w:val="000000" w:themeColor="text1"/>
          <w:sz w:val="22"/>
          <w:szCs w:val="22"/>
        </w:rPr>
        <w:t xml:space="preserve">on sustainability </w:t>
      </w:r>
      <w:r w:rsidR="00355E20" w:rsidRPr="00417E18">
        <w:rPr>
          <w:rFonts w:eastAsia="Calibri" w:cs="Calibri"/>
          <w:noProof/>
          <w:color w:val="000000" w:themeColor="text1"/>
          <w:sz w:val="22"/>
          <w:szCs w:val="22"/>
        </w:rPr>
        <w:t xml:space="preserve">in </w:t>
      </w:r>
      <w:r w:rsidR="7110EE0A" w:rsidRPr="00417E18">
        <w:rPr>
          <w:rFonts w:eastAsia="Calibri" w:cs="Calibri"/>
          <w:noProof/>
          <w:color w:val="000000" w:themeColor="text1"/>
          <w:sz w:val="22"/>
          <w:szCs w:val="22"/>
        </w:rPr>
        <w:t>telecommunications</w:t>
      </w:r>
      <w:r w:rsidR="30094A2C" w:rsidRPr="00417E18">
        <w:rPr>
          <w:rFonts w:eastAsia="Calibri" w:cs="Calibri"/>
          <w:noProof/>
          <w:color w:val="000000" w:themeColor="text1"/>
          <w:sz w:val="22"/>
          <w:szCs w:val="22"/>
        </w:rPr>
        <w:t xml:space="preserve"> networks</w:t>
      </w:r>
      <w:r w:rsidR="7110EE0A" w:rsidRPr="00417E18">
        <w:rPr>
          <w:rFonts w:eastAsia="Calibri" w:cs="Calibri"/>
          <w:noProof/>
          <w:color w:val="000000" w:themeColor="text1"/>
          <w:sz w:val="22"/>
          <w:szCs w:val="22"/>
        </w:rPr>
        <w:t>, as part of the broader ICT sector.</w:t>
      </w:r>
      <w:r w:rsidR="153FD790" w:rsidRPr="00417E18">
        <w:rPr>
          <w:rFonts w:eastAsia="Calibri" w:cs="Calibri"/>
          <w:noProof/>
          <w:color w:val="000000" w:themeColor="text1"/>
          <w:sz w:val="22"/>
          <w:szCs w:val="22"/>
        </w:rPr>
        <w:t xml:space="preserve"> </w:t>
      </w:r>
      <w:r w:rsidR="41183A22" w:rsidRPr="00417E18">
        <w:rPr>
          <w:rFonts w:eastAsia="Calibri" w:cs="Calibri"/>
          <w:noProof/>
          <w:color w:val="000000" w:themeColor="text1"/>
          <w:sz w:val="22"/>
          <w:szCs w:val="22"/>
        </w:rPr>
        <w:t>Telecom</w:t>
      </w:r>
      <w:r w:rsidR="74F2D639" w:rsidRPr="00417E18">
        <w:rPr>
          <w:rFonts w:eastAsia="Calibri" w:cs="Calibri"/>
          <w:noProof/>
          <w:color w:val="000000" w:themeColor="text1"/>
          <w:sz w:val="22"/>
          <w:szCs w:val="22"/>
        </w:rPr>
        <w:t>s</w:t>
      </w:r>
      <w:r w:rsidR="00AF6B1A" w:rsidRPr="00417E18">
        <w:rPr>
          <w:rFonts w:eastAsia="Calibri" w:cs="Calibri"/>
          <w:noProof/>
          <w:color w:val="000000" w:themeColor="text1"/>
          <w:sz w:val="22"/>
          <w:szCs w:val="22"/>
        </w:rPr>
        <w:t xml:space="preserve"> s</w:t>
      </w:r>
      <w:r w:rsidR="00E0754D" w:rsidRPr="00417E18">
        <w:rPr>
          <w:rFonts w:eastAsia="Calibri" w:cs="Calibri"/>
          <w:noProof/>
          <w:color w:val="000000" w:themeColor="text1"/>
          <w:sz w:val="22"/>
          <w:szCs w:val="22"/>
        </w:rPr>
        <w:t>ta</w:t>
      </w:r>
      <w:r w:rsidR="00AF6B1A" w:rsidRPr="00417E18">
        <w:rPr>
          <w:rFonts w:eastAsia="Calibri" w:cs="Calibri"/>
          <w:noProof/>
          <w:color w:val="000000" w:themeColor="text1"/>
          <w:sz w:val="22"/>
          <w:szCs w:val="22"/>
        </w:rPr>
        <w:t xml:space="preserve">keholders are </w:t>
      </w:r>
      <w:r w:rsidR="153FD790" w:rsidRPr="00417E18">
        <w:rPr>
          <w:rFonts w:eastAsia="Calibri" w:cs="Calibri"/>
          <w:noProof/>
          <w:color w:val="000000" w:themeColor="text1"/>
          <w:sz w:val="22"/>
          <w:szCs w:val="22"/>
        </w:rPr>
        <w:t xml:space="preserve">therefore </w:t>
      </w:r>
      <w:r w:rsidR="00AF6B1A" w:rsidRPr="00417E18">
        <w:rPr>
          <w:rFonts w:eastAsia="Calibri" w:cs="Calibri"/>
          <w:noProof/>
          <w:color w:val="000000" w:themeColor="text1"/>
          <w:sz w:val="22"/>
          <w:szCs w:val="22"/>
        </w:rPr>
        <w:t xml:space="preserve">encouraged to </w:t>
      </w:r>
      <w:r w:rsidR="153FD790" w:rsidRPr="00417E18">
        <w:rPr>
          <w:rFonts w:eastAsia="Calibri" w:cs="Calibri"/>
          <w:noProof/>
          <w:color w:val="000000" w:themeColor="text1"/>
          <w:sz w:val="22"/>
          <w:szCs w:val="22"/>
        </w:rPr>
        <w:t>implement the EU CoC</w:t>
      </w:r>
      <w:r w:rsidR="00AF6B1A" w:rsidRPr="00417E18">
        <w:rPr>
          <w:rFonts w:eastAsia="Calibri" w:cs="Calibri"/>
          <w:noProof/>
          <w:color w:val="000000" w:themeColor="text1"/>
          <w:sz w:val="22"/>
          <w:szCs w:val="22"/>
        </w:rPr>
        <w:t xml:space="preserve"> and share </w:t>
      </w:r>
      <w:r w:rsidR="004D794C" w:rsidRPr="00417E18">
        <w:rPr>
          <w:rFonts w:eastAsia="Calibri" w:cs="Calibri"/>
          <w:noProof/>
          <w:color w:val="000000" w:themeColor="text1"/>
          <w:sz w:val="22"/>
          <w:szCs w:val="22"/>
        </w:rPr>
        <w:t>their feedback</w:t>
      </w:r>
      <w:r w:rsidR="153FD790" w:rsidRPr="00417E18">
        <w:rPr>
          <w:rFonts w:eastAsia="Calibri" w:cs="Calibri"/>
          <w:noProof/>
          <w:color w:val="000000" w:themeColor="text1"/>
          <w:sz w:val="22"/>
          <w:szCs w:val="22"/>
        </w:rPr>
        <w:t>.</w:t>
      </w:r>
    </w:p>
    <w:p w14:paraId="1341F8FD" w14:textId="68A4E91E" w:rsidR="28884043" w:rsidRPr="00417E18" w:rsidRDefault="28884043" w:rsidP="349DB9D6">
      <w:pPr>
        <w:rPr>
          <w:rFonts w:eastAsia="Aptos" w:cs="Calibri"/>
          <w:noProof/>
          <w:color w:val="000000" w:themeColor="text1"/>
          <w:sz w:val="22"/>
          <w:szCs w:val="22"/>
        </w:rPr>
      </w:pPr>
      <w:r w:rsidRPr="00417E18">
        <w:rPr>
          <w:rFonts w:eastAsia="Aptos" w:cs="Calibri"/>
          <w:noProof/>
          <w:color w:val="000000" w:themeColor="text1"/>
          <w:sz w:val="22"/>
          <w:szCs w:val="22"/>
        </w:rPr>
        <w:t xml:space="preserve">In March 2026, the Commission proposed the Industrial Accelerator Act, providing a new set of measures to increase the demand for low-carbon and European-made technologies and products. Building on the Single Market, the proposal will boost sustainable manufacturing and accelerate industry’s shift to cleaner, future-ready technologies. </w:t>
      </w:r>
    </w:p>
    <w:p w14:paraId="7F359574" w14:textId="18410A72" w:rsidR="28884043" w:rsidRPr="00417E18" w:rsidRDefault="28884043" w:rsidP="349DB9D6">
      <w:pPr>
        <w:rPr>
          <w:rFonts w:eastAsia="Aptos" w:cs="Calibri"/>
          <w:noProof/>
          <w:color w:val="000000" w:themeColor="text1"/>
          <w:sz w:val="22"/>
          <w:szCs w:val="22"/>
        </w:rPr>
      </w:pPr>
      <w:r w:rsidRPr="00417E18">
        <w:rPr>
          <w:rFonts w:eastAsia="Aptos" w:cs="Calibri"/>
          <w:noProof/>
          <w:color w:val="000000" w:themeColor="text1"/>
          <w:sz w:val="22"/>
          <w:szCs w:val="22"/>
        </w:rPr>
        <w:t xml:space="preserve">In December 2025 the Commission </w:t>
      </w:r>
      <w:r w:rsidR="00D55397">
        <w:rPr>
          <w:rFonts w:eastAsia="Aptos" w:cs="Calibri"/>
          <w:noProof/>
          <w:color w:val="000000" w:themeColor="text1"/>
          <w:sz w:val="22"/>
          <w:szCs w:val="22"/>
        </w:rPr>
        <w:t xml:space="preserve">also </w:t>
      </w:r>
      <w:r w:rsidRPr="00417E18">
        <w:rPr>
          <w:rFonts w:eastAsia="Aptos" w:cs="Calibri"/>
          <w:noProof/>
          <w:color w:val="000000" w:themeColor="text1"/>
          <w:sz w:val="22"/>
          <w:szCs w:val="22"/>
        </w:rPr>
        <w:t>presented the European Strategy for Housing Construction, as part of the European Affordable Housing Plan. The Strategy aims to strengthen the productivity and innovation in construction and promoting advanced construction materials and methods, such as digitalisation, to increase resource efficiency.</w:t>
      </w:r>
    </w:p>
    <w:p w14:paraId="67FD46BD" w14:textId="0DF44B3A" w:rsidR="28884043" w:rsidRPr="00417E18" w:rsidRDefault="28884043" w:rsidP="349DB9D6">
      <w:pPr>
        <w:rPr>
          <w:rFonts w:eastAsia="Aptos" w:cs="Calibri"/>
          <w:noProof/>
          <w:color w:val="000000" w:themeColor="text1"/>
          <w:sz w:val="22"/>
          <w:szCs w:val="22"/>
        </w:rPr>
      </w:pPr>
      <w:r w:rsidRPr="00417E18">
        <w:rPr>
          <w:rFonts w:eastAsia="Aptos" w:cs="Calibri"/>
          <w:noProof/>
          <w:color w:val="000000" w:themeColor="text1"/>
          <w:sz w:val="22"/>
          <w:szCs w:val="22"/>
        </w:rPr>
        <w:t>The European Green Digital Coalition (EGDC) is an initiative of companies, supported by the European Commission and the European Parliament, which works towards supporting the green transition through digital technologies while reducing the environmental footprint of the ICT sector itself. In its first phase, launched in 2021, the EGDC developed a methodology for assessing the net climate impact of digital solutions. This helps policymakers and industry understand how digital technologies contribute to emissions reductions and supports access to green finance.</w:t>
      </w:r>
    </w:p>
    <w:p w14:paraId="06402484" w14:textId="4CC76A38" w:rsidR="28884043" w:rsidRPr="00BD285B" w:rsidRDefault="28884043" w:rsidP="349DB9D6">
      <w:pPr>
        <w:rPr>
          <w:rFonts w:eastAsia="Aptos" w:cs="Calibri"/>
          <w:noProof/>
          <w:color w:val="000000" w:themeColor="text1"/>
          <w:sz w:val="22"/>
          <w:szCs w:val="22"/>
        </w:rPr>
      </w:pPr>
      <w:r w:rsidRPr="00417E18">
        <w:rPr>
          <w:rFonts w:eastAsia="Aptos" w:cs="Calibri"/>
          <w:noProof/>
          <w:color w:val="000000" w:themeColor="text1"/>
          <w:sz w:val="22"/>
          <w:szCs w:val="22"/>
        </w:rPr>
        <w:t xml:space="preserve">The second phase of the initiative began in March 2025 and focuses on applying </w:t>
      </w:r>
      <w:r w:rsidR="00BF3E1B" w:rsidRPr="00417E18">
        <w:rPr>
          <w:rFonts w:eastAsia="Aptos" w:cs="Calibri"/>
          <w:noProof/>
          <w:color w:val="000000" w:themeColor="text1"/>
          <w:sz w:val="22"/>
          <w:szCs w:val="22"/>
        </w:rPr>
        <w:t>th</w:t>
      </w:r>
      <w:r w:rsidR="00BF3E1B">
        <w:rPr>
          <w:rFonts w:eastAsia="Aptos" w:cs="Calibri"/>
          <w:noProof/>
          <w:color w:val="000000" w:themeColor="text1"/>
          <w:sz w:val="22"/>
          <w:szCs w:val="22"/>
        </w:rPr>
        <w:t>is</w:t>
      </w:r>
      <w:r w:rsidRPr="00417E18">
        <w:rPr>
          <w:rFonts w:eastAsia="Aptos" w:cs="Calibri"/>
          <w:noProof/>
          <w:color w:val="000000" w:themeColor="text1"/>
          <w:sz w:val="22"/>
          <w:szCs w:val="22"/>
        </w:rPr>
        <w:t xml:space="preserve"> methodology to real</w:t>
      </w:r>
      <w:r w:rsidR="00C04101">
        <w:rPr>
          <w:rFonts w:ascii="Cambria Math" w:eastAsia="Aptos" w:hAnsi="Cambria Math" w:cs="Cambria Math"/>
          <w:noProof/>
          <w:color w:val="000000" w:themeColor="text1"/>
          <w:sz w:val="22"/>
          <w:szCs w:val="22"/>
        </w:rPr>
        <w:t xml:space="preserve"> </w:t>
      </w:r>
      <w:r w:rsidRPr="00417E18">
        <w:rPr>
          <w:rFonts w:eastAsia="Aptos" w:cs="Calibri"/>
          <w:noProof/>
          <w:color w:val="000000" w:themeColor="text1"/>
          <w:sz w:val="22"/>
          <w:szCs w:val="22"/>
        </w:rPr>
        <w:t xml:space="preserve">world projects. Around fifty use cases across sectors such as energy, transport, agriculture and </w:t>
      </w:r>
      <w:r w:rsidRPr="00BD285B">
        <w:rPr>
          <w:rFonts w:eastAsia="Aptos" w:cs="Calibri"/>
          <w:noProof/>
          <w:color w:val="000000" w:themeColor="text1"/>
          <w:sz w:val="22"/>
          <w:szCs w:val="22"/>
        </w:rPr>
        <w:t xml:space="preserve">buildings are currently being analysed to demonstrate how digital solutions can </w:t>
      </w:r>
      <w:r w:rsidR="00BF3E1B">
        <w:rPr>
          <w:rFonts w:eastAsia="Aptos" w:cs="Calibri"/>
          <w:noProof/>
          <w:color w:val="000000" w:themeColor="text1"/>
          <w:sz w:val="22"/>
          <w:szCs w:val="22"/>
        </w:rPr>
        <w:t>reduce</w:t>
      </w:r>
      <w:r w:rsidRPr="00BD285B">
        <w:rPr>
          <w:rFonts w:eastAsia="Aptos" w:cs="Calibri"/>
          <w:noProof/>
          <w:color w:val="000000" w:themeColor="text1"/>
          <w:sz w:val="22"/>
          <w:szCs w:val="22"/>
        </w:rPr>
        <w:t xml:space="preserve"> emissions while strengthening Europe’s industrial competitiveness.</w:t>
      </w:r>
    </w:p>
    <w:p w14:paraId="665462E4" w14:textId="41848758" w:rsidR="28884043" w:rsidRPr="00BD285B" w:rsidRDefault="28884043" w:rsidP="349DB9D6">
      <w:pPr>
        <w:rPr>
          <w:rFonts w:eastAsia="Aptos" w:cs="Calibri"/>
          <w:noProof/>
          <w:color w:val="000000" w:themeColor="text1"/>
          <w:sz w:val="22"/>
          <w:szCs w:val="22"/>
        </w:rPr>
      </w:pPr>
      <w:r w:rsidRPr="1375164F">
        <w:rPr>
          <w:rFonts w:eastAsia="Aptos" w:cs="Calibri"/>
          <w:noProof/>
          <w:color w:val="000000" w:themeColor="text1"/>
          <w:sz w:val="22"/>
          <w:szCs w:val="22"/>
        </w:rPr>
        <w:t xml:space="preserve">In addition, the Green Deal Data Space (GDDS), backed by the Digital Europe Programme, is </w:t>
      </w:r>
      <w:r w:rsidR="00BF3E1B" w:rsidRPr="1375164F">
        <w:rPr>
          <w:rFonts w:eastAsia="Aptos" w:cs="Calibri"/>
          <w:noProof/>
          <w:color w:val="000000" w:themeColor="text1"/>
          <w:sz w:val="22"/>
          <w:szCs w:val="22"/>
        </w:rPr>
        <w:t>bringing together</w:t>
      </w:r>
      <w:r w:rsidRPr="1375164F">
        <w:rPr>
          <w:rFonts w:eastAsia="Aptos" w:cs="Calibri"/>
          <w:noProof/>
          <w:color w:val="000000" w:themeColor="text1"/>
          <w:sz w:val="22"/>
          <w:szCs w:val="22"/>
        </w:rPr>
        <w:t xml:space="preserve"> over 500 datasets</w:t>
      </w:r>
      <w:r w:rsidR="36B91929" w:rsidRPr="1375164F">
        <w:rPr>
          <w:rFonts w:eastAsia="Aptos" w:cs="Calibri"/>
          <w:noProof/>
          <w:color w:val="000000" w:themeColor="text1"/>
          <w:sz w:val="22"/>
          <w:szCs w:val="22"/>
        </w:rPr>
        <w:t xml:space="preserve"> as well as implementing 10 use-cases</w:t>
      </w:r>
      <w:r w:rsidR="00A4790D">
        <w:rPr>
          <w:rStyle w:val="FootnoteReference"/>
          <w:rFonts w:eastAsia="Aptos" w:cs="Calibri"/>
          <w:noProof/>
          <w:color w:val="000000" w:themeColor="text1"/>
          <w:sz w:val="22"/>
          <w:szCs w:val="22"/>
        </w:rPr>
        <w:footnoteReference w:id="93"/>
      </w:r>
      <w:r w:rsidRPr="1375164F">
        <w:rPr>
          <w:rFonts w:eastAsia="Aptos" w:cs="Calibri"/>
          <w:noProof/>
          <w:color w:val="000000" w:themeColor="text1"/>
          <w:sz w:val="22"/>
          <w:szCs w:val="22"/>
        </w:rPr>
        <w:t xml:space="preserve">across the domains of climate, biodiversity, pollution, and the circular economy, assisting stakeholders in </w:t>
      </w:r>
      <w:r w:rsidR="002D4C5A">
        <w:rPr>
          <w:rFonts w:eastAsia="Aptos" w:cs="Calibri"/>
          <w:noProof/>
          <w:color w:val="000000" w:themeColor="text1"/>
          <w:sz w:val="22"/>
          <w:szCs w:val="22"/>
        </w:rPr>
        <w:t>their pursuit of</w:t>
      </w:r>
      <w:r w:rsidRPr="1375164F" w:rsidDel="003F0A66">
        <w:rPr>
          <w:rFonts w:eastAsia="Aptos" w:cs="Calibri"/>
          <w:noProof/>
          <w:color w:val="000000" w:themeColor="text1"/>
          <w:sz w:val="22"/>
          <w:szCs w:val="22"/>
        </w:rPr>
        <w:t xml:space="preserve"> </w:t>
      </w:r>
      <w:r w:rsidRPr="1375164F">
        <w:rPr>
          <w:rFonts w:eastAsia="Aptos" w:cs="Calibri"/>
          <w:noProof/>
          <w:color w:val="000000" w:themeColor="text1"/>
          <w:sz w:val="22"/>
          <w:szCs w:val="22"/>
        </w:rPr>
        <w:t>Green Deal objectives.</w:t>
      </w:r>
    </w:p>
    <w:p w14:paraId="692E0390" w14:textId="13F12AB6" w:rsidR="28884043" w:rsidRPr="00BD285B" w:rsidRDefault="28884043" w:rsidP="349DB9D6">
      <w:pPr>
        <w:rPr>
          <w:rFonts w:eastAsia="Aptos" w:cs="Calibri"/>
          <w:noProof/>
          <w:color w:val="000000" w:themeColor="text1"/>
          <w:sz w:val="22"/>
          <w:szCs w:val="22"/>
        </w:rPr>
      </w:pPr>
      <w:r w:rsidRPr="00BD285B">
        <w:rPr>
          <w:rFonts w:eastAsia="Aptos" w:cs="Calibri"/>
          <w:noProof/>
          <w:color w:val="000000" w:themeColor="text1"/>
          <w:sz w:val="22"/>
          <w:szCs w:val="22"/>
        </w:rPr>
        <w:t>The Digital Product Passport</w:t>
      </w:r>
      <w:r w:rsidRPr="198AA70C">
        <w:rPr>
          <w:rFonts w:eastAsia="Aptos" w:cs="Calibri"/>
          <w:noProof/>
          <w:color w:val="000000" w:themeColor="text1"/>
          <w:sz w:val="22"/>
          <w:szCs w:val="22"/>
        </w:rPr>
        <w:t xml:space="preserve"> </w:t>
      </w:r>
      <w:r w:rsidR="0D31A8BD" w:rsidRPr="198AA70C">
        <w:rPr>
          <w:rFonts w:eastAsia="Aptos" w:cs="Calibri"/>
          <w:noProof/>
          <w:color w:val="000000" w:themeColor="text1"/>
          <w:sz w:val="22"/>
          <w:szCs w:val="22"/>
        </w:rPr>
        <w:t>(DPP)</w:t>
      </w:r>
      <w:r w:rsidRPr="00BD285B">
        <w:rPr>
          <w:rFonts w:eastAsia="Aptos" w:cs="Calibri"/>
          <w:noProof/>
          <w:color w:val="000000" w:themeColor="text1"/>
          <w:sz w:val="22"/>
          <w:szCs w:val="22"/>
        </w:rPr>
        <w:t xml:space="preserve"> is a key instrument under the Ecodesign for Sustainable Products Regulation and an important element of the EU’s circular economy framework. It introduces digital tools that allow information about products, such as materials used, repairability, recyclability and environmental performance, to be stored and accessed throughout the value chains. The DPP improves transparency and traceability of materials, facilitates recycling and secondary markets, and enables companies to demonstrate the sustainability performance of their products. </w:t>
      </w:r>
      <w:r w:rsidR="00D620A2">
        <w:rPr>
          <w:rFonts w:eastAsia="Aptos" w:cs="Calibri"/>
          <w:noProof/>
          <w:color w:val="000000" w:themeColor="text1"/>
          <w:sz w:val="22"/>
          <w:szCs w:val="22"/>
        </w:rPr>
        <w:t>I</w:t>
      </w:r>
      <w:r w:rsidRPr="00BD285B">
        <w:rPr>
          <w:rFonts w:eastAsia="Aptos" w:cs="Calibri"/>
          <w:noProof/>
          <w:color w:val="000000" w:themeColor="text1"/>
          <w:sz w:val="22"/>
          <w:szCs w:val="22"/>
        </w:rPr>
        <w:t>t creates opportunities for European digital companies to develop new data infrastructures and services supporting circular value chains.</w:t>
      </w:r>
    </w:p>
    <w:p w14:paraId="4BBF7261" w14:textId="16DC60D0" w:rsidR="28884043" w:rsidRPr="00BD285B" w:rsidRDefault="28884043" w:rsidP="349DB9D6">
      <w:pPr>
        <w:rPr>
          <w:rFonts w:eastAsia="Aptos" w:cs="Calibri"/>
          <w:noProof/>
          <w:sz w:val="22"/>
          <w:szCs w:val="22"/>
        </w:rPr>
      </w:pPr>
      <w:r w:rsidRPr="00BD285B">
        <w:rPr>
          <w:rFonts w:eastAsia="Aptos" w:cs="Calibri"/>
          <w:noProof/>
          <w:color w:val="000000" w:themeColor="text1"/>
          <w:sz w:val="22"/>
          <w:szCs w:val="22"/>
        </w:rPr>
        <w:t>The Cloud and AI Development Act</w:t>
      </w:r>
      <w:r w:rsidR="195C0AE2" w:rsidRPr="00BD285B">
        <w:rPr>
          <w:rFonts w:eastAsia="Aptos" w:cs="Calibri"/>
          <w:noProof/>
          <w:color w:val="000000" w:themeColor="text1"/>
          <w:sz w:val="22"/>
          <w:szCs w:val="22"/>
        </w:rPr>
        <w:t xml:space="preserve"> </w:t>
      </w:r>
      <w:r w:rsidR="05157E44" w:rsidRPr="00BD285B">
        <w:rPr>
          <w:rFonts w:eastAsia="Aptos" w:cs="Calibri"/>
          <w:noProof/>
          <w:color w:val="000000" w:themeColor="text1"/>
          <w:sz w:val="22"/>
          <w:szCs w:val="22"/>
        </w:rPr>
        <w:t>will</w:t>
      </w:r>
      <w:r w:rsidRPr="00BD285B">
        <w:rPr>
          <w:rFonts w:eastAsia="Aptos" w:cs="Calibri"/>
          <w:noProof/>
          <w:color w:val="000000" w:themeColor="text1"/>
          <w:sz w:val="22"/>
          <w:szCs w:val="22"/>
        </w:rPr>
        <w:t xml:space="preserve"> </w:t>
      </w:r>
      <w:r w:rsidR="00BD285B" w:rsidRPr="00BD285B">
        <w:rPr>
          <w:rFonts w:eastAsia="Aptos" w:cs="Calibri"/>
          <w:noProof/>
          <w:color w:val="000000" w:themeColor="text1"/>
          <w:sz w:val="22"/>
          <w:szCs w:val="22"/>
        </w:rPr>
        <w:t>address</w:t>
      </w:r>
      <w:r w:rsidRPr="00BD285B">
        <w:rPr>
          <w:rFonts w:eastAsia="Aptos" w:cs="Calibri"/>
          <w:noProof/>
          <w:color w:val="000000" w:themeColor="text1"/>
          <w:sz w:val="22"/>
          <w:szCs w:val="22"/>
        </w:rPr>
        <w:t xml:space="preserve"> the urgent and growing data centre capacity gap, aiming to at least triple the EU’s data centre capacity within the next five to seven years. It harmon</w:t>
      </w:r>
      <w:r w:rsidR="41944091" w:rsidRPr="00BD285B">
        <w:rPr>
          <w:rFonts w:eastAsia="Aptos" w:cs="Calibri"/>
          <w:noProof/>
          <w:color w:val="000000" w:themeColor="text1"/>
          <w:sz w:val="22"/>
          <w:szCs w:val="22"/>
        </w:rPr>
        <w:t xml:space="preserve">ises </w:t>
      </w:r>
      <w:r w:rsidRPr="00BD285B">
        <w:rPr>
          <w:rFonts w:eastAsia="Aptos" w:cs="Calibri"/>
          <w:noProof/>
          <w:color w:val="000000" w:themeColor="text1"/>
          <w:sz w:val="22"/>
          <w:szCs w:val="22"/>
        </w:rPr>
        <w:t>the conditions for investment in data centres across the EU, with a focus on sustainable and innovative data centres, ensuring their operators have access to land, finance and energy in the EU.</w:t>
      </w:r>
      <w:r w:rsidR="7173FAD4" w:rsidRPr="00BD285B">
        <w:rPr>
          <w:rFonts w:eastAsia="Aptos" w:cs="Calibri"/>
          <w:noProof/>
          <w:sz w:val="22"/>
          <w:szCs w:val="22"/>
        </w:rPr>
        <w:t xml:space="preserve"> Without strategic energy planning and a focus on sustainable infrastructures, data centre expansion will particularly challenge existing hubs and regions with high strain on natural resources, </w:t>
      </w:r>
      <w:r w:rsidR="2FF8162C">
        <w:rPr>
          <w:rFonts w:eastAsia="Aptos" w:cs="Calibri"/>
          <w:noProof/>
          <w:sz w:val="22"/>
          <w:szCs w:val="22"/>
        </w:rPr>
        <w:t>with a</w:t>
      </w:r>
      <w:r w:rsidR="7173FAD4" w:rsidRPr="00BD285B">
        <w:rPr>
          <w:rFonts w:eastAsia="Aptos" w:cs="Calibri"/>
          <w:noProof/>
          <w:sz w:val="22"/>
          <w:szCs w:val="22"/>
        </w:rPr>
        <w:t xml:space="preserve"> risk of crowding out electrification objectives in other sectors and generating increasing public opposition.</w:t>
      </w:r>
      <w:r w:rsidR="16ABDB26" w:rsidRPr="00BD285B">
        <w:rPr>
          <w:rFonts w:eastAsia="Aptos" w:cs="Calibri"/>
          <w:noProof/>
          <w:sz w:val="22"/>
          <w:szCs w:val="22"/>
        </w:rPr>
        <w:t xml:space="preserve"> Policy intervention is</w:t>
      </w:r>
      <w:r w:rsidR="575B4F24">
        <w:rPr>
          <w:rFonts w:eastAsia="Aptos" w:cs="Calibri"/>
          <w:noProof/>
          <w:sz w:val="22"/>
          <w:szCs w:val="22"/>
        </w:rPr>
        <w:t xml:space="preserve"> </w:t>
      </w:r>
      <w:r w:rsidR="35B3B7C5">
        <w:rPr>
          <w:rFonts w:eastAsia="Aptos" w:cs="Calibri"/>
          <w:noProof/>
          <w:sz w:val="22"/>
          <w:szCs w:val="22"/>
        </w:rPr>
        <w:t>therefore</w:t>
      </w:r>
      <w:r w:rsidR="16ABDB26" w:rsidRPr="00BD285B">
        <w:rPr>
          <w:rFonts w:eastAsia="Aptos" w:cs="Calibri"/>
          <w:noProof/>
          <w:sz w:val="22"/>
          <w:szCs w:val="22"/>
        </w:rPr>
        <w:t xml:space="preserve"> essential to uphold consistency with the </w:t>
      </w:r>
      <w:r w:rsidR="4C984A0B" w:rsidRPr="00BD285B">
        <w:rPr>
          <w:rFonts w:eastAsia="Aptos" w:cs="Calibri"/>
          <w:noProof/>
          <w:sz w:val="22"/>
          <w:szCs w:val="22"/>
        </w:rPr>
        <w:t>European Climate Law and</w:t>
      </w:r>
      <w:r w:rsidR="16ABDB26" w:rsidRPr="00BD285B">
        <w:rPr>
          <w:rFonts w:eastAsia="Aptos" w:cs="Calibri"/>
          <w:noProof/>
          <w:sz w:val="22"/>
          <w:szCs w:val="22"/>
        </w:rPr>
        <w:t xml:space="preserve"> ensure that possible national </w:t>
      </w:r>
      <w:r w:rsidR="4C984A0B" w:rsidRPr="00BD285B">
        <w:rPr>
          <w:rFonts w:eastAsia="Aptos" w:cs="Calibri"/>
          <w:noProof/>
          <w:sz w:val="22"/>
          <w:szCs w:val="22"/>
        </w:rPr>
        <w:t>data centre</w:t>
      </w:r>
      <w:r w:rsidR="16ABDB26" w:rsidRPr="00BD285B">
        <w:rPr>
          <w:rFonts w:eastAsia="Aptos" w:cs="Calibri"/>
          <w:noProof/>
          <w:sz w:val="22"/>
          <w:szCs w:val="22"/>
        </w:rPr>
        <w:t xml:space="preserve"> acceleration policies do not result in a race-to-the-bottom in terms of sustainability and minimise environmental impacts and grid strain</w:t>
      </w:r>
      <w:r w:rsidRPr="00BD285B">
        <w:rPr>
          <w:rFonts w:eastAsia="Aptos" w:cs="Calibri"/>
          <w:noProof/>
          <w:sz w:val="22"/>
          <w:szCs w:val="22"/>
          <w:vertAlign w:val="superscript"/>
        </w:rPr>
        <w:footnoteReference w:id="94"/>
      </w:r>
      <w:r w:rsidR="4C984A0B" w:rsidRPr="00BD285B">
        <w:rPr>
          <w:rFonts w:eastAsia="Aptos" w:cs="Calibri"/>
          <w:noProof/>
          <w:sz w:val="22"/>
          <w:szCs w:val="22"/>
        </w:rPr>
        <w:t>.</w:t>
      </w:r>
    </w:p>
    <w:p w14:paraId="5D0594AF" w14:textId="2B3B04D6" w:rsidR="2426972F" w:rsidRPr="00B15257" w:rsidRDefault="03B87FE7" w:rsidP="00B15257">
      <w:pPr>
        <w:rPr>
          <w:rFonts w:ascii="Aptos" w:eastAsia="Aptos" w:hAnsi="Aptos" w:cs="Aptos"/>
          <w:noProof/>
          <w:sz w:val="22"/>
          <w:szCs w:val="22"/>
        </w:rPr>
      </w:pPr>
      <w:r w:rsidRPr="00BD285B">
        <w:rPr>
          <w:rFonts w:eastAsia="Aptos" w:cs="Calibri"/>
          <w:noProof/>
          <w:sz w:val="22"/>
          <w:szCs w:val="22"/>
        </w:rPr>
        <w:t>The Action Plan on Digitalising the Energy System continues to generate concrete policy outputs. Building on it, the Commission's Affordable Energy Action Plan of February 2025 announced a Strategic Roadmap for Digitalisation and AI in the Energy Sector, with a public consultation drawing over 300 contributions between August and November 2025</w:t>
      </w:r>
      <w:r w:rsidR="0DBA102A">
        <w:rPr>
          <w:rStyle w:val="FootnoteReference"/>
          <w:rFonts w:eastAsia="Aptos" w:cs="Calibri"/>
          <w:noProof/>
          <w:sz w:val="22"/>
          <w:szCs w:val="22"/>
        </w:rPr>
        <w:footnoteReference w:id="95"/>
      </w:r>
      <w:r w:rsidR="0003751E">
        <w:rPr>
          <w:rFonts w:eastAsia="Aptos" w:cs="Calibri"/>
          <w:noProof/>
          <w:sz w:val="22"/>
          <w:szCs w:val="22"/>
        </w:rPr>
        <w:t>.</w:t>
      </w:r>
      <w:r w:rsidR="58F4E18C" w:rsidRPr="00BD285B">
        <w:rPr>
          <w:rFonts w:eastAsia="Aptos" w:cs="Calibri"/>
          <w:noProof/>
          <w:sz w:val="22"/>
          <w:szCs w:val="22"/>
          <w:vertAlign w:val="superscript"/>
        </w:rPr>
        <w:t xml:space="preserve"> </w:t>
      </w:r>
      <w:r w:rsidRPr="00BD285B">
        <w:rPr>
          <w:rFonts w:eastAsia="Aptos" w:cs="Calibri"/>
          <w:noProof/>
          <w:sz w:val="22"/>
          <w:szCs w:val="22"/>
        </w:rPr>
        <w:t xml:space="preserve">The </w:t>
      </w:r>
      <w:r w:rsidR="6895A586">
        <w:rPr>
          <w:rFonts w:eastAsia="Aptos" w:cs="Calibri"/>
          <w:noProof/>
          <w:sz w:val="22"/>
          <w:szCs w:val="22"/>
        </w:rPr>
        <w:t>roadmap</w:t>
      </w:r>
      <w:r w:rsidR="0DBA102A" w:rsidRPr="00BD285B">
        <w:rPr>
          <w:rFonts w:eastAsia="Aptos" w:cs="Calibri"/>
          <w:noProof/>
          <w:sz w:val="22"/>
          <w:szCs w:val="22"/>
          <w:vertAlign w:val="superscript"/>
        </w:rPr>
        <w:footnoteReference w:id="96"/>
      </w:r>
      <w:r w:rsidRPr="00BD285B">
        <w:rPr>
          <w:rFonts w:eastAsia="Aptos" w:cs="Calibri"/>
          <w:noProof/>
          <w:sz w:val="22"/>
          <w:szCs w:val="22"/>
        </w:rPr>
        <w:t xml:space="preserve"> will build on the 2022 Action Plan and set out measures to prepare for the energy system of tomorrow, including both challenges and opportunities linked to large-scale AI deployment in the energy sector</w:t>
      </w:r>
      <w:r w:rsidR="00543BA2">
        <w:rPr>
          <w:rFonts w:eastAsia="Aptos" w:cs="Calibri"/>
          <w:noProof/>
          <w:sz w:val="22"/>
          <w:szCs w:val="22"/>
        </w:rPr>
        <w:t>.</w:t>
      </w:r>
      <w:r w:rsidR="68A8A497" w:rsidRPr="00BD285B">
        <w:rPr>
          <w:rFonts w:eastAsia="Aptos" w:cs="Calibri"/>
          <w:noProof/>
          <w:sz w:val="22"/>
          <w:szCs w:val="22"/>
          <w:vertAlign w:val="superscript"/>
        </w:rPr>
        <w:t xml:space="preserve"> </w:t>
      </w:r>
      <w:r w:rsidR="68A8A497" w:rsidRPr="00BD285B">
        <w:rPr>
          <w:rFonts w:cs="Calibri"/>
          <w:noProof/>
          <w:sz w:val="22"/>
          <w:szCs w:val="22"/>
        </w:rPr>
        <w:t>Specifically, it will establish an EU coordination framework to facilitate access to energy data and create a market for innovative services such as demand-side flexibility and bidirectional EV charging, build on ongoing work on smart grid indicators and digital twins for EU electricity networks, and improve the sustainable integration of data centres into EU electricity grids, including through a classification system and possibly minimum performance standards.</w:t>
      </w:r>
    </w:p>
    <w:p w14:paraId="5F34351F" w14:textId="264A213B" w:rsidR="28884043" w:rsidRPr="00124DF3" w:rsidRDefault="67882206" w:rsidP="00E11929">
      <w:pPr>
        <w:pStyle w:val="Heading3"/>
        <w:numPr>
          <w:ilvl w:val="2"/>
          <w:numId w:val="40"/>
        </w:numPr>
        <w:rPr>
          <w:noProof/>
        </w:rPr>
      </w:pPr>
      <w:bookmarkStart w:id="126" w:name="_Toc231830075"/>
      <w:r w:rsidRPr="00124DF3">
        <w:rPr>
          <w:noProof/>
        </w:rPr>
        <w:t xml:space="preserve">Member </w:t>
      </w:r>
      <w:r w:rsidR="007D57DC" w:rsidRPr="00124DF3">
        <w:rPr>
          <w:noProof/>
        </w:rPr>
        <w:t>S</w:t>
      </w:r>
      <w:r w:rsidRPr="00124DF3">
        <w:rPr>
          <w:noProof/>
        </w:rPr>
        <w:t>tate actions towards the twin green and digital transition</w:t>
      </w:r>
      <w:bookmarkEnd w:id="126"/>
      <w:r w:rsidRPr="00124DF3">
        <w:rPr>
          <w:noProof/>
        </w:rPr>
        <w:t xml:space="preserve"> </w:t>
      </w:r>
    </w:p>
    <w:p w14:paraId="7396AED9" w14:textId="6AA59427" w:rsidR="28884043" w:rsidRPr="001266AA" w:rsidRDefault="06B277E4" w:rsidP="3C1C20F0">
      <w:pPr>
        <w:spacing w:line="278" w:lineRule="auto"/>
        <w:rPr>
          <w:rFonts w:eastAsia="Aptos" w:cs="Calibri"/>
          <w:noProof/>
          <w:color w:val="000000" w:themeColor="text1"/>
          <w:sz w:val="22"/>
          <w:szCs w:val="22"/>
        </w:rPr>
      </w:pPr>
      <w:r w:rsidRPr="001266AA">
        <w:rPr>
          <w:rFonts w:eastAsia="Aptos" w:cs="Calibri"/>
          <w:noProof/>
          <w:color w:val="000000" w:themeColor="text1"/>
          <w:sz w:val="22"/>
          <w:szCs w:val="22"/>
        </w:rPr>
        <w:t xml:space="preserve">Several Member States are also developing national approaches. Examples include digital product information tools supporting circularity, eco-design approaches for digital services, and national strategies on sustainable digitalisation and resource efficiency. </w:t>
      </w:r>
    </w:p>
    <w:p w14:paraId="7650D339" w14:textId="3282FED8" w:rsidR="5726BC53" w:rsidRPr="001266AA" w:rsidRDefault="5726BC53" w:rsidP="40605DAB">
      <w:pPr>
        <w:spacing w:line="278" w:lineRule="auto"/>
        <w:rPr>
          <w:rFonts w:eastAsia="Aptos" w:cs="Calibri"/>
          <w:noProof/>
          <w:sz w:val="22"/>
          <w:szCs w:val="22"/>
          <w:vertAlign w:val="superscript"/>
        </w:rPr>
      </w:pPr>
      <w:r w:rsidRPr="001266AA">
        <w:rPr>
          <w:rFonts w:eastAsia="Aptos" w:cs="Calibri"/>
          <w:noProof/>
          <w:sz w:val="22"/>
          <w:szCs w:val="22"/>
        </w:rPr>
        <w:t>France has taken a legislative approach, combining</w:t>
      </w:r>
      <w:r w:rsidRPr="00417E18">
        <w:rPr>
          <w:rFonts w:eastAsia="Aptos" w:cs="Calibri"/>
          <w:noProof/>
          <w:sz w:val="22"/>
          <w:szCs w:val="22"/>
        </w:rPr>
        <w:t xml:space="preserve"> the 2021 Climate and Resilience Law with an eco-responsible digital strategy and sector-specific measurement methodologies to reduce the environmental footprint of digital services, including requirements </w:t>
      </w:r>
      <w:r w:rsidR="41640501">
        <w:rPr>
          <w:rFonts w:eastAsia="Aptos" w:cs="Calibri"/>
          <w:noProof/>
          <w:sz w:val="22"/>
          <w:szCs w:val="22"/>
        </w:rPr>
        <w:t xml:space="preserve">applicable to </w:t>
      </w:r>
      <w:r w:rsidRPr="00417E18">
        <w:rPr>
          <w:rFonts w:eastAsia="Aptos" w:cs="Calibri"/>
          <w:noProof/>
          <w:sz w:val="22"/>
          <w:szCs w:val="22"/>
        </w:rPr>
        <w:t>public digital services from 2024 and mandatory sustainable digital strategies for municipalities above 50</w:t>
      </w:r>
      <w:r w:rsidR="00320355">
        <w:rPr>
          <w:rFonts w:eastAsia="Aptos" w:cs="Calibri"/>
          <w:noProof/>
          <w:sz w:val="22"/>
          <w:szCs w:val="22"/>
        </w:rPr>
        <w:t xml:space="preserve"> </w:t>
      </w:r>
      <w:r w:rsidRPr="00417E18">
        <w:rPr>
          <w:rFonts w:eastAsia="Aptos" w:cs="Calibri"/>
          <w:noProof/>
          <w:sz w:val="22"/>
          <w:szCs w:val="22"/>
        </w:rPr>
        <w:t>000 inhabitants from 2025</w:t>
      </w:r>
      <w:r>
        <w:rPr>
          <w:rStyle w:val="FootnoteReference"/>
          <w:rFonts w:eastAsia="Aptos" w:cs="Calibri"/>
          <w:noProof/>
          <w:sz w:val="22"/>
          <w:szCs w:val="22"/>
        </w:rPr>
        <w:footnoteReference w:id="97"/>
      </w:r>
      <w:r w:rsidR="79B6A2AB" w:rsidRPr="00417E18">
        <w:rPr>
          <w:rFonts w:eastAsia="Aptos" w:cs="Calibri"/>
          <w:noProof/>
          <w:sz w:val="22"/>
          <w:szCs w:val="22"/>
        </w:rPr>
        <w:t>.</w:t>
      </w:r>
      <w:r w:rsidR="00E66E0C">
        <w:rPr>
          <w:rFonts w:eastAsia="Aptos" w:cs="Calibri"/>
          <w:noProof/>
          <w:sz w:val="22"/>
          <w:szCs w:val="22"/>
        </w:rPr>
        <w:t xml:space="preserve"> </w:t>
      </w:r>
      <w:r w:rsidR="111E0F79" w:rsidRPr="00417E18">
        <w:rPr>
          <w:rFonts w:eastAsia="Aptos" w:cs="Calibri"/>
          <w:noProof/>
          <w:sz w:val="22"/>
          <w:szCs w:val="22"/>
        </w:rPr>
        <w:t xml:space="preserve">The Netherlands </w:t>
      </w:r>
      <w:r w:rsidR="52EBC7B4" w:rsidRPr="00417E18">
        <w:rPr>
          <w:rFonts w:eastAsia="Aptos" w:cs="Calibri"/>
          <w:noProof/>
          <w:sz w:val="22"/>
          <w:szCs w:val="22"/>
        </w:rPr>
        <w:t xml:space="preserve">is advancing </w:t>
      </w:r>
      <w:r w:rsidR="01A4B3D9" w:rsidRPr="00417E18">
        <w:rPr>
          <w:rFonts w:eastAsia="Aptos" w:cs="Calibri"/>
          <w:noProof/>
          <w:sz w:val="22"/>
          <w:szCs w:val="22"/>
        </w:rPr>
        <w:t>the</w:t>
      </w:r>
      <w:r w:rsidR="111E0F79" w:rsidRPr="00417E18">
        <w:rPr>
          <w:rFonts w:eastAsia="Aptos" w:cs="Calibri"/>
          <w:noProof/>
          <w:sz w:val="22"/>
          <w:szCs w:val="22"/>
        </w:rPr>
        <w:t xml:space="preserve"> </w:t>
      </w:r>
      <w:hyperlink r:id="rId59" w:history="1">
        <w:r w:rsidR="111E0F79" w:rsidRPr="00E03304" w:rsidDel="111E0F79">
          <w:rPr>
            <w:rStyle w:val="Hyperlink"/>
            <w:rFonts w:eastAsia="Aptos" w:cs="Calibri"/>
            <w:noProof/>
            <w:sz w:val="22"/>
            <w:szCs w:val="22"/>
          </w:rPr>
          <w:t>Sustainable Digitalisation Action Programme 2026-</w:t>
        </w:r>
        <w:r w:rsidR="111E0F79" w:rsidRPr="00E03304">
          <w:rPr>
            <w:rStyle w:val="Hyperlink"/>
            <w:rFonts w:eastAsia="Aptos" w:cs="Calibri"/>
            <w:noProof/>
            <w:sz w:val="22"/>
            <w:szCs w:val="22"/>
          </w:rPr>
          <w:t>2028</w:t>
        </w:r>
        <w:r w:rsidR="3F78D861" w:rsidRPr="00E03304">
          <w:rPr>
            <w:rStyle w:val="Hyperlink"/>
            <w:rFonts w:eastAsia="Aptos" w:cs="Calibri"/>
            <w:noProof/>
            <w:sz w:val="22"/>
            <w:szCs w:val="22"/>
          </w:rPr>
          <w:t>,</w:t>
        </w:r>
      </w:hyperlink>
      <w:r w:rsidR="77F0779A" w:rsidRPr="00967EE0">
        <w:rPr>
          <w:noProof/>
        </w:rPr>
        <w:t xml:space="preserve"> </w:t>
      </w:r>
      <w:r w:rsidR="09653437" w:rsidRPr="00417E18">
        <w:rPr>
          <w:rFonts w:eastAsia="Aptos" w:cs="Calibri"/>
          <w:noProof/>
          <w:sz w:val="22"/>
          <w:szCs w:val="22"/>
        </w:rPr>
        <w:t>with</w:t>
      </w:r>
      <w:r w:rsidR="09653437" w:rsidRPr="00417E18" w:rsidDel="111E0F79">
        <w:rPr>
          <w:rFonts w:eastAsia="Aptos" w:cs="Calibri"/>
          <w:noProof/>
          <w:sz w:val="22"/>
          <w:szCs w:val="22"/>
        </w:rPr>
        <w:t xml:space="preserve"> actions </w:t>
      </w:r>
      <w:r w:rsidR="62D9B098" w:rsidRPr="00417E18">
        <w:rPr>
          <w:rFonts w:eastAsia="Aptos" w:cs="Calibri"/>
          <w:noProof/>
          <w:sz w:val="22"/>
          <w:szCs w:val="22"/>
        </w:rPr>
        <w:t>supporting companies to make more sustainable decisions</w:t>
      </w:r>
      <w:r w:rsidR="00E66E0C">
        <w:rPr>
          <w:rFonts w:eastAsia="Aptos" w:cs="Calibri"/>
          <w:noProof/>
          <w:sz w:val="22"/>
          <w:szCs w:val="22"/>
        </w:rPr>
        <w:t>,</w:t>
      </w:r>
      <w:r w:rsidR="62D9B098" w:rsidRPr="00417E18">
        <w:rPr>
          <w:rFonts w:eastAsia="Aptos" w:cs="Calibri"/>
          <w:noProof/>
          <w:sz w:val="22"/>
          <w:szCs w:val="22"/>
        </w:rPr>
        <w:t xml:space="preserve"> and </w:t>
      </w:r>
      <w:r w:rsidR="058C0708" w:rsidRPr="00417E18">
        <w:rPr>
          <w:rFonts w:eastAsia="Aptos" w:cs="Calibri"/>
          <w:noProof/>
          <w:sz w:val="22"/>
          <w:szCs w:val="22"/>
        </w:rPr>
        <w:t>mo</w:t>
      </w:r>
      <w:r w:rsidR="62D9B098" w:rsidRPr="00417E18">
        <w:rPr>
          <w:rFonts w:eastAsia="Aptos" w:cs="Calibri"/>
          <w:noProof/>
          <w:sz w:val="22"/>
          <w:szCs w:val="22"/>
        </w:rPr>
        <w:t>nitoring the impact of the digital sector through an inventory of data</w:t>
      </w:r>
      <w:r w:rsidR="111E0F79" w:rsidRPr="00417E18">
        <w:rPr>
          <w:rFonts w:eastAsia="Aptos" w:cs="Calibri"/>
          <w:noProof/>
          <w:sz w:val="22"/>
          <w:szCs w:val="22"/>
        </w:rPr>
        <w:t>.</w:t>
      </w:r>
      <w:r w:rsidR="00273F56">
        <w:rPr>
          <w:rFonts w:eastAsia="Aptos" w:cs="Calibri"/>
          <w:noProof/>
          <w:sz w:val="22"/>
          <w:szCs w:val="22"/>
        </w:rPr>
        <w:t xml:space="preserve"> In</w:t>
      </w:r>
      <w:r w:rsidR="05A615AA" w:rsidRPr="00417E18">
        <w:rPr>
          <w:rFonts w:eastAsia="Aptos" w:cs="Calibri"/>
          <w:noProof/>
          <w:sz w:val="22"/>
          <w:szCs w:val="22"/>
        </w:rPr>
        <w:t xml:space="preserve"> </w:t>
      </w:r>
      <w:r w:rsidR="4D19AB0B" w:rsidRPr="00417E18">
        <w:rPr>
          <w:rFonts w:eastAsia="Aptos" w:cs="Calibri"/>
          <w:noProof/>
          <w:sz w:val="22"/>
          <w:szCs w:val="22"/>
        </w:rPr>
        <w:t>Luxembourg</w:t>
      </w:r>
      <w:r w:rsidR="05A615AA" w:rsidRPr="00417E18">
        <w:rPr>
          <w:rFonts w:eastAsia="Aptos" w:cs="Calibri"/>
          <w:noProof/>
          <w:sz w:val="22"/>
          <w:szCs w:val="22"/>
        </w:rPr>
        <w:t xml:space="preserve">, the </w:t>
      </w:r>
      <w:hyperlink r:id="rId60">
        <w:r w:rsidR="18DDE3C4" w:rsidRPr="5FCDC78E">
          <w:rPr>
            <w:rStyle w:val="Hyperlink"/>
            <w:rFonts w:eastAsia="Aptos" w:cs="Calibri"/>
            <w:noProof/>
            <w:sz w:val="22"/>
            <w:szCs w:val="22"/>
          </w:rPr>
          <w:t>Leneda platform</w:t>
        </w:r>
      </w:hyperlink>
      <w:r w:rsidR="00273F56">
        <w:rPr>
          <w:rFonts w:eastAsia="Aptos" w:cs="Calibri"/>
          <w:noProof/>
          <w:sz w:val="22"/>
          <w:szCs w:val="22"/>
        </w:rPr>
        <w:t xml:space="preserve">, </w:t>
      </w:r>
      <w:r w:rsidR="00273F56" w:rsidRPr="00417E18">
        <w:rPr>
          <w:rFonts w:eastAsia="Aptos" w:cs="Calibri"/>
          <w:noProof/>
          <w:sz w:val="22"/>
          <w:szCs w:val="22"/>
        </w:rPr>
        <w:t>launched</w:t>
      </w:r>
      <w:r w:rsidR="05A615AA" w:rsidRPr="00417E18">
        <w:rPr>
          <w:rFonts w:eastAsia="Aptos" w:cs="Calibri"/>
          <w:noProof/>
          <w:sz w:val="22"/>
          <w:szCs w:val="22"/>
        </w:rPr>
        <w:t xml:space="preserve"> officially in March 2025 by transmission system operator Creos, provides consumers, producers and businesses with access to electricity and gas data, enabling monitoring of load profiles and consumption patterns, with energy market processes progressively integrated from spring 2025. Designed to eventually incorporate water and heat data, Leneda represents a concrete implementation of energy data space objectives at national level.</w:t>
      </w:r>
    </w:p>
    <w:p w14:paraId="34E97607" w14:textId="26BF6C7D" w:rsidR="57AC7EE9" w:rsidRPr="0058765B" w:rsidRDefault="40113E5E" w:rsidP="00E11929">
      <w:pPr>
        <w:pStyle w:val="Heading3"/>
        <w:numPr>
          <w:ilvl w:val="2"/>
          <w:numId w:val="40"/>
        </w:numPr>
        <w:rPr>
          <w:rFonts w:eastAsia="Calibri" w:cs="Calibri"/>
          <w:b/>
          <w:noProof/>
        </w:rPr>
      </w:pPr>
      <w:bookmarkStart w:id="127" w:name="_Toc231830076"/>
      <w:r w:rsidRPr="0058765B">
        <w:rPr>
          <w:noProof/>
        </w:rPr>
        <w:t xml:space="preserve">Reforms and investments needed to accelerate the green </w:t>
      </w:r>
      <w:r w:rsidR="006D5C22" w:rsidRPr="0058765B">
        <w:rPr>
          <w:rFonts w:eastAsia="Calibri" w:cs="Calibri"/>
          <w:noProof/>
        </w:rPr>
        <w:t xml:space="preserve">and </w:t>
      </w:r>
      <w:r w:rsidRPr="0058765B">
        <w:rPr>
          <w:rFonts w:eastAsia="Calibri" w:cs="Calibri"/>
          <w:noProof/>
        </w:rPr>
        <w:t>digital transition</w:t>
      </w:r>
      <w:bookmarkEnd w:id="127"/>
    </w:p>
    <w:p w14:paraId="4B7C651E" w14:textId="5EE611A5" w:rsidR="57AC7EE9" w:rsidRPr="00417E18" w:rsidRDefault="40113E5E" w:rsidP="7716D00D">
      <w:pPr>
        <w:spacing w:before="240" w:after="240"/>
        <w:rPr>
          <w:rFonts w:eastAsia="Calibri" w:cs="Calibri"/>
          <w:noProof/>
          <w:sz w:val="22"/>
          <w:szCs w:val="22"/>
        </w:rPr>
      </w:pPr>
      <w:r w:rsidRPr="001266AA">
        <w:rPr>
          <w:rFonts w:eastAsia="Calibri" w:cs="Calibri"/>
          <w:noProof/>
          <w:sz w:val="22"/>
          <w:szCs w:val="22"/>
        </w:rPr>
        <w:t>The</w:t>
      </w:r>
      <w:r w:rsidRPr="00417E18">
        <w:rPr>
          <w:rFonts w:eastAsia="Calibri" w:cs="Calibri"/>
          <w:noProof/>
          <w:sz w:val="22"/>
          <w:szCs w:val="22"/>
        </w:rPr>
        <w:t xml:space="preserve"> Council conclusions on European Competitiveness in the Digital Decade of 5 December 2025 invite the Commission to develop targets related to a greener digital transition and to incentivise the deployment of sustainable and innovative technologies for climate action. Against this backdrop, several structural gaps need to be addressed. </w:t>
      </w:r>
    </w:p>
    <w:p w14:paraId="7D04EF4F" w14:textId="464ACAAE" w:rsidR="57AC7EE9" w:rsidRPr="00417E18" w:rsidRDefault="40113E5E" w:rsidP="3CD2842D">
      <w:pPr>
        <w:spacing w:before="240" w:after="240"/>
        <w:rPr>
          <w:rFonts w:eastAsia="Calibri" w:cs="Calibri"/>
          <w:noProof/>
          <w:sz w:val="22"/>
          <w:szCs w:val="22"/>
        </w:rPr>
      </w:pPr>
      <w:r w:rsidRPr="00417E18">
        <w:rPr>
          <w:rFonts w:eastAsia="Calibri" w:cs="Calibri"/>
          <w:noProof/>
          <w:sz w:val="22"/>
          <w:szCs w:val="22"/>
        </w:rPr>
        <w:t xml:space="preserve">Energy and water consumption data for the ICT sector remain fragmented and largely self-reported, </w:t>
      </w:r>
      <w:r w:rsidR="1C06A58A" w:rsidRPr="5FCDC78E">
        <w:rPr>
          <w:rFonts w:eastAsia="Calibri" w:cs="Calibri"/>
          <w:noProof/>
          <w:sz w:val="22"/>
          <w:szCs w:val="22"/>
        </w:rPr>
        <w:t>although</w:t>
      </w:r>
      <w:r w:rsidRPr="00417E18">
        <w:rPr>
          <w:rFonts w:eastAsia="Calibri" w:cs="Calibri"/>
          <w:noProof/>
          <w:sz w:val="22"/>
          <w:szCs w:val="22"/>
        </w:rPr>
        <w:t xml:space="preserve"> harmonised metrics for measuring the net climate impact of digital solutions are </w:t>
      </w:r>
      <w:r w:rsidR="50C6FFE9" w:rsidRPr="00417E18">
        <w:rPr>
          <w:rFonts w:eastAsia="Calibri" w:cs="Calibri"/>
          <w:noProof/>
          <w:sz w:val="22"/>
          <w:szCs w:val="22"/>
        </w:rPr>
        <w:t xml:space="preserve">available </w:t>
      </w:r>
      <w:r w:rsidRPr="00417E18">
        <w:rPr>
          <w:rFonts w:eastAsia="Calibri" w:cs="Calibri"/>
          <w:noProof/>
          <w:sz w:val="22"/>
          <w:szCs w:val="22"/>
        </w:rPr>
        <w:t>at EU level</w:t>
      </w:r>
      <w:r w:rsidR="109A17C9" w:rsidRPr="00417E18">
        <w:rPr>
          <w:rFonts w:eastAsia="Calibri" w:cs="Calibri"/>
          <w:noProof/>
          <w:sz w:val="22"/>
          <w:szCs w:val="22"/>
        </w:rPr>
        <w:t xml:space="preserve"> as well </w:t>
      </w:r>
      <w:r w:rsidR="0F47F3DD" w:rsidRPr="00417E18">
        <w:rPr>
          <w:rFonts w:eastAsia="Calibri" w:cs="Calibri"/>
          <w:noProof/>
          <w:sz w:val="22"/>
          <w:szCs w:val="22"/>
        </w:rPr>
        <w:t>as</w:t>
      </w:r>
      <w:r w:rsidR="00D12659" w:rsidRPr="00417E18">
        <w:rPr>
          <w:rFonts w:eastAsia="Calibri" w:cs="Calibri"/>
          <w:noProof/>
          <w:sz w:val="22"/>
          <w:szCs w:val="22"/>
        </w:rPr>
        <w:t xml:space="preserve"> </w:t>
      </w:r>
      <w:r w:rsidRPr="00417E18">
        <w:rPr>
          <w:rFonts w:eastAsia="Calibri" w:cs="Calibri"/>
          <w:noProof/>
          <w:sz w:val="22"/>
          <w:szCs w:val="22"/>
        </w:rPr>
        <w:t>existing practices such as the Climate Neutral Data Centre Pact and the Energy Efficiency Directive</w:t>
      </w:r>
      <w:r w:rsidR="6857C0F4" w:rsidRPr="00417E18">
        <w:rPr>
          <w:rFonts w:eastAsia="Calibri" w:cs="Calibri"/>
          <w:noProof/>
          <w:sz w:val="22"/>
          <w:szCs w:val="22"/>
        </w:rPr>
        <w:t xml:space="preserve">. </w:t>
      </w:r>
      <w:r w:rsidR="43169F44" w:rsidRPr="00417E18">
        <w:rPr>
          <w:rFonts w:eastAsia="Calibri" w:cs="Calibri"/>
          <w:noProof/>
          <w:sz w:val="22"/>
          <w:szCs w:val="22"/>
        </w:rPr>
        <w:t>The environmental impact of digital infrastructures is measured through several existing frameworks, including the Energy Efficiency Directive delegated act</w:t>
      </w:r>
      <w:r w:rsidR="6857C0F4" w:rsidRPr="00417E18">
        <w:rPr>
          <w:rFonts w:eastAsia="Calibri" w:cs="Calibri"/>
          <w:noProof/>
          <w:sz w:val="22"/>
          <w:szCs w:val="22"/>
        </w:rPr>
        <w:t xml:space="preserve"> for </w:t>
      </w:r>
      <w:r w:rsidR="43169F44" w:rsidRPr="00417E18">
        <w:rPr>
          <w:rFonts w:eastAsia="Calibri" w:cs="Calibri"/>
          <w:noProof/>
          <w:sz w:val="22"/>
          <w:szCs w:val="22"/>
        </w:rPr>
        <w:t xml:space="preserve">data centres, the WEEE Directive for e-waste, </w:t>
      </w:r>
      <w:r w:rsidR="62889B1C" w:rsidRPr="5FCDC78E">
        <w:rPr>
          <w:rFonts w:eastAsia="Calibri" w:cs="Calibri"/>
          <w:noProof/>
          <w:sz w:val="22"/>
          <w:szCs w:val="22"/>
        </w:rPr>
        <w:t xml:space="preserve">the EU CoC for sustainable telecoms networks, </w:t>
      </w:r>
      <w:r w:rsidR="43169F44" w:rsidRPr="00417E18">
        <w:rPr>
          <w:rFonts w:eastAsia="Calibri" w:cs="Calibri"/>
          <w:noProof/>
          <w:sz w:val="22"/>
          <w:szCs w:val="22"/>
        </w:rPr>
        <w:t>and the European Green Digital Coalition methodology for the net climate impact of digital solutions. However,</w:t>
      </w:r>
      <w:r w:rsidR="6857C0F4" w:rsidRPr="00417E18">
        <w:rPr>
          <w:rFonts w:eastAsia="Calibri" w:cs="Calibri"/>
          <w:noProof/>
          <w:sz w:val="22"/>
          <w:szCs w:val="22"/>
        </w:rPr>
        <w:t xml:space="preserve"> implementation </w:t>
      </w:r>
      <w:r w:rsidR="43169F44" w:rsidRPr="00417E18">
        <w:rPr>
          <w:rFonts w:eastAsia="Calibri" w:cs="Calibri"/>
          <w:noProof/>
          <w:sz w:val="22"/>
          <w:szCs w:val="22"/>
        </w:rPr>
        <w:t>remains uneven across Member States, and coverage beyond data centres and telecoms KPIs is still partial</w:t>
      </w:r>
      <w:r w:rsidRPr="00417E18">
        <w:rPr>
          <w:rFonts w:eastAsia="Calibri" w:cs="Calibri"/>
          <w:noProof/>
          <w:sz w:val="22"/>
          <w:szCs w:val="22"/>
        </w:rPr>
        <w:t xml:space="preserve">. </w:t>
      </w:r>
    </w:p>
    <w:p w14:paraId="4B073F12" w14:textId="6003AE2F" w:rsidR="57AC7EE9" w:rsidRPr="00417E18" w:rsidRDefault="40113E5E" w:rsidP="3CD2842D">
      <w:pPr>
        <w:spacing w:before="240" w:after="240"/>
        <w:rPr>
          <w:rFonts w:eastAsia="Calibri" w:cs="Calibri"/>
          <w:noProof/>
          <w:sz w:val="22"/>
          <w:szCs w:val="22"/>
        </w:rPr>
      </w:pPr>
      <w:r w:rsidRPr="00417E18">
        <w:rPr>
          <w:rFonts w:eastAsia="Calibri" w:cs="Calibri"/>
          <w:noProof/>
          <w:sz w:val="22"/>
          <w:szCs w:val="22"/>
        </w:rPr>
        <w:t xml:space="preserve">Coordination between digital, energy and environmental authorities is uneven across Member States, and the alignment between EU research and innovation funding streams, Cohesion Policy and the European Competitiveness Fund </w:t>
      </w:r>
      <w:r w:rsidR="0074306B" w:rsidRPr="00417E18">
        <w:rPr>
          <w:rFonts w:eastAsia="Calibri" w:cs="Calibri"/>
          <w:noProof/>
          <w:sz w:val="22"/>
          <w:szCs w:val="22"/>
        </w:rPr>
        <w:t>remain</w:t>
      </w:r>
      <w:r w:rsidRPr="00417E18">
        <w:rPr>
          <w:rFonts w:eastAsia="Calibri" w:cs="Calibri"/>
          <w:noProof/>
          <w:sz w:val="22"/>
          <w:szCs w:val="22"/>
        </w:rPr>
        <w:t xml:space="preserve"> insufficient. </w:t>
      </w:r>
    </w:p>
    <w:p w14:paraId="238F0770" w14:textId="023F082F" w:rsidR="57AC7EE9" w:rsidRPr="00417E18" w:rsidRDefault="40113E5E" w:rsidP="00087A59">
      <w:pPr>
        <w:spacing w:before="240" w:after="240"/>
        <w:rPr>
          <w:rFonts w:eastAsia="Calibri" w:cs="Calibri"/>
          <w:noProof/>
          <w:sz w:val="22"/>
          <w:szCs w:val="22"/>
        </w:rPr>
      </w:pPr>
      <w:r w:rsidRPr="00417E18">
        <w:rPr>
          <w:rFonts w:eastAsia="Calibri" w:cs="Calibri"/>
          <w:noProof/>
          <w:sz w:val="22"/>
          <w:szCs w:val="22"/>
        </w:rPr>
        <w:t>Circularity of digital hardware is critically underdeveloped. Sovereign computing capacity, particularly for local AI inference within European jurisdictions, requires new models such as Hardware-as-a-Service. The speed of AI infrastructure deployment consistently outpaces permitting, reporting and grid integration systems, and the environmental externalities of compute-intensive AI systems are not yet internalised through financing mechanisms based on a polluter pays approach.</w:t>
      </w:r>
    </w:p>
    <w:tbl>
      <w:tblPr>
        <w:tblStyle w:val="TableGrid"/>
        <w:tblW w:w="0" w:type="auto"/>
        <w:tblLook w:val="06A0" w:firstRow="1" w:lastRow="0" w:firstColumn="1" w:lastColumn="0" w:noHBand="1" w:noVBand="1"/>
      </w:tblPr>
      <w:tblGrid>
        <w:gridCol w:w="9350"/>
      </w:tblGrid>
      <w:tr w:rsidR="32581887" w:rsidRPr="00417E18" w14:paraId="720779B0" w14:textId="77777777" w:rsidTr="0E1EC96E">
        <w:trPr>
          <w:trHeight w:val="300"/>
        </w:trPr>
        <w:tc>
          <w:tcPr>
            <w:tcW w:w="9350" w:type="dxa"/>
            <w:shd w:val="clear" w:color="auto" w:fill="D4F1EE"/>
          </w:tcPr>
          <w:p w14:paraId="3378E8B6" w14:textId="10750C76" w:rsidR="5C4AB9EA" w:rsidRPr="00B6561D" w:rsidRDefault="33DAD142" w:rsidP="04A95214">
            <w:pPr>
              <w:rPr>
                <w:rFonts w:eastAsia="Aptos" w:cs="Calibri"/>
                <w:b/>
                <w:bCs/>
                <w:noProof/>
                <w:color w:val="000000" w:themeColor="text1"/>
              </w:rPr>
            </w:pPr>
            <w:r w:rsidRPr="0E1EC96E">
              <w:rPr>
                <w:rFonts w:eastAsia="Aptos" w:cs="Calibri"/>
                <w:b/>
                <w:bCs/>
                <w:noProof/>
                <w:color w:val="000000" w:themeColor="text1"/>
              </w:rPr>
              <w:t>Recommendation:</w:t>
            </w:r>
          </w:p>
          <w:p w14:paraId="59237E2F" w14:textId="5A24BF35" w:rsidR="5C4AB9EA" w:rsidRPr="00BE6BE3" w:rsidRDefault="55A944EF" w:rsidP="3C7001FB">
            <w:pPr>
              <w:spacing w:before="60" w:after="120"/>
              <w:rPr>
                <w:rFonts w:eastAsia="Calibri" w:cs="Calibri"/>
                <w:noProof/>
              </w:rPr>
            </w:pPr>
            <w:r w:rsidRPr="00BE6BE3">
              <w:rPr>
                <w:rFonts w:eastAsia="Calibri" w:cs="Calibri"/>
                <w:noProof/>
              </w:rPr>
              <w:t xml:space="preserve">Member States should advance the green digital transition by integrating sustainability into digital policies, investments and governance frameworks, by: </w:t>
            </w:r>
          </w:p>
          <w:p w14:paraId="65D727D5" w14:textId="2032A7F6" w:rsidR="5C4AB9EA" w:rsidRPr="00BE6BE3" w:rsidRDefault="55A944EF" w:rsidP="3C7001FB">
            <w:pPr>
              <w:pStyle w:val="ListParagraph"/>
              <w:numPr>
                <w:ilvl w:val="0"/>
                <w:numId w:val="31"/>
              </w:numPr>
              <w:spacing w:before="60" w:after="120"/>
              <w:contextualSpacing w:val="0"/>
              <w:rPr>
                <w:rFonts w:eastAsia="Calibri" w:cs="Calibri"/>
                <w:noProof/>
              </w:rPr>
            </w:pPr>
            <w:r w:rsidRPr="00BE6BE3">
              <w:rPr>
                <w:rFonts w:eastAsia="Calibri" w:cs="Calibri"/>
                <w:noProof/>
              </w:rPr>
              <w:t xml:space="preserve">strengthening coordination between national digital, energy and environmental authorities, integrating, where relevant, sustainability criteria into digital strategies policies and investments </w:t>
            </w:r>
          </w:p>
          <w:p w14:paraId="4F218988" w14:textId="6C513ED2" w:rsidR="5C4AB9EA" w:rsidRPr="00BE6BE3" w:rsidRDefault="55A944EF" w:rsidP="3C7001FB">
            <w:pPr>
              <w:pStyle w:val="ListParagraph"/>
              <w:numPr>
                <w:ilvl w:val="0"/>
                <w:numId w:val="31"/>
              </w:numPr>
              <w:spacing w:before="60" w:after="120"/>
              <w:ind w:left="714" w:hanging="357"/>
              <w:contextualSpacing w:val="0"/>
              <w:rPr>
                <w:rFonts w:eastAsia="Calibri" w:cs="Calibri"/>
                <w:noProof/>
              </w:rPr>
            </w:pPr>
            <w:r w:rsidRPr="00BE6BE3">
              <w:rPr>
                <w:rFonts w:eastAsia="Calibri" w:cs="Calibri"/>
                <w:noProof/>
              </w:rPr>
              <w:t xml:space="preserve">supporting the development and uptake of harmonised environmental impact metrics for digital solutions and infrastructures, including energy consumptions and net carbon impact, building on established rules, methodologies and practices (Digital Coalition, Climate Neutral Data Centre Pact, Energy Efficiency Directive, EU Code of Conduct for the sustainability of telecommunications networks); </w:t>
            </w:r>
          </w:p>
          <w:p w14:paraId="04DF3893" w14:textId="4D6CBF67" w:rsidR="5C4AB9EA" w:rsidRPr="00BE6BE3" w:rsidRDefault="55A944EF" w:rsidP="3C7001FB">
            <w:pPr>
              <w:pStyle w:val="ListParagraph"/>
              <w:numPr>
                <w:ilvl w:val="0"/>
                <w:numId w:val="31"/>
              </w:numPr>
              <w:spacing w:before="60" w:after="120"/>
              <w:ind w:left="714" w:hanging="357"/>
              <w:contextualSpacing w:val="0"/>
              <w:rPr>
                <w:rFonts w:eastAsia="Calibri" w:cs="Calibri"/>
                <w:noProof/>
              </w:rPr>
            </w:pPr>
            <w:r w:rsidRPr="00BE6BE3">
              <w:rPr>
                <w:rFonts w:eastAsia="Calibri" w:cs="Calibri"/>
                <w:noProof/>
              </w:rPr>
              <w:t xml:space="preserve">align EU research and innovation funding streams with Cohesion Policy and the European Competitiveness Fund to deploy environmentally beneficial digital solutions in transport, industrial processes, agriculture and climate action; </w:t>
            </w:r>
          </w:p>
          <w:p w14:paraId="0470000B" w14:textId="2E2E8BF5" w:rsidR="5C4AB9EA" w:rsidRPr="00BE6BE3" w:rsidRDefault="55A944EF" w:rsidP="3C7001FB">
            <w:pPr>
              <w:pStyle w:val="ListParagraph"/>
              <w:numPr>
                <w:ilvl w:val="0"/>
                <w:numId w:val="31"/>
              </w:numPr>
              <w:spacing w:before="60" w:after="120"/>
              <w:ind w:left="714" w:hanging="357"/>
              <w:contextualSpacing w:val="0"/>
              <w:rPr>
                <w:rFonts w:eastAsia="Calibri" w:cs="Calibri"/>
                <w:noProof/>
              </w:rPr>
            </w:pPr>
            <w:r w:rsidRPr="00BE6BE3">
              <w:rPr>
                <w:rFonts w:eastAsia="Calibri" w:cs="Calibri"/>
                <w:noProof/>
              </w:rPr>
              <w:t xml:space="preserve">promoting circularity instruments and solutions such as the Digital Product Passport and Hardware-as-a-Service; </w:t>
            </w:r>
          </w:p>
          <w:p w14:paraId="761DEA2A" w14:textId="7CAB07C3" w:rsidR="5C4AB9EA" w:rsidRPr="00417E18" w:rsidRDefault="1666837F" w:rsidP="3C7001FB">
            <w:pPr>
              <w:pStyle w:val="ListParagraph"/>
              <w:numPr>
                <w:ilvl w:val="0"/>
                <w:numId w:val="31"/>
              </w:numPr>
              <w:spacing w:before="60" w:after="120"/>
              <w:ind w:left="714" w:hanging="357"/>
              <w:contextualSpacing w:val="0"/>
              <w:rPr>
                <w:rFonts w:eastAsia="Calibri" w:cs="Calibri"/>
                <w:noProof/>
                <w:sz w:val="24"/>
                <w:szCs w:val="24"/>
              </w:rPr>
            </w:pPr>
            <w:r w:rsidRPr="00BE6BE3">
              <w:rPr>
                <w:rFonts w:eastAsia="Calibri" w:cs="Calibri"/>
                <w:noProof/>
              </w:rPr>
              <w:t>ensuring national data centre expansion policies remain compatible with energy system constraints and environmental commitments and exploring incentive mechanisms for sustainable AI systems.</w:t>
            </w:r>
            <w:r w:rsidRPr="0E1EC96E">
              <w:rPr>
                <w:rFonts w:eastAsia="Calibri" w:cs="Calibri"/>
                <w:noProof/>
                <w:sz w:val="24"/>
                <w:szCs w:val="24"/>
              </w:rPr>
              <w:t xml:space="preserve"> </w:t>
            </w:r>
            <w:bookmarkStart w:id="128" w:name="_Toc195465525"/>
          </w:p>
        </w:tc>
      </w:tr>
    </w:tbl>
    <w:p w14:paraId="735682B4" w14:textId="1F4C66A2" w:rsidR="3D8ACC3F" w:rsidRPr="00417E18" w:rsidRDefault="165309FC" w:rsidP="00E11929">
      <w:pPr>
        <w:pStyle w:val="Heading1"/>
        <w:numPr>
          <w:ilvl w:val="0"/>
          <w:numId w:val="40"/>
        </w:numPr>
        <w:rPr>
          <w:noProof/>
        </w:rPr>
      </w:pPr>
      <w:bookmarkStart w:id="129" w:name="_Toc226710917"/>
      <w:bookmarkStart w:id="130" w:name="_Toc300308778"/>
      <w:bookmarkStart w:id="131" w:name="_Toc231830077"/>
      <w:bookmarkStart w:id="132" w:name="_Toc888465051"/>
      <w:bookmarkEnd w:id="128"/>
      <w:r w:rsidRPr="00417E18">
        <w:rPr>
          <w:noProof/>
        </w:rPr>
        <w:t>Funding the Digital Decade</w:t>
      </w:r>
      <w:bookmarkEnd w:id="129"/>
      <w:bookmarkEnd w:id="130"/>
      <w:bookmarkEnd w:id="131"/>
    </w:p>
    <w:bookmarkEnd w:id="132"/>
    <w:p w14:paraId="2E4C3CA8" w14:textId="114AA8B0" w:rsidR="00C55E7C" w:rsidRPr="003827BC" w:rsidRDefault="00C55E7C" w:rsidP="62FF43C7">
      <w:pPr>
        <w:rPr>
          <w:rFonts w:eastAsia="Calibri" w:cs="Calibri"/>
          <w:noProof/>
          <w:sz w:val="22"/>
          <w:szCs w:val="22"/>
        </w:rPr>
      </w:pPr>
      <w:r w:rsidRPr="621F62F4">
        <w:rPr>
          <w:rFonts w:eastAsia="Calibri" w:cs="Calibri"/>
          <w:noProof/>
          <w:sz w:val="22"/>
          <w:szCs w:val="22"/>
        </w:rPr>
        <w:t xml:space="preserve">Achieving the Digital Decade requires not only stronger policies and </w:t>
      </w:r>
      <w:r w:rsidR="00C131E7" w:rsidRPr="00C131E7">
        <w:rPr>
          <w:rFonts w:eastAsia="Calibri" w:cs="Calibri"/>
          <w:noProof/>
          <w:sz w:val="22"/>
          <w:szCs w:val="22"/>
        </w:rPr>
        <w:t>governance but</w:t>
      </w:r>
      <w:r w:rsidRPr="621F62F4">
        <w:rPr>
          <w:rFonts w:eastAsia="Calibri" w:cs="Calibri"/>
          <w:noProof/>
          <w:sz w:val="22"/>
          <w:szCs w:val="22"/>
        </w:rPr>
        <w:t xml:space="preserve"> also sustained and better targeted investment at both EU and national level. This section looks at how current funding instruments are supporting the digital transition, what implementation lessons can already be drawn from major programmes such as the Recovery and Resilience Facility</w:t>
      </w:r>
      <w:r w:rsidR="00C131E7">
        <w:rPr>
          <w:rFonts w:eastAsia="Calibri" w:cs="Calibri"/>
          <w:noProof/>
          <w:sz w:val="22"/>
          <w:szCs w:val="22"/>
        </w:rPr>
        <w:t xml:space="preserve"> (RRF)</w:t>
      </w:r>
      <w:r w:rsidRPr="621F62F4">
        <w:rPr>
          <w:rFonts w:eastAsia="Calibri" w:cs="Calibri"/>
          <w:noProof/>
          <w:sz w:val="22"/>
          <w:szCs w:val="22"/>
        </w:rPr>
        <w:t>, how cross-border investment mechanisms are evolving, and where the main financing gaps remain for the next programming period.</w:t>
      </w:r>
    </w:p>
    <w:p w14:paraId="3011F555" w14:textId="5EB21135" w:rsidR="001D2488" w:rsidRPr="00417E18" w:rsidRDefault="00E26D2B" w:rsidP="62FF43C7">
      <w:pPr>
        <w:rPr>
          <w:noProof/>
          <w:sz w:val="22"/>
          <w:szCs w:val="22"/>
          <w:u w:val="single"/>
        </w:rPr>
      </w:pPr>
      <w:r w:rsidRPr="00417E18">
        <w:rPr>
          <w:b/>
          <w:bCs/>
          <w:noProof/>
          <w:sz w:val="22"/>
          <w:szCs w:val="22"/>
        </w:rPr>
        <w:t xml:space="preserve">The digital transition is a core element of the Commission’s </w:t>
      </w:r>
      <w:r w:rsidR="00257D7F" w:rsidRPr="00417E18">
        <w:rPr>
          <w:b/>
          <w:bCs/>
          <w:noProof/>
          <w:sz w:val="22"/>
          <w:szCs w:val="22"/>
        </w:rPr>
        <w:t xml:space="preserve">investment </w:t>
      </w:r>
      <w:r w:rsidR="7B0EE31C">
        <w:rPr>
          <w:b/>
          <w:bCs/>
          <w:noProof/>
          <w:sz w:val="22"/>
          <w:szCs w:val="22"/>
        </w:rPr>
        <w:t>strategy</w:t>
      </w:r>
      <w:r w:rsidR="7C247445" w:rsidRPr="00417E18">
        <w:rPr>
          <w:b/>
          <w:bCs/>
          <w:noProof/>
          <w:sz w:val="22"/>
          <w:szCs w:val="22"/>
        </w:rPr>
        <w:t xml:space="preserve"> </w:t>
      </w:r>
      <w:r w:rsidR="00257D7F" w:rsidRPr="00417E18">
        <w:rPr>
          <w:b/>
          <w:bCs/>
          <w:noProof/>
          <w:sz w:val="22"/>
          <w:szCs w:val="22"/>
        </w:rPr>
        <w:t>for</w:t>
      </w:r>
      <w:r w:rsidRPr="00417E18">
        <w:rPr>
          <w:b/>
          <w:bCs/>
          <w:noProof/>
          <w:sz w:val="22"/>
          <w:szCs w:val="22"/>
        </w:rPr>
        <w:t xml:space="preserve"> competitiveness.</w:t>
      </w:r>
      <w:r w:rsidRPr="00417E18">
        <w:rPr>
          <w:noProof/>
          <w:sz w:val="22"/>
          <w:szCs w:val="22"/>
        </w:rPr>
        <w:t xml:space="preserve"> </w:t>
      </w:r>
      <w:r w:rsidR="68378C84" w:rsidRPr="00417E18">
        <w:rPr>
          <w:rFonts w:eastAsia="Calibri" w:cs="Calibri"/>
          <w:noProof/>
          <w:sz w:val="22"/>
          <w:szCs w:val="22"/>
        </w:rPr>
        <w:t xml:space="preserve">The </w:t>
      </w:r>
      <w:r w:rsidRPr="00417E18">
        <w:rPr>
          <w:rFonts w:eastAsia="Calibri" w:cs="Calibri"/>
          <w:noProof/>
          <w:sz w:val="22"/>
          <w:szCs w:val="22"/>
        </w:rPr>
        <w:t>202</w:t>
      </w:r>
      <w:r w:rsidR="00DB5DCC">
        <w:rPr>
          <w:rFonts w:eastAsia="Calibri" w:cs="Calibri"/>
          <w:noProof/>
          <w:sz w:val="22"/>
          <w:szCs w:val="22"/>
        </w:rPr>
        <w:t>6</w:t>
      </w:r>
      <w:r w:rsidRPr="00417E18">
        <w:rPr>
          <w:rFonts w:eastAsia="Calibri" w:cs="Calibri"/>
          <w:noProof/>
          <w:sz w:val="22"/>
          <w:szCs w:val="22"/>
        </w:rPr>
        <w:t xml:space="preserve"> stocktaking exercise</w:t>
      </w:r>
      <w:r w:rsidR="68378C84" w:rsidRPr="00417E18">
        <w:rPr>
          <w:rFonts w:eastAsia="Calibri" w:cs="Calibri"/>
          <w:noProof/>
          <w:sz w:val="22"/>
          <w:szCs w:val="22"/>
        </w:rPr>
        <w:t xml:space="preserve"> revealed</w:t>
      </w:r>
      <w:r w:rsidRPr="00417E18">
        <w:rPr>
          <w:rFonts w:eastAsia="Calibri" w:cs="Calibri"/>
          <w:noProof/>
          <w:sz w:val="22"/>
          <w:szCs w:val="22"/>
        </w:rPr>
        <w:t xml:space="preserve"> that </w:t>
      </w:r>
      <w:r w:rsidR="68378C84" w:rsidRPr="00417E18">
        <w:rPr>
          <w:rFonts w:eastAsia="Calibri" w:cs="Calibri"/>
          <w:noProof/>
          <w:sz w:val="22"/>
          <w:szCs w:val="22"/>
        </w:rPr>
        <w:t xml:space="preserve">nearly all </w:t>
      </w:r>
      <w:r w:rsidRPr="00417E18">
        <w:rPr>
          <w:rFonts w:eastAsia="Calibri" w:cs="Calibri"/>
          <w:noProof/>
          <w:sz w:val="22"/>
          <w:szCs w:val="22"/>
        </w:rPr>
        <w:t>EU budget</w:t>
      </w:r>
      <w:r w:rsidR="68378C84" w:rsidRPr="00417E18">
        <w:rPr>
          <w:rFonts w:eastAsia="Calibri" w:cs="Calibri"/>
          <w:noProof/>
          <w:sz w:val="22"/>
          <w:szCs w:val="22"/>
        </w:rPr>
        <w:t xml:space="preserve"> programmes contribute</w:t>
      </w:r>
      <w:r w:rsidRPr="00417E18">
        <w:rPr>
          <w:rFonts w:eastAsia="Calibri" w:cs="Calibri"/>
          <w:noProof/>
          <w:sz w:val="22"/>
          <w:szCs w:val="22"/>
        </w:rPr>
        <w:t xml:space="preserve"> to the digital transition</w:t>
      </w:r>
      <w:r w:rsidR="68378C84" w:rsidRPr="00417E18">
        <w:rPr>
          <w:rFonts w:eastAsia="Calibri" w:cs="Calibri"/>
          <w:noProof/>
          <w:sz w:val="22"/>
          <w:szCs w:val="22"/>
        </w:rPr>
        <w:t xml:space="preserve">, channelling EUR </w:t>
      </w:r>
      <w:r w:rsidR="00DB5DCC">
        <w:rPr>
          <w:rFonts w:eastAsia="Calibri" w:cs="Calibri"/>
          <w:noProof/>
          <w:sz w:val="22"/>
          <w:szCs w:val="22"/>
        </w:rPr>
        <w:t>229</w:t>
      </w:r>
      <w:r w:rsidR="68378C84" w:rsidRPr="00417E18">
        <w:rPr>
          <w:rFonts w:eastAsia="Calibri" w:cs="Calibri"/>
          <w:noProof/>
          <w:sz w:val="22"/>
          <w:szCs w:val="22"/>
        </w:rPr>
        <w:t xml:space="preserve"> billion to that purpose</w:t>
      </w:r>
      <w:r w:rsidRPr="00417E18">
        <w:rPr>
          <w:rFonts w:eastAsia="Calibri" w:cs="Calibri"/>
          <w:noProof/>
          <w:sz w:val="22"/>
          <w:szCs w:val="22"/>
        </w:rPr>
        <w:t xml:space="preserve"> between 2021 and 202</w:t>
      </w:r>
      <w:r w:rsidR="00DB5DCC">
        <w:rPr>
          <w:rFonts w:eastAsia="Calibri" w:cs="Calibri"/>
          <w:noProof/>
          <w:sz w:val="22"/>
          <w:szCs w:val="22"/>
        </w:rPr>
        <w:t>5</w:t>
      </w:r>
      <w:r w:rsidRPr="00417E18">
        <w:rPr>
          <w:rFonts w:eastAsia="Calibri" w:cs="Calibri"/>
          <w:noProof/>
          <w:sz w:val="22"/>
          <w:szCs w:val="22"/>
        </w:rPr>
        <w:t xml:space="preserve">, </w:t>
      </w:r>
      <w:r w:rsidR="7B0EE31C">
        <w:rPr>
          <w:rFonts w:eastAsia="Calibri" w:cs="Calibri"/>
          <w:noProof/>
          <w:sz w:val="22"/>
          <w:szCs w:val="22"/>
        </w:rPr>
        <w:t xml:space="preserve">representing </w:t>
      </w:r>
      <w:r w:rsidRPr="00417E18">
        <w:rPr>
          <w:rFonts w:eastAsia="Calibri" w:cs="Calibri"/>
          <w:noProof/>
          <w:sz w:val="22"/>
          <w:szCs w:val="22"/>
        </w:rPr>
        <w:t xml:space="preserve">almost </w:t>
      </w:r>
      <w:r w:rsidR="00DB5DCC">
        <w:rPr>
          <w:rFonts w:eastAsia="Calibri" w:cs="Calibri"/>
          <w:noProof/>
          <w:sz w:val="22"/>
          <w:szCs w:val="22"/>
        </w:rPr>
        <w:t>14.5</w:t>
      </w:r>
      <w:r w:rsidRPr="00417E18">
        <w:rPr>
          <w:rFonts w:eastAsia="Calibri" w:cs="Calibri"/>
          <w:noProof/>
          <w:sz w:val="22"/>
          <w:szCs w:val="22"/>
        </w:rPr>
        <w:t>% of the total EU budget for that period</w:t>
      </w:r>
      <w:r w:rsidR="0088274D" w:rsidRPr="00417E18">
        <w:rPr>
          <w:rFonts w:eastAsia="Calibri" w:cs="Calibri"/>
          <w:noProof/>
          <w:sz w:val="22"/>
          <w:szCs w:val="22"/>
          <w:vertAlign w:val="superscript"/>
        </w:rPr>
        <w:footnoteReference w:id="98"/>
      </w:r>
      <w:r w:rsidRPr="00417E18">
        <w:rPr>
          <w:rFonts w:eastAsia="Calibri" w:cs="Calibri"/>
          <w:noProof/>
          <w:sz w:val="22"/>
          <w:szCs w:val="22"/>
        </w:rPr>
        <w:t xml:space="preserve">. A significant share of </w:t>
      </w:r>
      <w:r w:rsidR="68378C84" w:rsidRPr="00417E18">
        <w:rPr>
          <w:rFonts w:eastAsia="Calibri" w:cs="Calibri"/>
          <w:noProof/>
          <w:sz w:val="22"/>
          <w:szCs w:val="22"/>
        </w:rPr>
        <w:t>the EU budget supporting the digital transition comes</w:t>
      </w:r>
      <w:r w:rsidRPr="00417E18">
        <w:rPr>
          <w:rFonts w:eastAsia="Calibri" w:cs="Calibri"/>
          <w:noProof/>
          <w:sz w:val="22"/>
          <w:szCs w:val="22"/>
        </w:rPr>
        <w:t xml:space="preserve"> from the Recovery and Resilience Facility</w:t>
      </w:r>
      <w:r w:rsidR="68378C84" w:rsidRPr="00417E18">
        <w:rPr>
          <w:rFonts w:eastAsia="Calibri" w:cs="Calibri"/>
          <w:noProof/>
          <w:sz w:val="22"/>
          <w:szCs w:val="22"/>
        </w:rPr>
        <w:t xml:space="preserve"> (RRF),</w:t>
      </w:r>
      <w:r w:rsidRPr="00417E18">
        <w:rPr>
          <w:rFonts w:eastAsia="Calibri" w:cs="Calibri"/>
          <w:noProof/>
          <w:sz w:val="22"/>
          <w:szCs w:val="22"/>
        </w:rPr>
        <w:t xml:space="preserve"> which </w:t>
      </w:r>
      <w:r w:rsidR="68378C84" w:rsidRPr="00417E18">
        <w:rPr>
          <w:rFonts w:eastAsia="Calibri" w:cs="Calibri"/>
          <w:noProof/>
          <w:sz w:val="22"/>
          <w:szCs w:val="22"/>
        </w:rPr>
        <w:t>as of April 2026 accounts for</w:t>
      </w:r>
      <w:r w:rsidRPr="00417E18">
        <w:rPr>
          <w:rFonts w:eastAsia="Calibri" w:cs="Calibri"/>
          <w:noProof/>
          <w:sz w:val="22"/>
          <w:szCs w:val="22"/>
        </w:rPr>
        <w:t xml:space="preserve"> EUR </w:t>
      </w:r>
      <w:r w:rsidR="68378C84" w:rsidRPr="00417E18">
        <w:rPr>
          <w:rFonts w:eastAsia="Calibri" w:cs="Calibri"/>
          <w:noProof/>
          <w:sz w:val="22"/>
          <w:szCs w:val="22"/>
        </w:rPr>
        <w:t>133.1</w:t>
      </w:r>
      <w:r w:rsidRPr="00417E18">
        <w:rPr>
          <w:rFonts w:eastAsia="Calibri" w:cs="Calibri"/>
          <w:noProof/>
          <w:sz w:val="22"/>
          <w:szCs w:val="22"/>
        </w:rPr>
        <w:t xml:space="preserve"> billion </w:t>
      </w:r>
      <w:r w:rsidR="68378C84" w:rsidRPr="00417E18">
        <w:rPr>
          <w:rFonts w:eastAsia="Calibri" w:cs="Calibri"/>
          <w:noProof/>
          <w:sz w:val="22"/>
          <w:szCs w:val="22"/>
        </w:rPr>
        <w:t>in public digital investments</w:t>
      </w:r>
      <w:r w:rsidR="1F38FAA7">
        <w:rPr>
          <w:rFonts w:eastAsia="Calibri" w:cs="Calibri"/>
          <w:noProof/>
          <w:sz w:val="22"/>
          <w:szCs w:val="22"/>
        </w:rPr>
        <w:t>.</w:t>
      </w:r>
    </w:p>
    <w:p w14:paraId="2E81FBF3" w14:textId="0CEB4F51" w:rsidR="001D2488" w:rsidRPr="00C855E1" w:rsidRDefault="00DC69CD" w:rsidP="16FBFCDA">
      <w:pPr>
        <w:rPr>
          <w:b/>
          <w:noProof/>
          <w:u w:val="single"/>
        </w:rPr>
      </w:pPr>
      <w:r w:rsidRPr="00C855E1">
        <w:rPr>
          <w:b/>
          <w:noProof/>
          <w:u w:val="single"/>
        </w:rPr>
        <w:t>Recovery and Resilience Facility</w:t>
      </w:r>
      <w:r w:rsidR="0013180E" w:rsidRPr="00C855E1">
        <w:rPr>
          <w:b/>
          <w:noProof/>
          <w:u w:val="single"/>
        </w:rPr>
        <w:t xml:space="preserve"> (RRF)</w:t>
      </w:r>
      <w:r w:rsidRPr="00C855E1">
        <w:rPr>
          <w:b/>
          <w:noProof/>
          <w:u w:val="single"/>
        </w:rPr>
        <w:t xml:space="preserve"> contribution to the Digital Decade targets</w:t>
      </w:r>
    </w:p>
    <w:p w14:paraId="2C7E894C" w14:textId="706ECB22" w:rsidR="006270F9" w:rsidRPr="00417E18" w:rsidRDefault="7E3E1B13" w:rsidP="331E198E">
      <w:pPr>
        <w:rPr>
          <w:rFonts w:eastAsia="Calibri" w:cs="Calibri"/>
          <w:noProof/>
          <w:sz w:val="22"/>
          <w:szCs w:val="22"/>
        </w:rPr>
      </w:pPr>
      <w:r w:rsidRPr="00417E18">
        <w:rPr>
          <w:rFonts w:eastAsia="Calibri" w:cs="Calibri"/>
          <w:noProof/>
          <w:sz w:val="22"/>
          <w:szCs w:val="22"/>
        </w:rPr>
        <w:t>The recent Joint Research Centre (JRC) report shows that of this EUR 133 billion, EUR 120.4 billion is considered to be contributing directly to Digital Decade targets and objectives</w:t>
      </w:r>
      <w:r>
        <w:rPr>
          <w:rFonts w:eastAsia="Calibri" w:cs="Calibri"/>
          <w:noProof/>
          <w:sz w:val="22"/>
          <w:szCs w:val="22"/>
        </w:rPr>
        <w:t>.</w:t>
      </w:r>
      <w:r w:rsidRPr="00417E18">
        <w:rPr>
          <w:rFonts w:eastAsia="Calibri" w:cs="Calibri"/>
          <w:noProof/>
          <w:sz w:val="22"/>
          <w:szCs w:val="22"/>
        </w:rPr>
        <w:t xml:space="preserve"> Among the Digital Decade cardinal points, the largest estimated expenditure is dedicated to digitalisation of businesses (36%) and digitalisation of public services (31%), followed by digital skills (18%) and digital infrastructure (15%).</w:t>
      </w:r>
    </w:p>
    <w:p w14:paraId="7B3AD04D" w14:textId="77777777" w:rsidR="00C465A4" w:rsidRPr="00417E18" w:rsidRDefault="00C465A4" w:rsidP="331E198E">
      <w:pPr>
        <w:rPr>
          <w:rFonts w:eastAsia="Calibri" w:cs="Calibri"/>
          <w:noProof/>
          <w:sz w:val="22"/>
          <w:szCs w:val="22"/>
        </w:rPr>
      </w:pPr>
    </w:p>
    <w:tbl>
      <w:tblPr>
        <w:tblStyle w:val="PlainTable3"/>
        <w:tblW w:w="0" w:type="auto"/>
        <w:jc w:val="center"/>
        <w:tblLook w:val="04A0" w:firstRow="1" w:lastRow="0" w:firstColumn="1" w:lastColumn="0" w:noHBand="0" w:noVBand="1"/>
      </w:tblPr>
      <w:tblGrid>
        <w:gridCol w:w="3355"/>
        <w:gridCol w:w="2174"/>
      </w:tblGrid>
      <w:tr w:rsidR="00E27838" w:rsidRPr="00417E18" w14:paraId="17F67785" w14:textId="77777777" w:rsidTr="62C1AF40">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100" w:firstRow="0" w:lastRow="0" w:firstColumn="1" w:lastColumn="0" w:oddVBand="0" w:evenVBand="0" w:oddHBand="0" w:evenHBand="0" w:firstRowFirstColumn="1" w:firstRowLastColumn="0" w:lastRowFirstColumn="0" w:lastRowLastColumn="0"/>
            <w:tcW w:w="3355" w:type="dxa"/>
            <w:tcBorders>
              <w:top w:val="nil"/>
              <w:left w:val="nil"/>
              <w:bottom w:val="single" w:sz="8" w:space="0" w:color="7F7F7F" w:themeColor="text1" w:themeTint="80"/>
            </w:tcBorders>
            <w:tcMar>
              <w:left w:w="108" w:type="dxa"/>
              <w:right w:w="108" w:type="dxa"/>
            </w:tcMar>
          </w:tcPr>
          <w:p w14:paraId="417D4692" w14:textId="27CE2E34" w:rsidR="331E198E" w:rsidRPr="00417E18" w:rsidRDefault="331E198E">
            <w:pPr>
              <w:rPr>
                <w:rFonts w:cs="Calibri"/>
                <w:noProof/>
                <w:sz w:val="18"/>
                <w:szCs w:val="18"/>
              </w:rPr>
            </w:pPr>
          </w:p>
        </w:tc>
        <w:tc>
          <w:tcPr>
            <w:tcW w:w="2174" w:type="dxa"/>
            <w:tcBorders>
              <w:top w:val="nil"/>
              <w:left w:val="nil"/>
              <w:bottom w:val="single" w:sz="8" w:space="0" w:color="7F7F7F" w:themeColor="text1" w:themeTint="80"/>
              <w:right w:val="nil"/>
            </w:tcBorders>
            <w:tcMar>
              <w:left w:w="108" w:type="dxa"/>
              <w:right w:w="108" w:type="dxa"/>
            </w:tcMar>
          </w:tcPr>
          <w:p w14:paraId="5E0E5021" w14:textId="78C3D7FD" w:rsidR="331E198E" w:rsidRPr="00417E18" w:rsidRDefault="09BC52EB" w:rsidP="00C53F25">
            <w:pPr>
              <w:spacing w:before="0" w:after="0"/>
              <w:jc w:val="center"/>
              <w:cnfStyle w:val="100000000000" w:firstRow="1" w:lastRow="0" w:firstColumn="0" w:lastColumn="0" w:oddVBand="0" w:evenVBand="0" w:oddHBand="0" w:evenHBand="0" w:firstRowFirstColumn="0" w:firstRowLastColumn="0" w:lastRowFirstColumn="0" w:lastRowLastColumn="0"/>
              <w:rPr>
                <w:rFonts w:eastAsia="Calibri" w:cs="Calibri"/>
                <w:b w:val="0"/>
                <w:noProof/>
                <w:color w:val="000000" w:themeColor="text1"/>
                <w:sz w:val="18"/>
                <w:szCs w:val="18"/>
              </w:rPr>
            </w:pPr>
            <w:r w:rsidRPr="00417E18">
              <w:rPr>
                <w:rFonts w:eastAsia="Calibri" w:cs="Calibri"/>
                <w:caps w:val="0"/>
                <w:noProof/>
                <w:color w:val="000000" w:themeColor="text1"/>
                <w:sz w:val="18"/>
                <w:szCs w:val="18"/>
              </w:rPr>
              <w:t xml:space="preserve">RRF </w:t>
            </w:r>
            <w:r w:rsidR="6C86C3E9" w:rsidRPr="00417E18">
              <w:rPr>
                <w:rFonts w:eastAsia="Calibri" w:cs="Calibri"/>
                <w:caps w:val="0"/>
                <w:noProof/>
                <w:color w:val="000000" w:themeColor="text1"/>
                <w:sz w:val="18"/>
                <w:szCs w:val="18"/>
              </w:rPr>
              <w:t>budget</w:t>
            </w:r>
            <w:r w:rsidRPr="00417E18">
              <w:rPr>
                <w:rFonts w:eastAsia="Calibri" w:cs="Calibri"/>
                <w:caps w:val="0"/>
                <w:noProof/>
                <w:color w:val="000000" w:themeColor="text1"/>
                <w:sz w:val="18"/>
                <w:szCs w:val="18"/>
              </w:rPr>
              <w:t xml:space="preserve"> (EUR </w:t>
            </w:r>
            <w:r w:rsidR="6C86C3E9" w:rsidRPr="00417E18">
              <w:rPr>
                <w:rFonts w:eastAsia="Calibri" w:cs="Calibri"/>
                <w:caps w:val="0"/>
                <w:noProof/>
                <w:color w:val="000000" w:themeColor="text1"/>
                <w:sz w:val="18"/>
                <w:szCs w:val="18"/>
              </w:rPr>
              <w:t>million</w:t>
            </w:r>
            <w:r w:rsidRPr="00417E18">
              <w:rPr>
                <w:rFonts w:eastAsia="Calibri" w:cs="Calibri"/>
                <w:caps w:val="0"/>
                <w:noProof/>
                <w:color w:val="000000" w:themeColor="text1"/>
                <w:sz w:val="18"/>
                <w:szCs w:val="18"/>
              </w:rPr>
              <w:t>)</w:t>
            </w:r>
          </w:p>
        </w:tc>
      </w:tr>
      <w:tr w:rsidR="0022501A" w:rsidRPr="00417E18" w14:paraId="427E2934"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single" w:sz="8" w:space="0" w:color="7F7F7F" w:themeColor="text1" w:themeTint="80"/>
              <w:left w:val="nil"/>
              <w:bottom w:val="nil"/>
              <w:right w:val="single" w:sz="8" w:space="0" w:color="7F7F7F" w:themeColor="text1" w:themeTint="80"/>
            </w:tcBorders>
            <w:tcMar>
              <w:left w:w="108" w:type="dxa"/>
              <w:right w:w="108" w:type="dxa"/>
            </w:tcMar>
          </w:tcPr>
          <w:p w14:paraId="433E4AA8" w14:textId="0FD4A215"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 xml:space="preserve">Other DD </w:t>
            </w:r>
            <w:r w:rsidR="007002C3" w:rsidRPr="00417E18">
              <w:rPr>
                <w:rFonts w:eastAsia="Calibri" w:cs="Calibri"/>
                <w:caps w:val="0"/>
                <w:noProof/>
                <w:color w:val="000000" w:themeColor="text1"/>
                <w:sz w:val="18"/>
                <w:szCs w:val="18"/>
              </w:rPr>
              <w:t>objectives</w:t>
            </w:r>
            <w:r w:rsidRPr="00417E18">
              <w:rPr>
                <w:rFonts w:eastAsia="Calibri" w:cs="Calibri"/>
                <w:caps w:val="0"/>
                <w:noProof/>
                <w:color w:val="000000" w:themeColor="text1"/>
                <w:sz w:val="18"/>
                <w:szCs w:val="18"/>
              </w:rPr>
              <w:t xml:space="preserve"> </w:t>
            </w:r>
          </w:p>
        </w:tc>
        <w:tc>
          <w:tcPr>
            <w:tcW w:w="2174" w:type="dxa"/>
            <w:tcMar>
              <w:left w:w="108" w:type="dxa"/>
              <w:right w:w="108" w:type="dxa"/>
            </w:tcMar>
          </w:tcPr>
          <w:p w14:paraId="09356F2E" w14:textId="27CB8DF1"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12 733</w:t>
            </w:r>
          </w:p>
        </w:tc>
      </w:tr>
      <w:tr w:rsidR="331E198E" w:rsidRPr="00417E18" w14:paraId="4FC6CCCB"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4E817E42" w14:textId="15089CA3"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Basic digital skills</w:t>
            </w:r>
          </w:p>
        </w:tc>
        <w:tc>
          <w:tcPr>
            <w:tcW w:w="2174" w:type="dxa"/>
            <w:tcMar>
              <w:left w:w="108" w:type="dxa"/>
              <w:right w:w="108" w:type="dxa"/>
            </w:tcMar>
          </w:tcPr>
          <w:p w14:paraId="5B498806" w14:textId="617478B3"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13 110</w:t>
            </w:r>
          </w:p>
        </w:tc>
      </w:tr>
      <w:tr w:rsidR="0022501A" w:rsidRPr="00417E18" w14:paraId="65927E4F"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4F40D14F" w14:textId="07DAF0BF"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ICT specialists</w:t>
            </w:r>
          </w:p>
        </w:tc>
        <w:tc>
          <w:tcPr>
            <w:tcW w:w="2174" w:type="dxa"/>
            <w:tcMar>
              <w:left w:w="108" w:type="dxa"/>
              <w:right w:w="108" w:type="dxa"/>
            </w:tcMar>
          </w:tcPr>
          <w:p w14:paraId="233417FB" w14:textId="5132A20B"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8 713</w:t>
            </w:r>
          </w:p>
        </w:tc>
      </w:tr>
      <w:tr w:rsidR="331E198E" w:rsidRPr="00417E18" w14:paraId="5454157B"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123993D9" w14:textId="111D3F64"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Gigabit network coverage</w:t>
            </w:r>
          </w:p>
        </w:tc>
        <w:tc>
          <w:tcPr>
            <w:tcW w:w="2174" w:type="dxa"/>
            <w:tcMar>
              <w:left w:w="108" w:type="dxa"/>
              <w:right w:w="108" w:type="dxa"/>
            </w:tcMar>
          </w:tcPr>
          <w:p w14:paraId="4955C4BF" w14:textId="6D99CF3B"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10 195</w:t>
            </w:r>
          </w:p>
        </w:tc>
      </w:tr>
      <w:tr w:rsidR="0022501A" w:rsidRPr="00417E18" w14:paraId="5C958DB3"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0CA891AE" w14:textId="0B51F6F0"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5G coverage</w:t>
            </w:r>
          </w:p>
        </w:tc>
        <w:tc>
          <w:tcPr>
            <w:tcW w:w="2174" w:type="dxa"/>
            <w:tcMar>
              <w:left w:w="108" w:type="dxa"/>
              <w:right w:w="108" w:type="dxa"/>
            </w:tcMar>
          </w:tcPr>
          <w:p w14:paraId="5B6D2AC1" w14:textId="6A82144B"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1 654</w:t>
            </w:r>
          </w:p>
        </w:tc>
      </w:tr>
      <w:tr w:rsidR="331E198E" w:rsidRPr="00417E18" w14:paraId="53AF338B"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46265AA7" w14:textId="34857F7B"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Semiconductors</w:t>
            </w:r>
          </w:p>
        </w:tc>
        <w:tc>
          <w:tcPr>
            <w:tcW w:w="2174" w:type="dxa"/>
            <w:tcMar>
              <w:left w:w="108" w:type="dxa"/>
              <w:right w:w="108" w:type="dxa"/>
            </w:tcMar>
          </w:tcPr>
          <w:p w14:paraId="5690C0BE" w14:textId="4CCDD3F5"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4 917</w:t>
            </w:r>
          </w:p>
        </w:tc>
      </w:tr>
      <w:tr w:rsidR="0022501A" w:rsidRPr="00417E18" w14:paraId="41180964"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60F076DB" w14:textId="13D92561"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 xml:space="preserve">Edge </w:t>
            </w:r>
            <w:r w:rsidR="007002C3" w:rsidRPr="00417E18">
              <w:rPr>
                <w:rFonts w:eastAsia="Calibri" w:cs="Calibri"/>
                <w:caps w:val="0"/>
                <w:noProof/>
                <w:color w:val="000000" w:themeColor="text1"/>
                <w:sz w:val="18"/>
                <w:szCs w:val="18"/>
              </w:rPr>
              <w:t>nodes</w:t>
            </w:r>
          </w:p>
        </w:tc>
        <w:tc>
          <w:tcPr>
            <w:tcW w:w="2174" w:type="dxa"/>
            <w:tcMar>
              <w:left w:w="108" w:type="dxa"/>
              <w:right w:w="108" w:type="dxa"/>
            </w:tcMar>
          </w:tcPr>
          <w:p w14:paraId="50129AC7" w14:textId="7219ACC8"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0</w:t>
            </w:r>
          </w:p>
        </w:tc>
      </w:tr>
      <w:tr w:rsidR="331E198E" w:rsidRPr="00417E18" w14:paraId="69DDCA07"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2ECCB0D8" w14:textId="4941385A"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 xml:space="preserve">Quantum </w:t>
            </w:r>
            <w:r w:rsidR="007002C3" w:rsidRPr="00417E18">
              <w:rPr>
                <w:rFonts w:eastAsia="Calibri" w:cs="Calibri"/>
                <w:caps w:val="0"/>
                <w:noProof/>
                <w:color w:val="000000" w:themeColor="text1"/>
                <w:sz w:val="18"/>
                <w:szCs w:val="18"/>
              </w:rPr>
              <w:t>computing</w:t>
            </w:r>
          </w:p>
        </w:tc>
        <w:tc>
          <w:tcPr>
            <w:tcW w:w="2174" w:type="dxa"/>
            <w:tcMar>
              <w:left w:w="108" w:type="dxa"/>
              <w:right w:w="108" w:type="dxa"/>
            </w:tcMar>
          </w:tcPr>
          <w:p w14:paraId="717E9D51" w14:textId="299AAC1C"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985</w:t>
            </w:r>
          </w:p>
        </w:tc>
      </w:tr>
      <w:tr w:rsidR="0022501A" w:rsidRPr="00417E18" w14:paraId="4E451085"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202FF1F3" w14:textId="2E8C57ED"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Cloud computing services</w:t>
            </w:r>
          </w:p>
        </w:tc>
        <w:tc>
          <w:tcPr>
            <w:tcW w:w="2174" w:type="dxa"/>
            <w:tcMar>
              <w:left w:w="108" w:type="dxa"/>
              <w:right w:w="108" w:type="dxa"/>
            </w:tcMar>
          </w:tcPr>
          <w:p w14:paraId="11883A73" w14:textId="68DD9F1E"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5 453</w:t>
            </w:r>
          </w:p>
        </w:tc>
      </w:tr>
      <w:tr w:rsidR="331E198E" w:rsidRPr="00417E18" w14:paraId="1FEFB047"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63DD6BBC" w14:textId="45550E43"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 xml:space="preserve">Data </w:t>
            </w:r>
            <w:r w:rsidR="007002C3" w:rsidRPr="00417E18">
              <w:rPr>
                <w:rFonts w:eastAsia="Calibri" w:cs="Calibri"/>
                <w:caps w:val="0"/>
                <w:noProof/>
                <w:color w:val="000000" w:themeColor="text1"/>
                <w:sz w:val="18"/>
                <w:szCs w:val="18"/>
              </w:rPr>
              <w:t>analytics</w:t>
            </w:r>
          </w:p>
        </w:tc>
        <w:tc>
          <w:tcPr>
            <w:tcW w:w="2174" w:type="dxa"/>
            <w:tcMar>
              <w:left w:w="108" w:type="dxa"/>
              <w:right w:w="108" w:type="dxa"/>
            </w:tcMar>
          </w:tcPr>
          <w:p w14:paraId="56D1C928" w14:textId="1CEC21A7"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4 665</w:t>
            </w:r>
          </w:p>
        </w:tc>
      </w:tr>
      <w:tr w:rsidR="0022501A" w:rsidRPr="00417E18" w14:paraId="6889E852"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15A55E12" w14:textId="02D101A9"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Artificial Intelligence</w:t>
            </w:r>
          </w:p>
        </w:tc>
        <w:tc>
          <w:tcPr>
            <w:tcW w:w="2174" w:type="dxa"/>
            <w:tcMar>
              <w:left w:w="108" w:type="dxa"/>
              <w:right w:w="108" w:type="dxa"/>
            </w:tcMar>
          </w:tcPr>
          <w:p w14:paraId="2009B7F3" w14:textId="6444B503"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5 219</w:t>
            </w:r>
          </w:p>
        </w:tc>
      </w:tr>
      <w:tr w:rsidR="331E198E" w:rsidRPr="00417E18" w14:paraId="1FF802AF"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7A87D65B" w14:textId="7BEADA7C"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SMEs digital intensity</w:t>
            </w:r>
          </w:p>
        </w:tc>
        <w:tc>
          <w:tcPr>
            <w:tcW w:w="2174" w:type="dxa"/>
            <w:tcMar>
              <w:left w:w="108" w:type="dxa"/>
              <w:right w:w="108" w:type="dxa"/>
            </w:tcMar>
          </w:tcPr>
          <w:p w14:paraId="4FE6536F" w14:textId="1A6D5BD5"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13 994</w:t>
            </w:r>
          </w:p>
        </w:tc>
      </w:tr>
      <w:tr w:rsidR="0022501A" w:rsidRPr="00417E18" w14:paraId="5F594F30"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45B40F53" w14:textId="2FAD5062"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Unicorns</w:t>
            </w:r>
          </w:p>
        </w:tc>
        <w:tc>
          <w:tcPr>
            <w:tcW w:w="2174" w:type="dxa"/>
            <w:tcMar>
              <w:left w:w="108" w:type="dxa"/>
              <w:right w:w="108" w:type="dxa"/>
            </w:tcMar>
          </w:tcPr>
          <w:p w14:paraId="0D636B62" w14:textId="16813685"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13 997</w:t>
            </w:r>
          </w:p>
        </w:tc>
      </w:tr>
      <w:tr w:rsidR="331E198E" w:rsidRPr="00417E18" w14:paraId="2A8E0E26"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505A1980" w14:textId="3A3CAAE5"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e</w:t>
            </w:r>
            <w:r w:rsidR="331E198E" w:rsidRPr="00417E18">
              <w:rPr>
                <w:rFonts w:eastAsia="Calibri" w:cs="Calibri"/>
                <w:caps w:val="0"/>
                <w:noProof/>
                <w:color w:val="000000" w:themeColor="text1"/>
                <w:sz w:val="18"/>
                <w:szCs w:val="18"/>
              </w:rPr>
              <w:t>-ID</w:t>
            </w:r>
          </w:p>
        </w:tc>
        <w:tc>
          <w:tcPr>
            <w:tcW w:w="2174" w:type="dxa"/>
            <w:tcMar>
              <w:left w:w="108" w:type="dxa"/>
              <w:right w:w="108" w:type="dxa"/>
            </w:tcMar>
          </w:tcPr>
          <w:p w14:paraId="64A85978" w14:textId="6C3A5CE7"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445</w:t>
            </w:r>
          </w:p>
        </w:tc>
      </w:tr>
      <w:tr w:rsidR="0022501A" w:rsidRPr="00417E18" w14:paraId="639312D1" w14:textId="77777777" w:rsidTr="7AAF53A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30E3EAD1" w14:textId="6F3CB3D8" w:rsidR="331E198E" w:rsidRPr="00417E18" w:rsidRDefault="007002C3"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Digital public services</w:t>
            </w:r>
          </w:p>
        </w:tc>
        <w:tc>
          <w:tcPr>
            <w:tcW w:w="2174" w:type="dxa"/>
            <w:tcMar>
              <w:left w:w="108" w:type="dxa"/>
              <w:right w:w="108" w:type="dxa"/>
            </w:tcMar>
          </w:tcPr>
          <w:p w14:paraId="20A5FE7E" w14:textId="5FAD9351"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23 593</w:t>
            </w:r>
          </w:p>
        </w:tc>
      </w:tr>
      <w:tr w:rsidR="331E198E" w:rsidRPr="00417E18" w14:paraId="79797980" w14:textId="77777777" w:rsidTr="00E1106F">
        <w:trPr>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bottom w:val="nil"/>
              <w:right w:val="single" w:sz="8" w:space="0" w:color="7F7F7F" w:themeColor="text1" w:themeTint="80"/>
            </w:tcBorders>
            <w:tcMar>
              <w:left w:w="108" w:type="dxa"/>
              <w:right w:w="108" w:type="dxa"/>
            </w:tcMar>
          </w:tcPr>
          <w:p w14:paraId="31D8EE01" w14:textId="0883E4E4"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 xml:space="preserve">Electronic </w:t>
            </w:r>
            <w:r w:rsidR="007002C3" w:rsidRPr="00417E18">
              <w:rPr>
                <w:rFonts w:eastAsia="Calibri" w:cs="Calibri"/>
                <w:caps w:val="0"/>
                <w:noProof/>
                <w:color w:val="000000" w:themeColor="text1"/>
                <w:sz w:val="18"/>
                <w:szCs w:val="18"/>
              </w:rPr>
              <w:t>health records</w:t>
            </w:r>
          </w:p>
        </w:tc>
        <w:tc>
          <w:tcPr>
            <w:tcW w:w="2174" w:type="dxa"/>
            <w:tcMar>
              <w:left w:w="108" w:type="dxa"/>
              <w:right w:w="108" w:type="dxa"/>
            </w:tcMar>
          </w:tcPr>
          <w:p w14:paraId="5BEF0650" w14:textId="1F626ADB" w:rsidR="331E198E" w:rsidRPr="00417E18" w:rsidRDefault="331E198E" w:rsidP="00C53F25">
            <w:pPr>
              <w:spacing w:before="0" w:after="0"/>
              <w:jc w:val="center"/>
              <w:cnfStyle w:val="000000000000" w:firstRow="0" w:lastRow="0" w:firstColumn="0" w:lastColumn="0" w:oddVBand="0" w:evenVBand="0" w:oddHBand="0"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13 455</w:t>
            </w:r>
          </w:p>
        </w:tc>
      </w:tr>
      <w:tr w:rsidR="00C81733" w:rsidRPr="00417E18" w14:paraId="0400351C" w14:textId="77777777" w:rsidTr="01EA2B7A">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355" w:type="dxa"/>
            <w:tcBorders>
              <w:top w:val="nil"/>
              <w:left w:val="nil"/>
              <w:right w:val="single" w:sz="8" w:space="0" w:color="7F7F7F" w:themeColor="text1" w:themeTint="80"/>
            </w:tcBorders>
            <w:tcMar>
              <w:left w:w="108" w:type="dxa"/>
              <w:right w:w="108" w:type="dxa"/>
            </w:tcMar>
          </w:tcPr>
          <w:p w14:paraId="3FA7949A" w14:textId="1C273379" w:rsidR="331E198E" w:rsidRPr="00417E18" w:rsidRDefault="331E198E" w:rsidP="331E198E">
            <w:pPr>
              <w:spacing w:before="0" w:after="0"/>
              <w:jc w:val="left"/>
              <w:rPr>
                <w:rFonts w:eastAsia="Calibri" w:cs="Calibri"/>
                <w:noProof/>
                <w:color w:val="000000" w:themeColor="text1"/>
                <w:sz w:val="18"/>
                <w:szCs w:val="18"/>
              </w:rPr>
            </w:pPr>
            <w:r w:rsidRPr="00417E18">
              <w:rPr>
                <w:rFonts w:eastAsia="Calibri" w:cs="Calibri"/>
                <w:caps w:val="0"/>
                <w:noProof/>
                <w:color w:val="000000" w:themeColor="text1"/>
                <w:sz w:val="18"/>
                <w:szCs w:val="18"/>
              </w:rPr>
              <w:t>Total DD-</w:t>
            </w:r>
            <w:r w:rsidR="007002C3" w:rsidRPr="00417E18">
              <w:rPr>
                <w:rFonts w:eastAsia="Calibri" w:cs="Calibri"/>
                <w:caps w:val="0"/>
                <w:noProof/>
                <w:color w:val="000000" w:themeColor="text1"/>
                <w:sz w:val="18"/>
                <w:szCs w:val="18"/>
              </w:rPr>
              <w:t>relevant budget</w:t>
            </w:r>
          </w:p>
        </w:tc>
        <w:tc>
          <w:tcPr>
            <w:tcW w:w="2174" w:type="dxa"/>
            <w:tcMar>
              <w:left w:w="108" w:type="dxa"/>
              <w:right w:w="108" w:type="dxa"/>
            </w:tcMar>
          </w:tcPr>
          <w:p w14:paraId="188D4D61" w14:textId="52A8B11D" w:rsidR="331E198E" w:rsidRPr="00417E18" w:rsidRDefault="331E198E" w:rsidP="00C53F25">
            <w:pPr>
              <w:spacing w:before="0" w:after="0"/>
              <w:jc w:val="center"/>
              <w:cnfStyle w:val="000000100000" w:firstRow="0" w:lastRow="0" w:firstColumn="0" w:lastColumn="0" w:oddVBand="0" w:evenVBand="0" w:oddHBand="1" w:evenHBand="0" w:firstRowFirstColumn="0" w:firstRowLastColumn="0" w:lastRowFirstColumn="0" w:lastRowLastColumn="0"/>
              <w:rPr>
                <w:rFonts w:eastAsia="Calibri" w:cs="Calibri"/>
                <w:noProof/>
                <w:color w:val="000000" w:themeColor="text1"/>
                <w:sz w:val="18"/>
                <w:szCs w:val="18"/>
              </w:rPr>
            </w:pPr>
            <w:r w:rsidRPr="00417E18">
              <w:rPr>
                <w:rFonts w:eastAsia="Calibri" w:cs="Calibri"/>
                <w:noProof/>
                <w:color w:val="000000" w:themeColor="text1"/>
                <w:sz w:val="18"/>
                <w:szCs w:val="18"/>
              </w:rPr>
              <w:t>120 396</w:t>
            </w:r>
          </w:p>
        </w:tc>
      </w:tr>
    </w:tbl>
    <w:p w14:paraId="0180C427" w14:textId="535ECE25" w:rsidR="004A4B0C" w:rsidRPr="00417E18" w:rsidRDefault="004A4B0C" w:rsidP="00E1106F">
      <w:pPr>
        <w:spacing w:before="0"/>
        <w:jc w:val="center"/>
        <w:rPr>
          <w:i/>
          <w:noProof/>
          <w:sz w:val="16"/>
          <w:szCs w:val="16"/>
        </w:rPr>
      </w:pPr>
      <w:r w:rsidRPr="00417E18">
        <w:rPr>
          <w:i/>
          <w:noProof/>
          <w:sz w:val="16"/>
          <w:szCs w:val="16"/>
        </w:rPr>
        <w:t>Source: JRC Calculations</w:t>
      </w:r>
    </w:p>
    <w:p w14:paraId="35FE2E09" w14:textId="77777777" w:rsidR="00791ED8" w:rsidRDefault="006270F9" w:rsidP="0058443B">
      <w:pPr>
        <w:rPr>
          <w:noProof/>
          <w:sz w:val="22"/>
          <w:szCs w:val="22"/>
        </w:rPr>
      </w:pPr>
      <w:r w:rsidRPr="00417E18">
        <w:rPr>
          <w:noProof/>
          <w:sz w:val="22"/>
          <w:szCs w:val="22"/>
        </w:rPr>
        <w:t>I</w:t>
      </w:r>
      <w:r w:rsidR="009A512D" w:rsidRPr="00417E18">
        <w:rPr>
          <w:noProof/>
          <w:sz w:val="22"/>
          <w:szCs w:val="22"/>
        </w:rPr>
        <w:t xml:space="preserve">n addition, </w:t>
      </w:r>
      <w:r w:rsidR="5572A32D" w:rsidRPr="00417E18">
        <w:rPr>
          <w:noProof/>
          <w:sz w:val="22"/>
          <w:szCs w:val="22"/>
        </w:rPr>
        <w:t>a</w:t>
      </w:r>
      <w:r w:rsidR="3947FE6F" w:rsidRPr="00417E18">
        <w:rPr>
          <w:noProof/>
          <w:sz w:val="22"/>
          <w:szCs w:val="22"/>
        </w:rPr>
        <w:t xml:space="preserve"> total of 25% of the RRF reforms are aimed at strengthening public institutions</w:t>
      </w:r>
      <w:r w:rsidR="4BB4E730" w:rsidRPr="00417E18">
        <w:rPr>
          <w:noProof/>
          <w:sz w:val="22"/>
          <w:szCs w:val="22"/>
        </w:rPr>
        <w:t xml:space="preserve">, </w:t>
      </w:r>
      <w:r w:rsidR="608AE907">
        <w:rPr>
          <w:noProof/>
          <w:sz w:val="22"/>
          <w:szCs w:val="22"/>
        </w:rPr>
        <w:t xml:space="preserve">the </w:t>
      </w:r>
      <w:r w:rsidR="4BB4E730" w:rsidRPr="00417E18">
        <w:rPr>
          <w:noProof/>
          <w:sz w:val="22"/>
          <w:szCs w:val="22"/>
        </w:rPr>
        <w:t>digitalisation of public services</w:t>
      </w:r>
      <w:r w:rsidR="4959A054" w:rsidRPr="00417E18">
        <w:rPr>
          <w:noProof/>
          <w:sz w:val="22"/>
          <w:szCs w:val="22"/>
        </w:rPr>
        <w:t>, education and cybersecurit</w:t>
      </w:r>
      <w:r w:rsidR="058F1C6F" w:rsidRPr="00417E18">
        <w:rPr>
          <w:noProof/>
          <w:sz w:val="22"/>
          <w:szCs w:val="22"/>
        </w:rPr>
        <w:t>y</w:t>
      </w:r>
      <w:r w:rsidR="00846D14">
        <w:rPr>
          <w:noProof/>
          <w:sz w:val="22"/>
          <w:szCs w:val="22"/>
        </w:rPr>
        <w:t>, while</w:t>
      </w:r>
      <w:r w:rsidR="058F1C6F" w:rsidRPr="00417E18">
        <w:rPr>
          <w:noProof/>
          <w:sz w:val="22"/>
          <w:szCs w:val="22"/>
        </w:rPr>
        <w:t xml:space="preserve"> 13% improve skills and labour market outcomes</w:t>
      </w:r>
      <w:r w:rsidR="00A6532A" w:rsidRPr="00417E18">
        <w:rPr>
          <w:rStyle w:val="FootnoteReference"/>
          <w:noProof/>
          <w:sz w:val="22"/>
          <w:szCs w:val="22"/>
        </w:rPr>
        <w:footnoteReference w:id="99"/>
      </w:r>
      <w:r w:rsidR="058F1C6F" w:rsidRPr="00417E18">
        <w:rPr>
          <w:noProof/>
          <w:sz w:val="22"/>
          <w:szCs w:val="22"/>
        </w:rPr>
        <w:t>.</w:t>
      </w:r>
      <w:r w:rsidR="2316A8AE" w:rsidRPr="00417E18">
        <w:rPr>
          <w:noProof/>
          <w:sz w:val="22"/>
          <w:szCs w:val="22"/>
        </w:rPr>
        <w:t xml:space="preserve"> </w:t>
      </w:r>
      <w:r w:rsidR="572CDFC9" w:rsidRPr="00417E18">
        <w:rPr>
          <w:noProof/>
          <w:sz w:val="22"/>
          <w:szCs w:val="22"/>
        </w:rPr>
        <w:t>Over 55% of RRF funds have been disbursed</w:t>
      </w:r>
      <w:r w:rsidR="00D70A8B" w:rsidRPr="00417E18">
        <w:rPr>
          <w:rStyle w:val="FootnoteReference"/>
          <w:noProof/>
          <w:sz w:val="22"/>
          <w:szCs w:val="22"/>
        </w:rPr>
        <w:footnoteReference w:id="100"/>
      </w:r>
      <w:r w:rsidR="68510E0C" w:rsidRPr="00417E18">
        <w:rPr>
          <w:noProof/>
          <w:sz w:val="22"/>
          <w:szCs w:val="22"/>
        </w:rPr>
        <w:t>,</w:t>
      </w:r>
      <w:r w:rsidR="329E30A8" w:rsidRPr="00417E18">
        <w:rPr>
          <w:noProof/>
          <w:sz w:val="22"/>
          <w:szCs w:val="22"/>
        </w:rPr>
        <w:t xml:space="preserve"> with </w:t>
      </w:r>
      <w:r w:rsidR="7034CB90" w:rsidRPr="00417E18">
        <w:rPr>
          <w:noProof/>
          <w:sz w:val="22"/>
          <w:szCs w:val="22"/>
        </w:rPr>
        <w:t>signi</w:t>
      </w:r>
      <w:r w:rsidR="68C313FB" w:rsidRPr="00417E18">
        <w:rPr>
          <w:noProof/>
          <w:sz w:val="22"/>
          <w:szCs w:val="22"/>
        </w:rPr>
        <w:t xml:space="preserve">ficant implementation progress </w:t>
      </w:r>
      <w:r w:rsidR="0BC94E7E" w:rsidRPr="00417E18">
        <w:rPr>
          <w:noProof/>
          <w:sz w:val="22"/>
          <w:szCs w:val="22"/>
        </w:rPr>
        <w:t>during the last reporting period</w:t>
      </w:r>
      <w:r w:rsidR="00F037D9" w:rsidRPr="00417E18">
        <w:rPr>
          <w:rStyle w:val="FootnoteReference"/>
          <w:noProof/>
          <w:sz w:val="22"/>
          <w:szCs w:val="22"/>
        </w:rPr>
        <w:footnoteReference w:id="101"/>
      </w:r>
      <w:r w:rsidR="5563102B" w:rsidRPr="00417E18">
        <w:rPr>
          <w:noProof/>
          <w:sz w:val="22"/>
          <w:szCs w:val="22"/>
        </w:rPr>
        <w:t xml:space="preserve">, </w:t>
      </w:r>
      <w:r w:rsidR="4C8E9D1D">
        <w:rPr>
          <w:noProof/>
          <w:sz w:val="22"/>
          <w:szCs w:val="22"/>
        </w:rPr>
        <w:t>although</w:t>
      </w:r>
      <w:r w:rsidR="7470E3F4" w:rsidRPr="00417E18">
        <w:rPr>
          <w:noProof/>
          <w:sz w:val="22"/>
          <w:szCs w:val="22"/>
        </w:rPr>
        <w:t xml:space="preserve"> the </w:t>
      </w:r>
      <w:r w:rsidR="7C4EB884" w:rsidRPr="00417E18">
        <w:rPr>
          <w:noProof/>
          <w:sz w:val="22"/>
          <w:szCs w:val="22"/>
        </w:rPr>
        <w:t>Commission stress</w:t>
      </w:r>
      <w:r w:rsidR="7470E3F4" w:rsidRPr="00417E18">
        <w:rPr>
          <w:noProof/>
          <w:sz w:val="22"/>
          <w:szCs w:val="22"/>
        </w:rPr>
        <w:t>ed</w:t>
      </w:r>
      <w:r w:rsidR="7C4EB884" w:rsidRPr="00417E18">
        <w:rPr>
          <w:noProof/>
          <w:sz w:val="22"/>
          <w:szCs w:val="22"/>
        </w:rPr>
        <w:t xml:space="preserve"> that implementation needs to accelerate in most </w:t>
      </w:r>
      <w:r w:rsidR="47B806DA" w:rsidRPr="00417E18">
        <w:rPr>
          <w:noProof/>
          <w:sz w:val="22"/>
          <w:szCs w:val="22"/>
        </w:rPr>
        <w:t>Member States</w:t>
      </w:r>
      <w:r w:rsidR="2573F8EE" w:rsidRPr="00417E18">
        <w:rPr>
          <w:noProof/>
          <w:sz w:val="22"/>
          <w:szCs w:val="22"/>
        </w:rPr>
        <w:t>.</w:t>
      </w:r>
    </w:p>
    <w:p w14:paraId="6DEA1E25" w14:textId="2B492532" w:rsidR="0019522E" w:rsidRPr="00967EE0" w:rsidRDefault="00791ED8" w:rsidP="0058443B">
      <w:pPr>
        <w:rPr>
          <w:noProof/>
          <w:sz w:val="22"/>
          <w:szCs w:val="22"/>
          <w:lang w:val="en-IE"/>
        </w:rPr>
      </w:pPr>
      <w:r w:rsidRPr="007F6E28">
        <w:rPr>
          <w:noProof/>
          <w:sz w:val="22"/>
          <w:szCs w:val="22"/>
          <w:lang w:val="en-IE"/>
        </w:rPr>
        <w:t>By 2030, digital RRF investments are estimated to generate a cumulative economic impact of EUR 219 billion within the EU and EUR 302 billion globally (corresponding to a multiplier of 1.</w:t>
      </w:r>
      <w:r w:rsidR="005667B1">
        <w:rPr>
          <w:noProof/>
          <w:sz w:val="22"/>
          <w:szCs w:val="22"/>
          <w:lang w:val="en-IE"/>
        </w:rPr>
        <w:t>5</w:t>
      </w:r>
      <w:r>
        <w:rPr>
          <w:noProof/>
          <w:sz w:val="22"/>
          <w:szCs w:val="22"/>
          <w:lang w:val="en-IE"/>
        </w:rPr>
        <w:t xml:space="preserve"> within the EU and</w:t>
      </w:r>
      <w:r w:rsidRPr="007F6E28">
        <w:rPr>
          <w:noProof/>
          <w:sz w:val="22"/>
          <w:szCs w:val="22"/>
          <w:lang w:val="en-IE"/>
        </w:rPr>
        <w:t xml:space="preserve"> </w:t>
      </w:r>
      <w:r>
        <w:rPr>
          <w:noProof/>
          <w:sz w:val="22"/>
          <w:szCs w:val="22"/>
          <w:lang w:val="en-IE"/>
        </w:rPr>
        <w:t>2.0 globally, significantly higher than the overall impact of RRF spending</w:t>
      </w:r>
      <w:r w:rsidRPr="007F6E28">
        <w:rPr>
          <w:noProof/>
          <w:sz w:val="22"/>
          <w:szCs w:val="22"/>
          <w:lang w:val="en-IE"/>
        </w:rPr>
        <w:t>)</w:t>
      </w:r>
      <w:r w:rsidR="00CF2756">
        <w:rPr>
          <w:rStyle w:val="FootnoteReference"/>
          <w:noProof/>
          <w:sz w:val="22"/>
          <w:szCs w:val="22"/>
          <w:lang w:val="en-IE"/>
        </w:rPr>
        <w:footnoteReference w:id="102"/>
      </w:r>
      <w:r w:rsidRPr="007F6E28">
        <w:rPr>
          <w:noProof/>
          <w:sz w:val="22"/>
          <w:szCs w:val="22"/>
          <w:lang w:val="en-IE"/>
        </w:rPr>
        <w:t>.</w:t>
      </w:r>
      <w:r>
        <w:rPr>
          <w:noProof/>
          <w:sz w:val="22"/>
          <w:szCs w:val="22"/>
          <w:lang w:val="en-IE"/>
        </w:rPr>
        <w:t xml:space="preserve"> </w:t>
      </w:r>
      <w:r>
        <w:rPr>
          <w:noProof/>
          <w:sz w:val="22"/>
          <w:szCs w:val="22"/>
        </w:rPr>
        <w:t>Of the total EU impact, a</w:t>
      </w:r>
      <w:r w:rsidRPr="007F6E28">
        <w:rPr>
          <w:noProof/>
          <w:sz w:val="22"/>
          <w:szCs w:val="22"/>
        </w:rPr>
        <w:t>round EUR 5</w:t>
      </w:r>
      <w:r>
        <w:rPr>
          <w:noProof/>
          <w:sz w:val="22"/>
          <w:szCs w:val="22"/>
        </w:rPr>
        <w:t>1</w:t>
      </w:r>
      <w:r w:rsidRPr="007F6E28">
        <w:rPr>
          <w:noProof/>
          <w:sz w:val="22"/>
          <w:szCs w:val="22"/>
        </w:rPr>
        <w:t xml:space="preserve"> billion arises from cross-border spillover</w:t>
      </w:r>
      <w:r>
        <w:rPr>
          <w:noProof/>
          <w:sz w:val="22"/>
          <w:szCs w:val="22"/>
        </w:rPr>
        <w:t xml:space="preserve"> effects</w:t>
      </w:r>
      <w:r w:rsidRPr="007F6E28">
        <w:rPr>
          <w:noProof/>
          <w:sz w:val="22"/>
          <w:szCs w:val="22"/>
        </w:rPr>
        <w:t>, confirming the Single Market as a key transmission channel and reinforcing the case for coordinated EU action.</w:t>
      </w:r>
    </w:p>
    <w:p w14:paraId="15DE0178" w14:textId="791620CD" w:rsidR="009F58F4" w:rsidRPr="001266AA" w:rsidRDefault="005E3326" w:rsidP="0058443B">
      <w:pPr>
        <w:rPr>
          <w:noProof/>
          <w:sz w:val="22"/>
          <w:szCs w:val="22"/>
        </w:rPr>
      </w:pPr>
      <w:r w:rsidRPr="00417E18">
        <w:rPr>
          <w:b/>
          <w:bCs/>
          <w:noProof/>
          <w:sz w:val="22"/>
          <w:szCs w:val="22"/>
        </w:rPr>
        <w:t xml:space="preserve">Lessons learned from </w:t>
      </w:r>
      <w:r w:rsidR="008C2234" w:rsidRPr="00417E18">
        <w:rPr>
          <w:b/>
          <w:bCs/>
          <w:noProof/>
          <w:sz w:val="22"/>
          <w:szCs w:val="22"/>
        </w:rPr>
        <w:t>implementation of</w:t>
      </w:r>
      <w:r w:rsidRPr="00417E18">
        <w:rPr>
          <w:b/>
          <w:bCs/>
          <w:noProof/>
          <w:sz w:val="22"/>
          <w:szCs w:val="22"/>
        </w:rPr>
        <w:t xml:space="preserve"> digital measures under the RRF</w:t>
      </w:r>
      <w:r w:rsidR="00117422" w:rsidRPr="57C6E7AE">
        <w:rPr>
          <w:noProof/>
          <w:sz w:val="22"/>
          <w:szCs w:val="22"/>
        </w:rPr>
        <w:t>, as</w:t>
      </w:r>
      <w:r w:rsidRPr="00417E18">
        <w:rPr>
          <w:noProof/>
          <w:sz w:val="22"/>
          <w:szCs w:val="22"/>
        </w:rPr>
        <w:t xml:space="preserve"> </w:t>
      </w:r>
      <w:r w:rsidR="00DE4BB2" w:rsidRPr="00417E18">
        <w:rPr>
          <w:noProof/>
          <w:sz w:val="22"/>
          <w:szCs w:val="22"/>
        </w:rPr>
        <w:t xml:space="preserve">shared </w:t>
      </w:r>
      <w:r w:rsidR="00117422">
        <w:rPr>
          <w:noProof/>
          <w:sz w:val="22"/>
          <w:szCs w:val="22"/>
        </w:rPr>
        <w:t>in</w:t>
      </w:r>
      <w:r w:rsidR="00DE4BB2" w:rsidRPr="00417E18">
        <w:rPr>
          <w:noProof/>
          <w:sz w:val="22"/>
          <w:szCs w:val="22"/>
        </w:rPr>
        <w:t xml:space="preserve"> </w:t>
      </w:r>
      <w:r w:rsidR="00C679B6" w:rsidRPr="00417E18">
        <w:rPr>
          <w:noProof/>
          <w:sz w:val="22"/>
          <w:szCs w:val="22"/>
        </w:rPr>
        <w:t>the</w:t>
      </w:r>
      <w:r w:rsidR="006C2D99" w:rsidRPr="00417E18">
        <w:rPr>
          <w:noProof/>
          <w:sz w:val="22"/>
          <w:szCs w:val="22"/>
        </w:rPr>
        <w:t xml:space="preserve"> Digital Decade Board</w:t>
      </w:r>
      <w:r w:rsidR="00833979" w:rsidRPr="00417E18">
        <w:rPr>
          <w:noProof/>
          <w:sz w:val="22"/>
          <w:szCs w:val="22"/>
        </w:rPr>
        <w:t>,</w:t>
      </w:r>
      <w:r w:rsidR="006C2D99" w:rsidRPr="00417E18">
        <w:rPr>
          <w:noProof/>
          <w:sz w:val="22"/>
          <w:szCs w:val="22"/>
        </w:rPr>
        <w:t xml:space="preserve"> </w:t>
      </w:r>
      <w:r w:rsidR="00833979" w:rsidRPr="00417E18">
        <w:rPr>
          <w:noProof/>
          <w:sz w:val="22"/>
          <w:szCs w:val="22"/>
        </w:rPr>
        <w:t xml:space="preserve">reflecting the views from Spain, Croatia, Hungary, Ireland, Italy, Lithuania, Luxembourg, Malta and Portugal, </w:t>
      </w:r>
      <w:r w:rsidRPr="00417E18">
        <w:rPr>
          <w:noProof/>
          <w:sz w:val="22"/>
          <w:szCs w:val="22"/>
        </w:rPr>
        <w:t>point to a common set of delivery constraints and design improvements for</w:t>
      </w:r>
      <w:r w:rsidR="00050877" w:rsidRPr="00417E18">
        <w:rPr>
          <w:noProof/>
          <w:sz w:val="22"/>
          <w:szCs w:val="22"/>
        </w:rPr>
        <w:t xml:space="preserve"> the</w:t>
      </w:r>
      <w:r w:rsidRPr="00417E18">
        <w:rPr>
          <w:noProof/>
          <w:sz w:val="22"/>
          <w:szCs w:val="22"/>
        </w:rPr>
        <w:t xml:space="preserve"> future programming </w:t>
      </w:r>
      <w:r w:rsidR="420C40F0" w:rsidRPr="00417E18">
        <w:rPr>
          <w:noProof/>
          <w:sz w:val="22"/>
          <w:szCs w:val="22"/>
        </w:rPr>
        <w:t>period</w:t>
      </w:r>
      <w:r w:rsidR="54F98BF1" w:rsidRPr="00417E18">
        <w:rPr>
          <w:noProof/>
          <w:sz w:val="22"/>
          <w:szCs w:val="22"/>
        </w:rPr>
        <w:t>.</w:t>
      </w:r>
      <w:r w:rsidRPr="00417E18">
        <w:rPr>
          <w:noProof/>
          <w:sz w:val="22"/>
          <w:szCs w:val="22"/>
        </w:rPr>
        <w:t xml:space="preserve"> </w:t>
      </w:r>
      <w:r w:rsidR="00250910" w:rsidRPr="00417E18">
        <w:rPr>
          <w:noProof/>
          <w:sz w:val="22"/>
          <w:szCs w:val="22"/>
        </w:rPr>
        <w:t xml:space="preserve">First, administrative burden and reporting requirements often proved disproportionate, particularly for smaller projects for which complex compliance obligations can undermine accessibility and effectiveness unless proportionality is built into control and audit expectations. Secondly, </w:t>
      </w:r>
      <w:r w:rsidR="00E72787">
        <w:rPr>
          <w:noProof/>
          <w:sz w:val="22"/>
          <w:szCs w:val="22"/>
        </w:rPr>
        <w:t>in</w:t>
      </w:r>
      <w:r w:rsidR="00250910" w:rsidRPr="00417E18">
        <w:rPr>
          <w:noProof/>
          <w:sz w:val="22"/>
          <w:szCs w:val="22"/>
        </w:rPr>
        <w:t xml:space="preserve"> large-scale initiatives, implementation delays were frequently driven by complex public procurement procedures, demanding data integration and interoperability requirements, and an underestimation of the digital maturity of existing (often legacy) systems</w:t>
      </w:r>
      <w:r w:rsidR="00E72787" w:rsidRPr="57C6E7AE">
        <w:rPr>
          <w:noProof/>
          <w:sz w:val="22"/>
          <w:szCs w:val="22"/>
        </w:rPr>
        <w:t>.</w:t>
      </w:r>
      <w:r w:rsidR="00250910" w:rsidRPr="57C6E7AE">
        <w:rPr>
          <w:noProof/>
          <w:sz w:val="22"/>
          <w:szCs w:val="22"/>
        </w:rPr>
        <w:t xml:space="preserve"> </w:t>
      </w:r>
      <w:r w:rsidR="00E72787" w:rsidRPr="57C6E7AE">
        <w:rPr>
          <w:noProof/>
          <w:sz w:val="22"/>
          <w:szCs w:val="22"/>
        </w:rPr>
        <w:t>P</w:t>
      </w:r>
      <w:r w:rsidR="00250910" w:rsidRPr="57C6E7AE">
        <w:rPr>
          <w:noProof/>
          <w:sz w:val="22"/>
          <w:szCs w:val="22"/>
        </w:rPr>
        <w:t>rogress</w:t>
      </w:r>
      <w:r w:rsidR="00250910" w:rsidRPr="00417E18">
        <w:rPr>
          <w:noProof/>
          <w:sz w:val="22"/>
          <w:szCs w:val="22"/>
        </w:rPr>
        <w:t xml:space="preserve"> also became highly dependent on suppliers, meaning that even minor setbacks could stall entire programmes. Thirdly, digital policy and especially innovative </w:t>
      </w:r>
      <w:r w:rsidR="0011374F" w:rsidRPr="00417E18">
        <w:rPr>
          <w:noProof/>
          <w:sz w:val="22"/>
          <w:szCs w:val="22"/>
        </w:rPr>
        <w:t xml:space="preserve">and advanced </w:t>
      </w:r>
      <w:r w:rsidR="00250910" w:rsidRPr="00417E18">
        <w:rPr>
          <w:noProof/>
          <w:sz w:val="22"/>
          <w:szCs w:val="22"/>
        </w:rPr>
        <w:t>technologies require greater design flexibility: projects involving fast-evolving solutions need space for testing, pilots and iterative development, alongside more adaptable milestones, targets and implementation pathways</w:t>
      </w:r>
      <w:r w:rsidR="0011374F" w:rsidRPr="00417E18">
        <w:rPr>
          <w:noProof/>
          <w:sz w:val="22"/>
          <w:szCs w:val="22"/>
        </w:rPr>
        <w:t>.</w:t>
      </w:r>
      <w:r w:rsidR="00250910" w:rsidRPr="00417E18">
        <w:rPr>
          <w:noProof/>
          <w:sz w:val="22"/>
          <w:szCs w:val="22"/>
        </w:rPr>
        <w:t xml:space="preserve"> </w:t>
      </w:r>
      <w:r w:rsidR="0011374F" w:rsidRPr="00417E18">
        <w:rPr>
          <w:noProof/>
          <w:sz w:val="22"/>
          <w:szCs w:val="22"/>
        </w:rPr>
        <w:t>T</w:t>
      </w:r>
      <w:r w:rsidR="00250910" w:rsidRPr="00417E18">
        <w:rPr>
          <w:noProof/>
          <w:sz w:val="22"/>
          <w:szCs w:val="22"/>
        </w:rPr>
        <w:t xml:space="preserve">hese challenges are compounded by limited specialised expertise within Member States and </w:t>
      </w:r>
      <w:r w:rsidR="0095565E">
        <w:rPr>
          <w:noProof/>
          <w:sz w:val="22"/>
          <w:szCs w:val="22"/>
        </w:rPr>
        <w:t>by</w:t>
      </w:r>
      <w:r w:rsidR="00250910" w:rsidRPr="00417E18">
        <w:rPr>
          <w:noProof/>
          <w:sz w:val="22"/>
          <w:szCs w:val="22"/>
        </w:rPr>
        <w:t xml:space="preserve"> the inherent difficulty of forecasting demand and uptake for novel digital technologies. Finally, implementation would benefit from stronger multi-level coordination that better reflects the operational role of regional and local authorities, with clearer allocation of responsibilities and decision-making across EU, national and regional levels to reduce </w:t>
      </w:r>
      <w:r w:rsidR="00250910" w:rsidRPr="001266AA">
        <w:rPr>
          <w:noProof/>
          <w:sz w:val="22"/>
          <w:szCs w:val="22"/>
        </w:rPr>
        <w:t>friction, improve sequencing and accelerate delivery.</w:t>
      </w:r>
    </w:p>
    <w:p w14:paraId="36E241BF" w14:textId="754095A6" w:rsidR="007609F7" w:rsidRPr="001266AA" w:rsidRDefault="00C01B3C" w:rsidP="0058443B">
      <w:pPr>
        <w:rPr>
          <w:b/>
          <w:noProof/>
          <w:sz w:val="22"/>
          <w:szCs w:val="22"/>
        </w:rPr>
      </w:pPr>
      <w:r w:rsidRPr="001266AA">
        <w:rPr>
          <w:b/>
          <w:noProof/>
          <w:sz w:val="22"/>
          <w:szCs w:val="22"/>
        </w:rPr>
        <w:t xml:space="preserve">Advancing </w:t>
      </w:r>
      <w:r w:rsidR="007609F7" w:rsidRPr="001266AA">
        <w:rPr>
          <w:b/>
          <w:noProof/>
          <w:sz w:val="22"/>
          <w:szCs w:val="22"/>
        </w:rPr>
        <w:t xml:space="preserve">cross-border collaboration for digital </w:t>
      </w:r>
      <w:r w:rsidR="00EE242F" w:rsidRPr="001266AA">
        <w:rPr>
          <w:b/>
          <w:noProof/>
          <w:sz w:val="22"/>
          <w:szCs w:val="22"/>
        </w:rPr>
        <w:t>investments</w:t>
      </w:r>
    </w:p>
    <w:p w14:paraId="478CB3F7" w14:textId="09C52867" w:rsidR="00E61515" w:rsidRPr="001266AA" w:rsidRDefault="00E61515" w:rsidP="00E61515">
      <w:pPr>
        <w:spacing w:after="160"/>
        <w:rPr>
          <w:noProof/>
          <w:sz w:val="22"/>
          <w:szCs w:val="22"/>
        </w:rPr>
      </w:pPr>
      <w:r w:rsidRPr="001266AA">
        <w:rPr>
          <w:b/>
          <w:noProof/>
          <w:sz w:val="22"/>
          <w:szCs w:val="22"/>
        </w:rPr>
        <w:t>Through multi-country projects (MCPs), Member States and the Commission are stepping up cooperation to build strategic digital capacities that no single country could deliver alone</w:t>
      </w:r>
      <w:r w:rsidRPr="001266AA">
        <w:rPr>
          <w:noProof/>
          <w:sz w:val="22"/>
          <w:szCs w:val="22"/>
        </w:rPr>
        <w:t xml:space="preserve">. In 2025-2026, this has led to tangible progress in setting up and advancing European Digital Infrastructure Consortia (EDICs). </w:t>
      </w:r>
    </w:p>
    <w:p w14:paraId="7BE0DF8C" w14:textId="6954186C" w:rsidR="00E61515" w:rsidRPr="001266AA" w:rsidRDefault="4E498F93" w:rsidP="00E61515">
      <w:pPr>
        <w:spacing w:after="160"/>
        <w:rPr>
          <w:noProof/>
          <w:sz w:val="22"/>
          <w:szCs w:val="22"/>
        </w:rPr>
      </w:pPr>
      <w:r w:rsidRPr="001266AA">
        <w:rPr>
          <w:b/>
          <w:bCs/>
          <w:noProof/>
          <w:sz w:val="22"/>
          <w:szCs w:val="22"/>
        </w:rPr>
        <w:t>Two new EDICs have been established:</w:t>
      </w:r>
      <w:r w:rsidRPr="001266AA">
        <w:rPr>
          <w:noProof/>
          <w:sz w:val="22"/>
          <w:szCs w:val="22"/>
        </w:rPr>
        <w:t xml:space="preserve"> the Digital Commons EDIC, which aims to support the development and scaling of digital commons by improving access to funding and strengthening public contributions; and the IMPACTS</w:t>
      </w:r>
      <w:r w:rsidR="66632C2A" w:rsidRPr="001266AA">
        <w:rPr>
          <w:noProof/>
          <w:sz w:val="22"/>
          <w:szCs w:val="22"/>
        </w:rPr>
        <w:t>-</w:t>
      </w:r>
      <w:r w:rsidRPr="001266AA">
        <w:rPr>
          <w:noProof/>
          <w:sz w:val="22"/>
          <w:szCs w:val="22"/>
        </w:rPr>
        <w:t xml:space="preserve">EDIC, which focuses on enhancing public services through innovative interoperability solutions. </w:t>
      </w:r>
    </w:p>
    <w:p w14:paraId="7CECEF5F" w14:textId="2B444FFB" w:rsidR="00E61515" w:rsidRPr="001266AA" w:rsidRDefault="00E61515" w:rsidP="00E61515">
      <w:pPr>
        <w:spacing w:after="160"/>
        <w:rPr>
          <w:noProof/>
          <w:sz w:val="22"/>
          <w:szCs w:val="22"/>
        </w:rPr>
      </w:pPr>
      <w:r w:rsidRPr="001266AA">
        <w:rPr>
          <w:noProof/>
          <w:sz w:val="22"/>
          <w:szCs w:val="22"/>
        </w:rPr>
        <w:t xml:space="preserve">In parallel, </w:t>
      </w:r>
      <w:r w:rsidRPr="001266AA">
        <w:rPr>
          <w:b/>
          <w:bCs/>
          <w:noProof/>
          <w:sz w:val="22"/>
          <w:szCs w:val="22"/>
        </w:rPr>
        <w:t>earlier initiatives have moved from planning to implementation</w:t>
      </w:r>
      <w:r w:rsidRPr="001266AA">
        <w:rPr>
          <w:noProof/>
          <w:sz w:val="22"/>
          <w:szCs w:val="22"/>
        </w:rPr>
        <w:t xml:space="preserve">. The </w:t>
      </w:r>
      <w:hyperlink r:id="rId61">
        <w:r w:rsidRPr="001266AA">
          <w:rPr>
            <w:rStyle w:val="Hyperlink"/>
            <w:noProof/>
            <w:sz w:val="22"/>
            <w:szCs w:val="22"/>
          </w:rPr>
          <w:t>Alliance for Language Technologies (ALT-EDIC)</w:t>
        </w:r>
      </w:hyperlink>
      <w:r w:rsidRPr="001266AA">
        <w:rPr>
          <w:noProof/>
          <w:sz w:val="22"/>
          <w:szCs w:val="22"/>
        </w:rPr>
        <w:t xml:space="preserve"> has begun deploying </w:t>
      </w:r>
      <w:r w:rsidR="47A9B4DE" w:rsidRPr="001266AA">
        <w:rPr>
          <w:noProof/>
          <w:sz w:val="22"/>
          <w:szCs w:val="22"/>
        </w:rPr>
        <w:t>newest</w:t>
      </w:r>
      <w:r w:rsidRPr="001266AA">
        <w:rPr>
          <w:noProof/>
          <w:sz w:val="22"/>
          <w:szCs w:val="22"/>
        </w:rPr>
        <w:t xml:space="preserve"> </w:t>
      </w:r>
      <w:r w:rsidR="0D6E7D97" w:rsidRPr="001266AA">
        <w:rPr>
          <w:noProof/>
          <w:sz w:val="22"/>
          <w:szCs w:val="22"/>
        </w:rPr>
        <w:t>L</w:t>
      </w:r>
      <w:r w:rsidR="263A779A" w:rsidRPr="001266AA">
        <w:rPr>
          <w:noProof/>
          <w:sz w:val="22"/>
          <w:szCs w:val="22"/>
        </w:rPr>
        <w:t>anguage</w:t>
      </w:r>
      <w:r w:rsidRPr="001266AA">
        <w:rPr>
          <w:noProof/>
          <w:sz w:val="22"/>
          <w:szCs w:val="22"/>
        </w:rPr>
        <w:t xml:space="preserve"> </w:t>
      </w:r>
      <w:r w:rsidR="690ED126" w:rsidRPr="001266AA">
        <w:rPr>
          <w:noProof/>
          <w:sz w:val="22"/>
          <w:szCs w:val="22"/>
        </w:rPr>
        <w:t>T</w:t>
      </w:r>
      <w:r w:rsidR="263A779A" w:rsidRPr="001266AA">
        <w:rPr>
          <w:noProof/>
          <w:sz w:val="22"/>
          <w:szCs w:val="22"/>
        </w:rPr>
        <w:t>echnologies</w:t>
      </w:r>
      <w:r w:rsidRPr="001266AA">
        <w:rPr>
          <w:noProof/>
          <w:sz w:val="22"/>
          <w:szCs w:val="22"/>
        </w:rPr>
        <w:t xml:space="preserve"> </w:t>
      </w:r>
      <w:r w:rsidR="21885419" w:rsidRPr="001266AA">
        <w:rPr>
          <w:noProof/>
          <w:sz w:val="22"/>
          <w:szCs w:val="22"/>
        </w:rPr>
        <w:t xml:space="preserve">in </w:t>
      </w:r>
      <w:r w:rsidR="08A9EE06" w:rsidRPr="001266AA">
        <w:rPr>
          <w:noProof/>
          <w:sz w:val="22"/>
          <w:szCs w:val="22"/>
        </w:rPr>
        <w:t>domains</w:t>
      </w:r>
      <w:r w:rsidR="51802D7D" w:rsidRPr="001266AA">
        <w:rPr>
          <w:noProof/>
          <w:sz w:val="22"/>
          <w:szCs w:val="22"/>
        </w:rPr>
        <w:t xml:space="preserve"> </w:t>
      </w:r>
      <w:r w:rsidRPr="001266AA">
        <w:rPr>
          <w:noProof/>
          <w:sz w:val="22"/>
          <w:szCs w:val="22"/>
        </w:rPr>
        <w:t xml:space="preserve">such as public services, telecommunications, energy and science. The </w:t>
      </w:r>
      <w:hyperlink r:id="rId62">
        <w:r w:rsidRPr="001266AA">
          <w:rPr>
            <w:rStyle w:val="Hyperlink"/>
            <w:noProof/>
            <w:sz w:val="22"/>
            <w:szCs w:val="22"/>
          </w:rPr>
          <w:t>Local Digital Twins towards the CitiVERSE EDIC</w:t>
        </w:r>
      </w:hyperlink>
      <w:r w:rsidRPr="001266AA">
        <w:rPr>
          <w:noProof/>
          <w:sz w:val="22"/>
          <w:szCs w:val="22"/>
        </w:rPr>
        <w:t xml:space="preserve"> (LDT EDIC) became fully operational following the appointment of its director in November 2025. In addition, the </w:t>
      </w:r>
      <w:hyperlink r:id="rId63">
        <w:r w:rsidRPr="001266AA">
          <w:rPr>
            <w:rStyle w:val="Hyperlink"/>
            <w:noProof/>
            <w:sz w:val="22"/>
            <w:szCs w:val="22"/>
          </w:rPr>
          <w:t>EUROPEUM-EDIC</w:t>
        </w:r>
      </w:hyperlink>
      <w:r w:rsidRPr="001266AA">
        <w:rPr>
          <w:noProof/>
          <w:sz w:val="22"/>
          <w:szCs w:val="22"/>
        </w:rPr>
        <w:t xml:space="preserve"> completed the transfer of the European Blockchain Services Infrastructure from the European Commission in the first quarter of 2026.</w:t>
      </w:r>
    </w:p>
    <w:p w14:paraId="2106A83A" w14:textId="447DE4A7" w:rsidR="00E61515" w:rsidRPr="001266AA" w:rsidRDefault="00E61515" w:rsidP="00E61515">
      <w:pPr>
        <w:spacing w:after="160"/>
        <w:rPr>
          <w:noProof/>
          <w:sz w:val="22"/>
          <w:szCs w:val="22"/>
        </w:rPr>
      </w:pPr>
      <w:r w:rsidRPr="001266AA">
        <w:rPr>
          <w:noProof/>
          <w:sz w:val="22"/>
          <w:szCs w:val="22"/>
        </w:rPr>
        <w:t xml:space="preserve">Moreover, formal applications for new EDICs have been submitted to the Commission in areas such as cybersecurity skills and agri-food, with additional proposals - particularly in genomics and mobility - expected in 2026 or early 2027. These developments open important opportunities to scale interoperable infrastructures, pool investments and strengthen Europe’s digital sovereignty, but </w:t>
      </w:r>
      <w:r w:rsidR="00D52AC6" w:rsidRPr="001266AA">
        <w:rPr>
          <w:noProof/>
          <w:sz w:val="22"/>
          <w:szCs w:val="22"/>
        </w:rPr>
        <w:t xml:space="preserve">they </w:t>
      </w:r>
      <w:r w:rsidRPr="001266AA">
        <w:rPr>
          <w:noProof/>
          <w:sz w:val="22"/>
          <w:szCs w:val="22"/>
        </w:rPr>
        <w:t>also highlight challenges related to governance complexity, long-term sustainability and effective uptake.</w:t>
      </w:r>
    </w:p>
    <w:p w14:paraId="5383A4D0" w14:textId="09CA62B4" w:rsidR="00E61515" w:rsidRPr="001266AA" w:rsidRDefault="00E61515" w:rsidP="00E61515">
      <w:pPr>
        <w:spacing w:after="160"/>
        <w:rPr>
          <w:noProof/>
          <w:sz w:val="22"/>
          <w:szCs w:val="22"/>
        </w:rPr>
      </w:pPr>
      <w:r w:rsidRPr="001266AA">
        <w:rPr>
          <w:noProof/>
          <w:sz w:val="22"/>
          <w:szCs w:val="22"/>
        </w:rPr>
        <w:t xml:space="preserve">Overall, these developments show a shift from coordination to concrete delivery, with EDICs increasingly operational, expanding their membership and starting to produce initial results. An updated overview of the EDICs </w:t>
      </w:r>
      <w:r w:rsidR="0050759E" w:rsidRPr="001266AA">
        <w:rPr>
          <w:noProof/>
          <w:sz w:val="22"/>
          <w:szCs w:val="22"/>
        </w:rPr>
        <w:t>established</w:t>
      </w:r>
      <w:r w:rsidRPr="001266AA">
        <w:rPr>
          <w:noProof/>
          <w:sz w:val="22"/>
          <w:szCs w:val="22"/>
        </w:rPr>
        <w:t xml:space="preserve"> is available at the Commission </w:t>
      </w:r>
      <w:hyperlink r:id="rId64">
        <w:r w:rsidRPr="001266AA">
          <w:rPr>
            <w:rStyle w:val="Hyperlink"/>
            <w:noProof/>
            <w:sz w:val="22"/>
            <w:szCs w:val="22"/>
          </w:rPr>
          <w:t>webpage of the European Digital Infrastructure Consortia</w:t>
        </w:r>
      </w:hyperlink>
      <w:r w:rsidRPr="001266AA">
        <w:rPr>
          <w:noProof/>
          <w:sz w:val="22"/>
          <w:szCs w:val="22"/>
        </w:rPr>
        <w:t xml:space="preserve">. </w:t>
      </w:r>
    </w:p>
    <w:p w14:paraId="28AE14E9" w14:textId="07DD19BB" w:rsidR="00B6561D" w:rsidRPr="001266AA" w:rsidRDefault="00E61515" w:rsidP="6871685E">
      <w:pPr>
        <w:spacing w:after="160"/>
        <w:rPr>
          <w:noProof/>
          <w:sz w:val="22"/>
          <w:szCs w:val="22"/>
        </w:rPr>
      </w:pPr>
      <w:r w:rsidRPr="001266AA">
        <w:rPr>
          <w:noProof/>
          <w:sz w:val="22"/>
          <w:szCs w:val="22"/>
        </w:rPr>
        <w:t xml:space="preserve">Member States are also advancing </w:t>
      </w:r>
      <w:r w:rsidRPr="001266AA">
        <w:rPr>
          <w:b/>
          <w:bCs/>
          <w:noProof/>
          <w:sz w:val="22"/>
          <w:szCs w:val="22"/>
        </w:rPr>
        <w:t>Important Projects of Common European Interest (IPCEIs).</w:t>
      </w:r>
      <w:r w:rsidRPr="001266AA">
        <w:rPr>
          <w:noProof/>
          <w:sz w:val="22"/>
          <w:szCs w:val="22"/>
        </w:rPr>
        <w:t xml:space="preserve"> Existing initiatives in microelectronics (IPCEI-ME/CT) and cloud (IPCEI-CIS) are now fully operational and mobilising substantial public and private investments. The recently approved Tech4Cure IPCEI is expected to drive innovation in AI-enabled healthcare. Meanwhile, new IPCEI candidates are under </w:t>
      </w:r>
      <w:r w:rsidR="00520F09">
        <w:rPr>
          <w:noProof/>
          <w:sz w:val="22"/>
          <w:szCs w:val="22"/>
        </w:rPr>
        <w:t>design</w:t>
      </w:r>
      <w:r w:rsidR="00520F09" w:rsidRPr="001266AA">
        <w:rPr>
          <w:noProof/>
          <w:sz w:val="22"/>
          <w:szCs w:val="22"/>
        </w:rPr>
        <w:t xml:space="preserve"> </w:t>
      </w:r>
      <w:r w:rsidRPr="001266AA">
        <w:rPr>
          <w:noProof/>
          <w:sz w:val="22"/>
          <w:szCs w:val="22"/>
        </w:rPr>
        <w:t xml:space="preserve">in strategic areas such as AI </w:t>
      </w:r>
      <w:r w:rsidR="001167DB">
        <w:rPr>
          <w:noProof/>
          <w:sz w:val="22"/>
          <w:szCs w:val="22"/>
        </w:rPr>
        <w:t>technologies,</w:t>
      </w:r>
      <w:r w:rsidRPr="001266AA">
        <w:rPr>
          <w:noProof/>
          <w:sz w:val="22"/>
          <w:szCs w:val="22"/>
        </w:rPr>
        <w:t xml:space="preserve"> computing infrastructure and advanced semiconductor</w:t>
      </w:r>
      <w:r w:rsidR="001167DB">
        <w:rPr>
          <w:noProof/>
          <w:sz w:val="22"/>
          <w:szCs w:val="22"/>
        </w:rPr>
        <w:t xml:space="preserve"> technologie</w:t>
      </w:r>
      <w:r w:rsidRPr="001266AA">
        <w:rPr>
          <w:noProof/>
          <w:sz w:val="22"/>
          <w:szCs w:val="22"/>
        </w:rPr>
        <w:t>s.</w:t>
      </w:r>
    </w:p>
    <w:p w14:paraId="5242E372" w14:textId="7477CF28" w:rsidR="00132EF1" w:rsidRPr="001266AA" w:rsidRDefault="00C445A8" w:rsidP="0058443B">
      <w:pPr>
        <w:rPr>
          <w:b/>
          <w:noProof/>
          <w:sz w:val="22"/>
          <w:szCs w:val="22"/>
        </w:rPr>
      </w:pPr>
      <w:r w:rsidRPr="001266AA">
        <w:rPr>
          <w:b/>
          <w:noProof/>
          <w:sz w:val="22"/>
          <w:szCs w:val="22"/>
        </w:rPr>
        <w:t>Investment needs for the digital transition</w:t>
      </w:r>
    </w:p>
    <w:p w14:paraId="5EA9FAB0" w14:textId="144915B6" w:rsidR="003E71A0" w:rsidRPr="00417E18" w:rsidRDefault="783445D6" w:rsidP="698D0C64">
      <w:pPr>
        <w:rPr>
          <w:b/>
          <w:bCs/>
          <w:noProof/>
          <w:sz w:val="22"/>
          <w:szCs w:val="22"/>
        </w:rPr>
      </w:pPr>
      <w:r w:rsidRPr="001266AA">
        <w:rPr>
          <w:rFonts w:eastAsia="Calibri" w:cs="Calibri"/>
          <w:noProof/>
          <w:sz w:val="22"/>
          <w:szCs w:val="22"/>
        </w:rPr>
        <w:t>Public funding also needs to ensure the right balance</w:t>
      </w:r>
      <w:r w:rsidRPr="00417E18">
        <w:rPr>
          <w:rFonts w:eastAsia="Calibri" w:cs="Calibri"/>
          <w:noProof/>
          <w:sz w:val="22"/>
          <w:szCs w:val="22"/>
        </w:rPr>
        <w:t xml:space="preserve"> between budget predictability and flexibility. While a stable and predictable trajectory </w:t>
      </w:r>
      <w:r w:rsidR="5CBD2A75" w:rsidRPr="00417E18">
        <w:rPr>
          <w:rFonts w:eastAsia="Calibri" w:cs="Calibri"/>
          <w:noProof/>
          <w:sz w:val="22"/>
          <w:szCs w:val="22"/>
        </w:rPr>
        <w:t>needs to be the basis for budget planning,</w:t>
      </w:r>
      <w:r w:rsidRPr="00417E18">
        <w:rPr>
          <w:rFonts w:eastAsia="Calibri" w:cs="Calibri"/>
          <w:noProof/>
          <w:sz w:val="22"/>
          <w:szCs w:val="22"/>
        </w:rPr>
        <w:t xml:space="preserve"> the fast-evolving nature of technological development requires the ability to respond swiftly to emerging priorities and trends</w:t>
      </w:r>
      <w:r w:rsidR="0E9BE342" w:rsidRPr="00417E18">
        <w:rPr>
          <w:rFonts w:eastAsia="Calibri" w:cs="Calibri"/>
          <w:noProof/>
          <w:sz w:val="22"/>
          <w:szCs w:val="22"/>
        </w:rPr>
        <w:t xml:space="preserve"> in </w:t>
      </w:r>
      <w:r w:rsidR="0050759E">
        <w:rPr>
          <w:rFonts w:eastAsia="Calibri" w:cs="Calibri"/>
          <w:noProof/>
          <w:sz w:val="22"/>
          <w:szCs w:val="22"/>
        </w:rPr>
        <w:t>certain</w:t>
      </w:r>
      <w:r w:rsidR="0E9BE342" w:rsidRPr="00417E18">
        <w:rPr>
          <w:rFonts w:eastAsia="Calibri" w:cs="Calibri"/>
          <w:noProof/>
          <w:sz w:val="22"/>
          <w:szCs w:val="22"/>
        </w:rPr>
        <w:t xml:space="preserve"> areas</w:t>
      </w:r>
      <w:r w:rsidRPr="00417E18">
        <w:rPr>
          <w:rFonts w:eastAsia="Calibri" w:cs="Calibri"/>
          <w:noProof/>
          <w:sz w:val="22"/>
          <w:szCs w:val="22"/>
        </w:rPr>
        <w:t>. Joint Undertakings</w:t>
      </w:r>
      <w:r w:rsidR="471FF556" w:rsidRPr="00417E18">
        <w:rPr>
          <w:rFonts w:eastAsia="Calibri" w:cs="Calibri"/>
          <w:noProof/>
          <w:sz w:val="22"/>
          <w:szCs w:val="22"/>
        </w:rPr>
        <w:t xml:space="preserve"> (JU</w:t>
      </w:r>
      <w:r w:rsidR="5C2147CF" w:rsidRPr="00417E18">
        <w:rPr>
          <w:rFonts w:eastAsia="Calibri" w:cs="Calibri"/>
          <w:noProof/>
          <w:sz w:val="22"/>
          <w:szCs w:val="22"/>
        </w:rPr>
        <w:t>s</w:t>
      </w:r>
      <w:r w:rsidR="471FF556" w:rsidRPr="00417E18">
        <w:rPr>
          <w:rFonts w:eastAsia="Calibri" w:cs="Calibri"/>
          <w:noProof/>
          <w:sz w:val="22"/>
          <w:szCs w:val="22"/>
        </w:rPr>
        <w:t>),</w:t>
      </w:r>
      <w:r w:rsidR="56865E6C" w:rsidRPr="00417E18">
        <w:rPr>
          <w:rFonts w:eastAsia="Calibri" w:cs="Calibri"/>
          <w:noProof/>
          <w:sz w:val="22"/>
          <w:szCs w:val="22"/>
        </w:rPr>
        <w:t xml:space="preserve"> for instance,</w:t>
      </w:r>
      <w:r w:rsidRPr="00417E18">
        <w:rPr>
          <w:rFonts w:eastAsia="Calibri" w:cs="Calibri"/>
          <w:noProof/>
          <w:sz w:val="22"/>
          <w:szCs w:val="22"/>
        </w:rPr>
        <w:t xml:space="preserve"> are well equipped in this regard, with agile procedures that allow them to adapt work programmes</w:t>
      </w:r>
      <w:r w:rsidR="5FB87743" w:rsidRPr="00417E18">
        <w:rPr>
          <w:rFonts w:eastAsia="Calibri" w:cs="Calibri"/>
          <w:noProof/>
          <w:sz w:val="22"/>
          <w:szCs w:val="22"/>
        </w:rPr>
        <w:t xml:space="preserve"> swiftly </w:t>
      </w:r>
      <w:r w:rsidRPr="00417E18">
        <w:rPr>
          <w:rFonts w:eastAsia="Calibri" w:cs="Calibri"/>
          <w:noProof/>
          <w:sz w:val="22"/>
          <w:szCs w:val="22"/>
        </w:rPr>
        <w:t>when new urgencies arise.</w:t>
      </w:r>
      <w:r w:rsidR="6EB5DD40" w:rsidRPr="00417E18">
        <w:rPr>
          <w:rFonts w:eastAsia="Calibri" w:cs="Calibri"/>
          <w:noProof/>
          <w:sz w:val="22"/>
          <w:szCs w:val="22"/>
        </w:rPr>
        <w:t xml:space="preserve"> </w:t>
      </w:r>
      <w:r w:rsidR="00A43641" w:rsidRPr="57C6E7AE">
        <w:rPr>
          <w:rFonts w:eastAsia="Calibri" w:cs="Calibri"/>
          <w:noProof/>
          <w:sz w:val="22"/>
          <w:szCs w:val="22"/>
        </w:rPr>
        <w:t>By p</w:t>
      </w:r>
      <w:r w:rsidR="4C6ABB2B" w:rsidRPr="57C6E7AE">
        <w:rPr>
          <w:rFonts w:eastAsia="Calibri" w:cs="Calibri"/>
          <w:noProof/>
          <w:sz w:val="22"/>
          <w:szCs w:val="22"/>
        </w:rPr>
        <w:t>ooling</w:t>
      </w:r>
      <w:r w:rsidR="4C6ABB2B" w:rsidRPr="00417E18">
        <w:rPr>
          <w:rFonts w:eastAsia="Calibri" w:cs="Calibri"/>
          <w:noProof/>
          <w:sz w:val="22"/>
          <w:szCs w:val="22"/>
        </w:rPr>
        <w:t xml:space="preserve"> public and private resources at scale,</w:t>
      </w:r>
      <w:r w:rsidR="72456273" w:rsidRPr="00417E18">
        <w:rPr>
          <w:rFonts w:eastAsia="Calibri" w:cs="Calibri"/>
          <w:noProof/>
          <w:sz w:val="22"/>
          <w:szCs w:val="22"/>
        </w:rPr>
        <w:t xml:space="preserve"> JUs</w:t>
      </w:r>
      <w:r w:rsidR="4C6ABB2B" w:rsidRPr="00417E18">
        <w:rPr>
          <w:rFonts w:eastAsia="Calibri" w:cs="Calibri"/>
          <w:noProof/>
          <w:sz w:val="22"/>
          <w:szCs w:val="22"/>
        </w:rPr>
        <w:t xml:space="preserve"> </w:t>
      </w:r>
      <w:r w:rsidRPr="00417E18">
        <w:rPr>
          <w:rFonts w:eastAsia="Calibri" w:cs="Calibri"/>
          <w:noProof/>
          <w:sz w:val="22"/>
          <w:szCs w:val="22"/>
        </w:rPr>
        <w:t>have played a pivotal role in aligning strategic agendas, and fostering robust ecosystems around key EU policy priorities</w:t>
      </w:r>
      <w:r w:rsidR="16BC3BE5" w:rsidRPr="00417E18">
        <w:rPr>
          <w:rFonts w:eastAsia="Calibri" w:cs="Calibri"/>
          <w:noProof/>
          <w:sz w:val="22"/>
          <w:szCs w:val="22"/>
        </w:rPr>
        <w:t>, t</w:t>
      </w:r>
      <w:r w:rsidRPr="00417E18">
        <w:rPr>
          <w:rFonts w:eastAsia="Calibri" w:cs="Calibri"/>
          <w:noProof/>
          <w:sz w:val="22"/>
          <w:szCs w:val="22"/>
        </w:rPr>
        <w:t>hereby strengthening Europe’s competitiveness and technological sovereignty.</w:t>
      </w:r>
      <w:r w:rsidR="7B94CE3E" w:rsidRPr="00417E18">
        <w:rPr>
          <w:rFonts w:eastAsia="Calibri" w:cs="Calibri"/>
          <w:noProof/>
          <w:sz w:val="22"/>
          <w:szCs w:val="22"/>
        </w:rPr>
        <w:t xml:space="preserve"> </w:t>
      </w:r>
      <w:r w:rsidR="2E8E98D1" w:rsidRPr="00417E18">
        <w:rPr>
          <w:rFonts w:eastAsia="Calibri" w:cs="Calibri"/>
          <w:noProof/>
          <w:sz w:val="22"/>
          <w:szCs w:val="22"/>
        </w:rPr>
        <w:t xml:space="preserve">However, Member States’ financial planning </w:t>
      </w:r>
      <w:r w:rsidR="3C27D869" w:rsidRPr="00417E18">
        <w:rPr>
          <w:rFonts w:eastAsia="Calibri" w:cs="Calibri"/>
          <w:noProof/>
          <w:sz w:val="22"/>
          <w:szCs w:val="22"/>
        </w:rPr>
        <w:t>has</w:t>
      </w:r>
      <w:r w:rsidR="2E8E98D1" w:rsidRPr="00417E18">
        <w:rPr>
          <w:rFonts w:eastAsia="Calibri" w:cs="Calibri"/>
          <w:noProof/>
          <w:sz w:val="22"/>
          <w:szCs w:val="22"/>
        </w:rPr>
        <w:t xml:space="preserve"> not always</w:t>
      </w:r>
      <w:r w:rsidR="69552474" w:rsidRPr="00417E18">
        <w:rPr>
          <w:rFonts w:eastAsia="Calibri" w:cs="Calibri"/>
          <w:noProof/>
          <w:sz w:val="22"/>
          <w:szCs w:val="22"/>
        </w:rPr>
        <w:t xml:space="preserve"> been</w:t>
      </w:r>
      <w:r w:rsidR="2E8E98D1" w:rsidRPr="00417E18">
        <w:rPr>
          <w:rFonts w:eastAsia="Calibri" w:cs="Calibri"/>
          <w:noProof/>
          <w:sz w:val="22"/>
          <w:szCs w:val="22"/>
        </w:rPr>
        <w:t xml:space="preserve"> sufficiently flexible to accommodate emerging needs and changing priorities, </w:t>
      </w:r>
      <w:r w:rsidR="00A43641">
        <w:rPr>
          <w:rFonts w:eastAsia="Calibri" w:cs="Calibri"/>
          <w:noProof/>
          <w:sz w:val="22"/>
          <w:szCs w:val="22"/>
        </w:rPr>
        <w:t>at</w:t>
      </w:r>
      <w:r w:rsidR="2E8E98D1" w:rsidRPr="00417E18">
        <w:rPr>
          <w:rFonts w:eastAsia="Calibri" w:cs="Calibri"/>
          <w:noProof/>
          <w:sz w:val="22"/>
          <w:szCs w:val="22"/>
        </w:rPr>
        <w:t xml:space="preserve"> the </w:t>
      </w:r>
      <w:r w:rsidR="00A43641">
        <w:rPr>
          <w:rFonts w:eastAsia="Calibri" w:cs="Calibri"/>
          <w:noProof/>
          <w:sz w:val="22"/>
          <w:szCs w:val="22"/>
        </w:rPr>
        <w:t xml:space="preserve">pace </w:t>
      </w:r>
      <w:r w:rsidR="2E8E98D1" w:rsidRPr="00417E18">
        <w:rPr>
          <w:rFonts w:eastAsia="Calibri" w:cs="Calibri"/>
          <w:noProof/>
          <w:sz w:val="22"/>
          <w:szCs w:val="22"/>
        </w:rPr>
        <w:t xml:space="preserve">required by the fast pace of technological development. </w:t>
      </w:r>
      <w:r w:rsidR="007560B1" w:rsidRPr="00417E18">
        <w:rPr>
          <w:b/>
          <w:bCs/>
          <w:noProof/>
          <w:sz w:val="22"/>
          <w:szCs w:val="22"/>
        </w:rPr>
        <w:t>Beyond</w:t>
      </w:r>
      <w:r w:rsidR="53A70B38" w:rsidRPr="00417E18">
        <w:rPr>
          <w:b/>
          <w:bCs/>
          <w:noProof/>
          <w:sz w:val="22"/>
          <w:szCs w:val="22"/>
        </w:rPr>
        <w:t xml:space="preserve"> public funding, mobilising private investments plays a crucial role.</w:t>
      </w:r>
      <w:r w:rsidR="53A70B38" w:rsidRPr="00417E18">
        <w:rPr>
          <w:noProof/>
          <w:sz w:val="22"/>
          <w:szCs w:val="22"/>
        </w:rPr>
        <w:t xml:space="preserve"> The EU is increasingly using its budget to support private digital investment through tools such as InvestEU, Joint Undertakings (JUs), and Public-Private Partnerships (PPPs). As of March 202</w:t>
      </w:r>
      <w:r w:rsidR="66B5186D" w:rsidRPr="00417E18">
        <w:rPr>
          <w:noProof/>
          <w:sz w:val="22"/>
          <w:szCs w:val="22"/>
        </w:rPr>
        <w:t>6</w:t>
      </w:r>
      <w:r w:rsidR="53A70B38" w:rsidRPr="00417E18">
        <w:rPr>
          <w:noProof/>
          <w:sz w:val="22"/>
          <w:szCs w:val="22"/>
        </w:rPr>
        <w:t xml:space="preserve">, InvestEU has mobilised </w:t>
      </w:r>
      <w:r w:rsidR="56A6BF5A" w:rsidRPr="00417E18">
        <w:rPr>
          <w:noProof/>
          <w:sz w:val="22"/>
          <w:szCs w:val="22"/>
        </w:rPr>
        <w:t xml:space="preserve">finance for investments </w:t>
      </w:r>
      <w:r w:rsidR="517A4FB2" w:rsidRPr="00417E18">
        <w:rPr>
          <w:noProof/>
          <w:sz w:val="22"/>
          <w:szCs w:val="22"/>
        </w:rPr>
        <w:t>for</w:t>
      </w:r>
      <w:r w:rsidR="56A6BF5A" w:rsidRPr="00417E18">
        <w:rPr>
          <w:noProof/>
          <w:sz w:val="22"/>
          <w:szCs w:val="22"/>
        </w:rPr>
        <w:t xml:space="preserve"> EUR 3</w:t>
      </w:r>
      <w:r w:rsidR="61993B30" w:rsidRPr="00417E18">
        <w:rPr>
          <w:noProof/>
          <w:sz w:val="22"/>
          <w:szCs w:val="22"/>
        </w:rPr>
        <w:t>18</w:t>
      </w:r>
      <w:r w:rsidR="56A6BF5A" w:rsidRPr="00417E18">
        <w:rPr>
          <w:noProof/>
          <w:sz w:val="22"/>
          <w:szCs w:val="22"/>
        </w:rPr>
        <w:t xml:space="preserve"> billion,</w:t>
      </w:r>
      <w:r w:rsidR="1C71452D" w:rsidRPr="00417E18">
        <w:rPr>
          <w:noProof/>
          <w:sz w:val="22"/>
          <w:szCs w:val="22"/>
        </w:rPr>
        <w:t xml:space="preserve"> </w:t>
      </w:r>
      <w:r w:rsidR="56A6BF5A" w:rsidRPr="00417E18">
        <w:rPr>
          <w:noProof/>
          <w:sz w:val="22"/>
          <w:szCs w:val="22"/>
        </w:rPr>
        <w:t>out of which more than EUR</w:t>
      </w:r>
      <w:r w:rsidR="478B17A7" w:rsidRPr="00417E18">
        <w:rPr>
          <w:noProof/>
          <w:sz w:val="22"/>
          <w:szCs w:val="22"/>
        </w:rPr>
        <w:t> </w:t>
      </w:r>
      <w:r w:rsidR="56A6BF5A" w:rsidRPr="00417E18">
        <w:rPr>
          <w:noProof/>
          <w:sz w:val="22"/>
          <w:szCs w:val="22"/>
        </w:rPr>
        <w:t>200</w:t>
      </w:r>
      <w:r w:rsidR="478B17A7" w:rsidRPr="00417E18">
        <w:rPr>
          <w:noProof/>
          <w:sz w:val="22"/>
          <w:szCs w:val="22"/>
        </w:rPr>
        <w:t> </w:t>
      </w:r>
      <w:r w:rsidR="56A6BF5A" w:rsidRPr="00417E18">
        <w:rPr>
          <w:noProof/>
          <w:sz w:val="22"/>
          <w:szCs w:val="22"/>
        </w:rPr>
        <w:t>billion from private sources</w:t>
      </w:r>
      <w:r w:rsidR="1C71452D" w:rsidRPr="00417E18">
        <w:rPr>
          <w:noProof/>
          <w:sz w:val="22"/>
          <w:szCs w:val="22"/>
        </w:rPr>
        <w:t xml:space="preserve">. Out of those, </w:t>
      </w:r>
      <w:r w:rsidR="21E3258A" w:rsidRPr="00417E18">
        <w:rPr>
          <w:noProof/>
          <w:sz w:val="22"/>
          <w:szCs w:val="22"/>
        </w:rPr>
        <w:t xml:space="preserve">EUR </w:t>
      </w:r>
      <w:r w:rsidR="60FB2B5A" w:rsidRPr="00417E18">
        <w:rPr>
          <w:noProof/>
          <w:sz w:val="22"/>
          <w:szCs w:val="22"/>
        </w:rPr>
        <w:t>23</w:t>
      </w:r>
      <w:r w:rsidR="373C4184" w:rsidRPr="00417E18">
        <w:rPr>
          <w:noProof/>
          <w:sz w:val="22"/>
          <w:szCs w:val="22"/>
        </w:rPr>
        <w:t>.</w:t>
      </w:r>
      <w:r w:rsidR="1D0B758B" w:rsidRPr="00417E18">
        <w:rPr>
          <w:noProof/>
          <w:sz w:val="22"/>
          <w:szCs w:val="22"/>
        </w:rPr>
        <w:t>34</w:t>
      </w:r>
      <w:r w:rsidR="373C4184" w:rsidRPr="00417E18">
        <w:rPr>
          <w:noProof/>
          <w:sz w:val="22"/>
          <w:szCs w:val="22"/>
        </w:rPr>
        <w:t xml:space="preserve"> billion</w:t>
      </w:r>
      <w:r w:rsidR="26906D5F" w:rsidRPr="00417E18">
        <w:rPr>
          <w:noProof/>
          <w:sz w:val="22"/>
          <w:szCs w:val="22"/>
        </w:rPr>
        <w:t xml:space="preserve"> </w:t>
      </w:r>
      <w:r w:rsidR="160E7CDF" w:rsidRPr="00417E18">
        <w:rPr>
          <w:noProof/>
          <w:sz w:val="22"/>
          <w:szCs w:val="22"/>
        </w:rPr>
        <w:t xml:space="preserve">is supporting </w:t>
      </w:r>
      <w:r w:rsidR="16854889" w:rsidRPr="00417E18">
        <w:rPr>
          <w:noProof/>
          <w:sz w:val="22"/>
          <w:szCs w:val="22"/>
        </w:rPr>
        <w:t>digitisation</w:t>
      </w:r>
      <w:r w:rsidR="7611A0A4" w:rsidRPr="00417E18">
        <w:rPr>
          <w:noProof/>
          <w:sz w:val="22"/>
          <w:szCs w:val="22"/>
        </w:rPr>
        <w:t xml:space="preserve"> and EUR</w:t>
      </w:r>
      <w:r w:rsidR="70DB49D3" w:rsidRPr="00417E18">
        <w:rPr>
          <w:noProof/>
          <w:sz w:val="22"/>
          <w:szCs w:val="22"/>
        </w:rPr>
        <w:t> </w:t>
      </w:r>
      <w:r w:rsidR="7611A0A4" w:rsidRPr="00417E18">
        <w:rPr>
          <w:noProof/>
          <w:sz w:val="22"/>
          <w:szCs w:val="22"/>
        </w:rPr>
        <w:t xml:space="preserve">13.44 billion </w:t>
      </w:r>
      <w:r w:rsidR="503B92B5" w:rsidRPr="00417E18">
        <w:rPr>
          <w:noProof/>
          <w:sz w:val="22"/>
          <w:szCs w:val="22"/>
        </w:rPr>
        <w:t xml:space="preserve">are related to </w:t>
      </w:r>
      <w:r w:rsidR="2B71053C" w:rsidRPr="00417E18">
        <w:rPr>
          <w:noProof/>
          <w:sz w:val="22"/>
          <w:szCs w:val="22"/>
        </w:rPr>
        <w:t>s</w:t>
      </w:r>
      <w:r w:rsidR="7611A0A4" w:rsidRPr="00417E18">
        <w:rPr>
          <w:noProof/>
          <w:sz w:val="22"/>
          <w:szCs w:val="22"/>
        </w:rPr>
        <w:t xml:space="preserve">trategic investments </w:t>
      </w:r>
      <w:r w:rsidR="2B71053C" w:rsidRPr="00417E18">
        <w:rPr>
          <w:noProof/>
          <w:sz w:val="22"/>
          <w:szCs w:val="22"/>
        </w:rPr>
        <w:t xml:space="preserve">on </w:t>
      </w:r>
      <w:r w:rsidR="7611A0A4" w:rsidRPr="00417E18">
        <w:rPr>
          <w:noProof/>
          <w:sz w:val="22"/>
          <w:szCs w:val="22"/>
        </w:rPr>
        <w:t>critical infrastructure, cybersecurity, space</w:t>
      </w:r>
      <w:r w:rsidR="0996BBCA" w:rsidRPr="00417E18">
        <w:rPr>
          <w:noProof/>
          <w:sz w:val="22"/>
          <w:szCs w:val="22"/>
        </w:rPr>
        <w:t xml:space="preserve"> and </w:t>
      </w:r>
      <w:r w:rsidR="7611A0A4" w:rsidRPr="00417E18">
        <w:rPr>
          <w:noProof/>
          <w:sz w:val="22"/>
          <w:szCs w:val="22"/>
        </w:rPr>
        <w:t>defence</w:t>
      </w:r>
      <w:r w:rsidR="21E3258A" w:rsidRPr="00417E18">
        <w:rPr>
          <w:noProof/>
          <w:sz w:val="22"/>
          <w:szCs w:val="22"/>
        </w:rPr>
        <w:t>.</w:t>
      </w:r>
      <w:r w:rsidR="21E3258A" w:rsidRPr="00417E18">
        <w:rPr>
          <w:b/>
          <w:bCs/>
          <w:noProof/>
          <w:sz w:val="22"/>
          <w:szCs w:val="22"/>
        </w:rPr>
        <w:t xml:space="preserve"> </w:t>
      </w:r>
    </w:p>
    <w:p w14:paraId="555C925E" w14:textId="1CDF0BD0" w:rsidR="2B8B015F" w:rsidRPr="00417E18" w:rsidRDefault="2B03FE4D">
      <w:pPr>
        <w:rPr>
          <w:noProof/>
          <w:sz w:val="22"/>
          <w:szCs w:val="22"/>
        </w:rPr>
      </w:pPr>
      <w:r w:rsidRPr="00417E18">
        <w:rPr>
          <w:noProof/>
          <w:sz w:val="22"/>
          <w:szCs w:val="22"/>
        </w:rPr>
        <w:t>However, financial instruments are not yet fully taken advantage of in all programmes</w:t>
      </w:r>
      <w:r w:rsidR="00AE0B2D" w:rsidRPr="00417E18">
        <w:rPr>
          <w:rStyle w:val="FootnoteReference"/>
          <w:noProof/>
          <w:sz w:val="22"/>
          <w:szCs w:val="22"/>
        </w:rPr>
        <w:footnoteReference w:id="103"/>
      </w:r>
      <w:r w:rsidRPr="00417E18">
        <w:rPr>
          <w:noProof/>
          <w:sz w:val="22"/>
          <w:szCs w:val="22"/>
        </w:rPr>
        <w:t xml:space="preserve"> and often lack a strong policy steer or the scale needed to address systemic investment gaps. Blending instruments and </w:t>
      </w:r>
      <w:r w:rsidR="3C1946D2" w:rsidRPr="00417E18">
        <w:rPr>
          <w:noProof/>
          <w:sz w:val="22"/>
          <w:szCs w:val="22"/>
        </w:rPr>
        <w:t xml:space="preserve">budgetary </w:t>
      </w:r>
      <w:r w:rsidRPr="00417E18">
        <w:rPr>
          <w:noProof/>
          <w:sz w:val="22"/>
          <w:szCs w:val="22"/>
        </w:rPr>
        <w:t>guarantees (e.g. InvestEU) show promising results in this area. Depending on the level of technology readiness, leveraging factors from financial instruments (i.e. the amount of private money that is invested alongside every euro of public money) are currently around 3 for early-stage deep-tech companies (European Innovation Council Fund equity)</w:t>
      </w:r>
      <w:r w:rsidR="24F725F7" w:rsidRPr="00417E18">
        <w:rPr>
          <w:noProof/>
          <w:sz w:val="22"/>
          <w:szCs w:val="22"/>
        </w:rPr>
        <w:t xml:space="preserve"> </w:t>
      </w:r>
      <w:r w:rsidR="429B4831" w:rsidRPr="00417E18">
        <w:rPr>
          <w:noProof/>
          <w:sz w:val="22"/>
          <w:szCs w:val="22"/>
        </w:rPr>
        <w:t>and around 5.62 from the InvestEU guarantee</w:t>
      </w:r>
      <w:r w:rsidR="00516BED" w:rsidRPr="00417E18">
        <w:rPr>
          <w:rStyle w:val="FootnoteReference"/>
          <w:noProof/>
          <w:sz w:val="22"/>
          <w:szCs w:val="22"/>
        </w:rPr>
        <w:footnoteReference w:id="104"/>
      </w:r>
      <w:r w:rsidR="429B4831" w:rsidRPr="00417E18">
        <w:rPr>
          <w:noProof/>
          <w:sz w:val="22"/>
          <w:szCs w:val="22"/>
        </w:rPr>
        <w:t>. Overall, the EU faces a substantial and urgent need to increase investment in digital technologies, infrastructure, and innovation ecosystems</w:t>
      </w:r>
      <w:r w:rsidR="3218394A" w:rsidRPr="00417E18">
        <w:rPr>
          <w:noProof/>
          <w:sz w:val="22"/>
          <w:szCs w:val="22"/>
        </w:rPr>
        <w:t xml:space="preserve">, particularly </w:t>
      </w:r>
      <w:r w:rsidR="5E5C3DBE">
        <w:rPr>
          <w:noProof/>
          <w:sz w:val="22"/>
          <w:szCs w:val="22"/>
        </w:rPr>
        <w:t>i</w:t>
      </w:r>
      <w:r w:rsidR="373D754A" w:rsidRPr="00417E18">
        <w:rPr>
          <w:noProof/>
          <w:sz w:val="22"/>
          <w:szCs w:val="22"/>
        </w:rPr>
        <w:t>n</w:t>
      </w:r>
      <w:r w:rsidR="3218394A" w:rsidRPr="00417E18">
        <w:rPr>
          <w:noProof/>
          <w:sz w:val="22"/>
          <w:szCs w:val="22"/>
        </w:rPr>
        <w:t xml:space="preserve"> </w:t>
      </w:r>
      <w:r w:rsidR="5A4408A4" w:rsidRPr="00417E18">
        <w:rPr>
          <w:noProof/>
          <w:sz w:val="22"/>
          <w:szCs w:val="22"/>
        </w:rPr>
        <w:t>equity</w:t>
      </w:r>
      <w:r w:rsidR="71B13313" w:rsidRPr="00417E18">
        <w:rPr>
          <w:noProof/>
          <w:sz w:val="22"/>
          <w:szCs w:val="22"/>
        </w:rPr>
        <w:t xml:space="preserve">. </w:t>
      </w:r>
      <w:r w:rsidR="787A1DAE" w:rsidRPr="00417E18">
        <w:rPr>
          <w:noProof/>
          <w:sz w:val="22"/>
          <w:szCs w:val="22"/>
        </w:rPr>
        <w:t>A savings and investments union with a fully integrated</w:t>
      </w:r>
      <w:r w:rsidR="429B4831" w:rsidRPr="00417E18">
        <w:rPr>
          <w:noProof/>
          <w:sz w:val="22"/>
          <w:szCs w:val="22"/>
        </w:rPr>
        <w:t xml:space="preserve"> capital </w:t>
      </w:r>
      <w:r w:rsidR="787A1DAE" w:rsidRPr="00417E18">
        <w:rPr>
          <w:noProof/>
          <w:sz w:val="22"/>
          <w:szCs w:val="22"/>
        </w:rPr>
        <w:t>market is fundamental to providing European businesses with the equity capital they need to innovate and grow.</w:t>
      </w:r>
      <w:r w:rsidR="429B4831" w:rsidRPr="00417E18">
        <w:rPr>
          <w:noProof/>
          <w:sz w:val="22"/>
          <w:szCs w:val="22"/>
        </w:rPr>
        <w:t xml:space="preserve"> Strategic public support will remain essential in high-risk areas such as AI, cybersecurity, and deep tech, while effective leveraging of private investment will be key to achieving scale and impact. </w:t>
      </w:r>
      <w:r w:rsidR="00F05FDF">
        <w:rPr>
          <w:noProof/>
          <w:sz w:val="22"/>
          <w:szCs w:val="22"/>
        </w:rPr>
        <w:t xml:space="preserve">This is of particular importance, considering also the fact that </w:t>
      </w:r>
      <w:r w:rsidR="00F05FDF">
        <w:rPr>
          <w:noProof/>
          <w:sz w:val="22"/>
          <w:szCs w:val="22"/>
          <w:lang w:val="en-IE"/>
        </w:rPr>
        <w:t>i</w:t>
      </w:r>
      <w:r w:rsidR="00F05FDF" w:rsidRPr="005338DC">
        <w:rPr>
          <w:noProof/>
          <w:sz w:val="22"/>
          <w:szCs w:val="22"/>
          <w:lang w:val="en-IE"/>
        </w:rPr>
        <w:t xml:space="preserve">t is expected that 58% of the public budget of digital measures in Digital Decade National Roadmaps will phase out by the end of 2027. </w:t>
      </w:r>
      <w:r w:rsidR="00F05FDF" w:rsidRPr="00EE63FA">
        <w:rPr>
          <w:b/>
          <w:bCs/>
          <w:noProof/>
          <w:sz w:val="22"/>
          <w:szCs w:val="22"/>
          <w:lang w:val="en-IE"/>
        </w:rPr>
        <w:t>This poses a near-term risk of a significant investment shortfall</w:t>
      </w:r>
      <w:r w:rsidR="00F05FDF" w:rsidRPr="005338DC">
        <w:rPr>
          <w:noProof/>
          <w:sz w:val="22"/>
          <w:szCs w:val="22"/>
          <w:lang w:val="en-IE"/>
        </w:rPr>
        <w:t xml:space="preserve">, with a potential one to two years gap </w:t>
      </w:r>
      <w:r w:rsidR="003D6457">
        <w:rPr>
          <w:noProof/>
          <w:sz w:val="22"/>
          <w:szCs w:val="22"/>
          <w:lang w:val="en-IE"/>
        </w:rPr>
        <w:t xml:space="preserve">notably </w:t>
      </w:r>
      <w:r w:rsidR="00F05FDF" w:rsidRPr="005338DC">
        <w:rPr>
          <w:noProof/>
          <w:sz w:val="22"/>
          <w:szCs w:val="22"/>
          <w:lang w:val="en-IE"/>
        </w:rPr>
        <w:t xml:space="preserve">between the expiry of RRF-funded measures and the operational deployment of </w:t>
      </w:r>
      <w:r w:rsidR="00F05FDF">
        <w:rPr>
          <w:noProof/>
          <w:sz w:val="22"/>
          <w:szCs w:val="22"/>
          <w:lang w:val="en-IE"/>
        </w:rPr>
        <w:t xml:space="preserve">the European Competitiveness Fund and NRPPs under the next </w:t>
      </w:r>
      <w:r w:rsidR="00F05FDF" w:rsidRPr="00417E18">
        <w:rPr>
          <w:noProof/>
          <w:sz w:val="22"/>
          <w:szCs w:val="22"/>
        </w:rPr>
        <w:t>Multiannual Financial Framework</w:t>
      </w:r>
      <w:r w:rsidR="00F05FDF" w:rsidRPr="005338DC">
        <w:rPr>
          <w:noProof/>
          <w:sz w:val="22"/>
          <w:szCs w:val="22"/>
          <w:lang w:val="en-IE"/>
        </w:rPr>
        <w:t>.</w:t>
      </w:r>
    </w:p>
    <w:p w14:paraId="342BA3F9" w14:textId="1C102C28" w:rsidR="557882A7" w:rsidRPr="00967EE0" w:rsidRDefault="557882A7" w:rsidP="009F341D">
      <w:pPr>
        <w:rPr>
          <w:noProof/>
          <w:sz w:val="22"/>
          <w:szCs w:val="22"/>
        </w:rPr>
      </w:pPr>
      <w:r w:rsidRPr="00967EE0">
        <w:rPr>
          <w:noProof/>
          <w:sz w:val="22"/>
          <w:szCs w:val="22"/>
        </w:rPr>
        <w:t xml:space="preserve">Europe must urgently tackle its structural shortage of private risk capital, and in particular equity, for high-growth and deep-tech companies as well as large infrastructural investments. There is indeed the need for an urgent reflection on the means to boost European equity capacities at scale to finance Europe’s tech sovereignty ambitions. </w:t>
      </w:r>
    </w:p>
    <w:p w14:paraId="0B86FC80" w14:textId="7F0EE0FA" w:rsidR="00530298" w:rsidRPr="00417E18" w:rsidRDefault="2FAE9BB2" w:rsidP="00530298">
      <w:pPr>
        <w:rPr>
          <w:noProof/>
          <w:sz w:val="22"/>
          <w:szCs w:val="22"/>
        </w:rPr>
      </w:pPr>
      <w:r w:rsidRPr="00417E18">
        <w:rPr>
          <w:noProof/>
          <w:sz w:val="22"/>
          <w:szCs w:val="22"/>
        </w:rPr>
        <w:t xml:space="preserve">To </w:t>
      </w:r>
      <w:r w:rsidRPr="00417E18">
        <w:rPr>
          <w:b/>
          <w:bCs/>
          <w:noProof/>
          <w:sz w:val="22"/>
          <w:szCs w:val="22"/>
        </w:rPr>
        <w:t>bridge the gap between research and market</w:t>
      </w:r>
      <w:r w:rsidRPr="00417E18">
        <w:rPr>
          <w:noProof/>
          <w:sz w:val="22"/>
          <w:szCs w:val="22"/>
        </w:rPr>
        <w:t xml:space="preserve">, more actions and investments are required, particularly at Technology Readiness Level (TRL) 6, to support the prototyping and commercialisation of digital technologies. Additionally, there is a need for </w:t>
      </w:r>
      <w:r w:rsidR="17F7AFF3" w:rsidRPr="00417E18">
        <w:rPr>
          <w:noProof/>
          <w:sz w:val="22"/>
          <w:szCs w:val="22"/>
        </w:rPr>
        <w:t xml:space="preserve">public and private </w:t>
      </w:r>
      <w:r w:rsidRPr="00417E18">
        <w:rPr>
          <w:b/>
          <w:bCs/>
          <w:noProof/>
          <w:sz w:val="22"/>
          <w:szCs w:val="22"/>
        </w:rPr>
        <w:t xml:space="preserve">investment in fostering the growth-stage of </w:t>
      </w:r>
      <w:r w:rsidR="3464BE56" w:rsidRPr="00417E18">
        <w:rPr>
          <w:b/>
          <w:bCs/>
          <w:noProof/>
          <w:sz w:val="22"/>
          <w:szCs w:val="22"/>
        </w:rPr>
        <w:t>companies</w:t>
      </w:r>
      <w:r w:rsidRPr="00417E18">
        <w:rPr>
          <w:noProof/>
          <w:sz w:val="22"/>
          <w:szCs w:val="22"/>
        </w:rPr>
        <w:t>, as evidenced by a significant drop in the number of scaleups compared to startups in the EU</w:t>
      </w:r>
      <w:r w:rsidR="7CD1B2FB" w:rsidRPr="00417E18">
        <w:rPr>
          <w:noProof/>
          <w:sz w:val="22"/>
          <w:szCs w:val="22"/>
        </w:rPr>
        <w:t>.</w:t>
      </w:r>
    </w:p>
    <w:p w14:paraId="780A6604" w14:textId="2E1E3EED" w:rsidR="00530298" w:rsidRPr="00417E18" w:rsidRDefault="003C30BD" w:rsidP="00530298">
      <w:pPr>
        <w:rPr>
          <w:noProof/>
          <w:sz w:val="22"/>
          <w:szCs w:val="22"/>
        </w:rPr>
      </w:pPr>
      <w:r w:rsidRPr="00417E18">
        <w:rPr>
          <w:noProof/>
          <w:sz w:val="22"/>
          <w:szCs w:val="22"/>
        </w:rPr>
        <w:t>E</w:t>
      </w:r>
      <w:r w:rsidR="00530298" w:rsidRPr="00417E18">
        <w:rPr>
          <w:noProof/>
          <w:sz w:val="22"/>
          <w:szCs w:val="22"/>
        </w:rPr>
        <w:t xml:space="preserve">stablishing and scaling </w:t>
      </w:r>
      <w:r w:rsidR="00530298" w:rsidRPr="00417E18">
        <w:rPr>
          <w:b/>
          <w:noProof/>
          <w:sz w:val="22"/>
          <w:szCs w:val="22"/>
        </w:rPr>
        <w:t>regulatory and technical sandboxes</w:t>
      </w:r>
      <w:r w:rsidRPr="00417E18">
        <w:rPr>
          <w:b/>
          <w:noProof/>
          <w:sz w:val="22"/>
          <w:szCs w:val="22"/>
        </w:rPr>
        <w:t xml:space="preserve"> is also a priority</w:t>
      </w:r>
      <w:r w:rsidR="00530298" w:rsidRPr="00417E18">
        <w:rPr>
          <w:noProof/>
          <w:sz w:val="22"/>
          <w:szCs w:val="22"/>
        </w:rPr>
        <w:t xml:space="preserve">, </w:t>
      </w:r>
      <w:r w:rsidRPr="00417E18">
        <w:rPr>
          <w:noProof/>
          <w:sz w:val="22"/>
          <w:szCs w:val="22"/>
        </w:rPr>
        <w:t>as they</w:t>
      </w:r>
      <w:r w:rsidR="00530298" w:rsidRPr="00417E18">
        <w:rPr>
          <w:noProof/>
          <w:sz w:val="22"/>
          <w:szCs w:val="22"/>
        </w:rPr>
        <w:t xml:space="preserve"> enable companies</w:t>
      </w:r>
      <w:r w:rsidR="005E1DF7" w:rsidRPr="00417E18">
        <w:rPr>
          <w:noProof/>
          <w:sz w:val="22"/>
          <w:szCs w:val="22"/>
        </w:rPr>
        <w:t xml:space="preserve">, </w:t>
      </w:r>
      <w:r w:rsidR="00530298" w:rsidRPr="00417E18">
        <w:rPr>
          <w:noProof/>
          <w:sz w:val="22"/>
          <w:szCs w:val="22"/>
        </w:rPr>
        <w:t>especially SMEs and startups</w:t>
      </w:r>
      <w:r w:rsidR="005E1DF7" w:rsidRPr="00417E18">
        <w:rPr>
          <w:noProof/>
          <w:sz w:val="22"/>
          <w:szCs w:val="22"/>
        </w:rPr>
        <w:t xml:space="preserve">, </w:t>
      </w:r>
      <w:r w:rsidR="00530298" w:rsidRPr="00417E18">
        <w:rPr>
          <w:noProof/>
          <w:sz w:val="22"/>
          <w:szCs w:val="22"/>
        </w:rPr>
        <w:t xml:space="preserve">to test innovative technologies in controlled, real-world environments under regulatory supervision. Another essential area of investment is in </w:t>
      </w:r>
      <w:r w:rsidR="00530298" w:rsidRPr="00417E18">
        <w:rPr>
          <w:b/>
          <w:noProof/>
          <w:sz w:val="22"/>
          <w:szCs w:val="22"/>
        </w:rPr>
        <w:t>enabling infrastructure, such as secure and scalable cloud and edge computing services, as well as interoperable data infrastructures</w:t>
      </w:r>
      <w:r w:rsidR="00530298" w:rsidRPr="00417E18">
        <w:rPr>
          <w:noProof/>
          <w:sz w:val="22"/>
          <w:szCs w:val="22"/>
        </w:rPr>
        <w:t>, which underpin a wide range of advanced digital technologies, such as AI.</w:t>
      </w:r>
    </w:p>
    <w:p w14:paraId="4C0A5B24" w14:textId="7450AD16" w:rsidR="00D61B5F" w:rsidRPr="00417E18" w:rsidRDefault="00DE7065" w:rsidP="00005502">
      <w:pPr>
        <w:rPr>
          <w:noProof/>
          <w:sz w:val="22"/>
          <w:szCs w:val="22"/>
        </w:rPr>
      </w:pPr>
      <w:r w:rsidRPr="00417E18">
        <w:rPr>
          <w:b/>
          <w:bCs/>
          <w:noProof/>
          <w:sz w:val="22"/>
          <w:szCs w:val="22"/>
        </w:rPr>
        <w:t>D</w:t>
      </w:r>
      <w:r w:rsidR="00530298" w:rsidRPr="00417E18">
        <w:rPr>
          <w:b/>
          <w:bCs/>
          <w:noProof/>
          <w:sz w:val="22"/>
          <w:szCs w:val="22"/>
        </w:rPr>
        <w:t>igital transformation requires substantial upfront spending on infrastructure, software, and skills</w:t>
      </w:r>
      <w:r w:rsidR="00530298" w:rsidRPr="00417E18">
        <w:rPr>
          <w:noProof/>
          <w:sz w:val="22"/>
          <w:szCs w:val="22"/>
        </w:rPr>
        <w:t xml:space="preserve">. Firms' investments are constrained </w:t>
      </w:r>
      <w:r w:rsidR="006F16BB" w:rsidRPr="00417E18">
        <w:rPr>
          <w:noProof/>
          <w:sz w:val="22"/>
          <w:szCs w:val="22"/>
        </w:rPr>
        <w:t>by uncertain or long-term returns on investment, combined with</w:t>
      </w:r>
      <w:r w:rsidR="00530298" w:rsidRPr="00417E18">
        <w:rPr>
          <w:noProof/>
          <w:sz w:val="22"/>
          <w:szCs w:val="22"/>
        </w:rPr>
        <w:t xml:space="preserve"> limited access to finance</w:t>
      </w:r>
      <w:r w:rsidR="006F16BB" w:rsidRPr="00417E18">
        <w:rPr>
          <w:noProof/>
          <w:sz w:val="22"/>
          <w:szCs w:val="22"/>
        </w:rPr>
        <w:t>.</w:t>
      </w:r>
      <w:r w:rsidR="00C42EB2" w:rsidRPr="00417E18">
        <w:rPr>
          <w:noProof/>
          <w:sz w:val="22"/>
          <w:szCs w:val="22"/>
        </w:rPr>
        <w:t xml:space="preserve"> </w:t>
      </w:r>
      <w:r w:rsidR="00A600E6" w:rsidRPr="00417E18">
        <w:rPr>
          <w:noProof/>
          <w:sz w:val="22"/>
          <w:szCs w:val="22"/>
        </w:rPr>
        <w:t>In its Multiannual Financial Framework proposal</w:t>
      </w:r>
      <w:r w:rsidR="00165F71" w:rsidRPr="00417E18">
        <w:rPr>
          <w:noProof/>
          <w:sz w:val="22"/>
          <w:szCs w:val="22"/>
        </w:rPr>
        <w:t xml:space="preserve">, which set out the approach for the EU budget between 2028 and </w:t>
      </w:r>
      <w:r w:rsidR="00164ECE" w:rsidRPr="00417E18">
        <w:rPr>
          <w:noProof/>
          <w:sz w:val="22"/>
          <w:szCs w:val="22"/>
        </w:rPr>
        <w:t xml:space="preserve">2034, the Commission has proposed EUR </w:t>
      </w:r>
      <w:r w:rsidR="00E07DB5" w:rsidRPr="00417E18">
        <w:rPr>
          <w:noProof/>
          <w:sz w:val="22"/>
          <w:szCs w:val="22"/>
        </w:rPr>
        <w:t>234</w:t>
      </w:r>
      <w:r w:rsidR="3CCDD502" w:rsidRPr="00417E18">
        <w:rPr>
          <w:noProof/>
          <w:sz w:val="22"/>
          <w:szCs w:val="22"/>
        </w:rPr>
        <w:t>.</w:t>
      </w:r>
      <w:r w:rsidR="00E07DB5" w:rsidRPr="00417E18">
        <w:rPr>
          <w:noProof/>
          <w:sz w:val="22"/>
          <w:szCs w:val="22"/>
        </w:rPr>
        <w:t>3</w:t>
      </w:r>
      <w:r w:rsidR="00164ECE" w:rsidRPr="00417E18">
        <w:rPr>
          <w:noProof/>
          <w:sz w:val="22"/>
          <w:szCs w:val="22"/>
        </w:rPr>
        <w:t xml:space="preserve"> billion for a new European Competitiveness Fund</w:t>
      </w:r>
      <w:r w:rsidR="00E66573">
        <w:rPr>
          <w:noProof/>
          <w:sz w:val="22"/>
          <w:szCs w:val="22"/>
        </w:rPr>
        <w:t xml:space="preserve"> (ECF)</w:t>
      </w:r>
      <w:r w:rsidR="00164ECE" w:rsidRPr="00417E18">
        <w:rPr>
          <w:noProof/>
          <w:sz w:val="22"/>
          <w:szCs w:val="22"/>
        </w:rPr>
        <w:t xml:space="preserve">. Part of it will support the digital transition, invest in strategic technologies and simplify EU funding. </w:t>
      </w:r>
      <w:r w:rsidR="007603C6" w:rsidRPr="00417E18">
        <w:rPr>
          <w:noProof/>
          <w:sz w:val="22"/>
          <w:szCs w:val="22"/>
        </w:rPr>
        <w:t>The</w:t>
      </w:r>
      <w:r w:rsidR="007603C6" w:rsidRPr="00417E18" w:rsidDel="003D3EC1">
        <w:rPr>
          <w:noProof/>
          <w:sz w:val="22"/>
          <w:szCs w:val="22"/>
        </w:rPr>
        <w:t xml:space="preserve"> </w:t>
      </w:r>
      <w:r w:rsidR="003D3EC1">
        <w:rPr>
          <w:noProof/>
          <w:sz w:val="22"/>
          <w:szCs w:val="22"/>
        </w:rPr>
        <w:t>Commission</w:t>
      </w:r>
      <w:r w:rsidR="007603C6" w:rsidRPr="00417E18">
        <w:rPr>
          <w:noProof/>
          <w:sz w:val="22"/>
          <w:szCs w:val="22"/>
        </w:rPr>
        <w:t xml:space="preserve"> </w:t>
      </w:r>
      <w:r w:rsidR="00650422" w:rsidRPr="00417E18">
        <w:rPr>
          <w:noProof/>
          <w:sz w:val="22"/>
          <w:szCs w:val="22"/>
        </w:rPr>
        <w:t>pr</w:t>
      </w:r>
      <w:r w:rsidR="004A5A7B" w:rsidRPr="00417E18">
        <w:rPr>
          <w:noProof/>
          <w:sz w:val="22"/>
          <w:szCs w:val="22"/>
        </w:rPr>
        <w:t xml:space="preserve">oposal for the </w:t>
      </w:r>
      <w:r w:rsidR="00B54DDB" w:rsidRPr="00417E18">
        <w:rPr>
          <w:noProof/>
          <w:sz w:val="22"/>
          <w:szCs w:val="22"/>
        </w:rPr>
        <w:t xml:space="preserve">ECF </w:t>
      </w:r>
      <w:r w:rsidR="003D3EC1">
        <w:rPr>
          <w:noProof/>
          <w:sz w:val="22"/>
          <w:szCs w:val="22"/>
        </w:rPr>
        <w:t>refers to</w:t>
      </w:r>
      <w:r w:rsidR="004A5A7B" w:rsidRPr="00417E18">
        <w:rPr>
          <w:noProof/>
          <w:sz w:val="22"/>
          <w:szCs w:val="22"/>
        </w:rPr>
        <w:t xml:space="preserve"> the Digital Decade Policy Programme 2030</w:t>
      </w:r>
      <w:r w:rsidR="005800B8" w:rsidRPr="00417E18">
        <w:rPr>
          <w:noProof/>
          <w:sz w:val="22"/>
          <w:szCs w:val="22"/>
        </w:rPr>
        <w:t xml:space="preserve">: </w:t>
      </w:r>
      <w:r w:rsidR="00027F4F" w:rsidRPr="00417E18">
        <w:rPr>
          <w:noProof/>
          <w:sz w:val="22"/>
          <w:szCs w:val="22"/>
        </w:rPr>
        <w:t>“</w:t>
      </w:r>
      <w:r w:rsidR="004A5A7B" w:rsidRPr="00417E18">
        <w:rPr>
          <w:noProof/>
          <w:sz w:val="22"/>
          <w:szCs w:val="22"/>
        </w:rPr>
        <w:t>In particular, the ECF’s digital investments respond to the gaps and priorities identified in the State of the Digital Decade 2025 report, notably in digital connectivity, advanced computing, and digital skills, supporting the Union’s objective of digital sovereignty</w:t>
      </w:r>
      <w:r w:rsidR="00AF1871" w:rsidRPr="00417E18">
        <w:rPr>
          <w:noProof/>
          <w:sz w:val="22"/>
          <w:szCs w:val="22"/>
        </w:rPr>
        <w:t xml:space="preserve">”. </w:t>
      </w:r>
    </w:p>
    <w:p w14:paraId="021E3F66" w14:textId="3DD985B7" w:rsidR="00D941AB" w:rsidRPr="00417E18" w:rsidRDefault="00D941AB" w:rsidP="00D941AB">
      <w:pPr>
        <w:rPr>
          <w:noProof/>
          <w:sz w:val="22"/>
          <w:szCs w:val="22"/>
        </w:rPr>
      </w:pPr>
      <w:r w:rsidRPr="00417E18">
        <w:rPr>
          <w:noProof/>
          <w:sz w:val="22"/>
          <w:szCs w:val="22"/>
        </w:rPr>
        <w:t xml:space="preserve">The Commission proposal for the next Multiannual Financial Framework includes a significantly increased budget for digital. The proposed budgetary envelope is EUR 68.3 billion, combining </w:t>
      </w:r>
      <w:r w:rsidR="009F3702" w:rsidRPr="00417E18">
        <w:rPr>
          <w:b/>
          <w:noProof/>
          <w:sz w:val="22"/>
          <w:szCs w:val="22"/>
        </w:rPr>
        <w:t xml:space="preserve">EUR 51.5 billion funding from the </w:t>
      </w:r>
      <w:r w:rsidR="009F3702" w:rsidRPr="00417E18">
        <w:rPr>
          <w:b/>
          <w:bCs/>
          <w:noProof/>
          <w:sz w:val="22"/>
          <w:szCs w:val="22"/>
        </w:rPr>
        <w:t>ECF</w:t>
      </w:r>
      <w:r w:rsidRPr="00417E18">
        <w:rPr>
          <w:rStyle w:val="FootnoteReference"/>
          <w:noProof/>
          <w:sz w:val="22"/>
          <w:szCs w:val="22"/>
        </w:rPr>
        <w:footnoteReference w:id="105"/>
      </w:r>
      <w:r w:rsidR="0019742A" w:rsidRPr="00417E18">
        <w:rPr>
          <w:noProof/>
          <w:sz w:val="22"/>
          <w:szCs w:val="22"/>
        </w:rPr>
        <w:t xml:space="preserve"> </w:t>
      </w:r>
      <w:r w:rsidRPr="00417E18">
        <w:rPr>
          <w:noProof/>
          <w:sz w:val="22"/>
          <w:szCs w:val="22"/>
        </w:rPr>
        <w:t xml:space="preserve">and </w:t>
      </w:r>
      <w:r w:rsidRPr="00417E18">
        <w:rPr>
          <w:b/>
          <w:bCs/>
          <w:noProof/>
          <w:sz w:val="22"/>
          <w:szCs w:val="22"/>
        </w:rPr>
        <w:t>EUR 16.8 billion from the next Research and Innovation Framework Programme</w:t>
      </w:r>
      <w:r w:rsidR="00E45A28" w:rsidRPr="00417E18">
        <w:rPr>
          <w:noProof/>
          <w:sz w:val="22"/>
          <w:szCs w:val="22"/>
        </w:rPr>
        <w:t xml:space="preserve"> </w:t>
      </w:r>
      <w:r w:rsidR="00E45A28" w:rsidRPr="00417E18">
        <w:rPr>
          <w:b/>
          <w:noProof/>
          <w:sz w:val="22"/>
          <w:szCs w:val="22"/>
        </w:rPr>
        <w:t>(FP10)</w:t>
      </w:r>
      <w:r w:rsidR="00632F01" w:rsidRPr="00417E18">
        <w:rPr>
          <w:rStyle w:val="FootnoteReference"/>
          <w:noProof/>
          <w:sz w:val="22"/>
          <w:szCs w:val="22"/>
        </w:rPr>
        <w:footnoteReference w:id="106"/>
      </w:r>
      <w:r w:rsidRPr="00417E18">
        <w:rPr>
          <w:noProof/>
          <w:sz w:val="22"/>
          <w:szCs w:val="22"/>
        </w:rPr>
        <w:t xml:space="preserve"> under a shared Digital Leadership window.</w:t>
      </w:r>
      <w:r w:rsidR="002458CF" w:rsidRPr="00417E18">
        <w:rPr>
          <w:noProof/>
          <w:sz w:val="22"/>
          <w:szCs w:val="22"/>
        </w:rPr>
        <w:t xml:space="preserve"> </w:t>
      </w:r>
      <w:r w:rsidRPr="00417E18">
        <w:rPr>
          <w:noProof/>
          <w:sz w:val="22"/>
          <w:szCs w:val="22"/>
        </w:rPr>
        <w:t>The digital window brings together major digital programmes such as the current Digital Europe Programme (DIGITAL), the Connecting Europe Facility’s (CEF) Digital strand and the collaborative and applied research part of Horizon Europe’s Pillar II.</w:t>
      </w:r>
      <w:r w:rsidR="002458CF" w:rsidRPr="00417E18">
        <w:rPr>
          <w:noProof/>
          <w:sz w:val="22"/>
          <w:szCs w:val="22"/>
        </w:rPr>
        <w:t xml:space="preserve"> </w:t>
      </w:r>
      <w:r w:rsidRPr="00417E18">
        <w:rPr>
          <w:b/>
          <w:bCs/>
          <w:noProof/>
          <w:sz w:val="22"/>
          <w:szCs w:val="22"/>
        </w:rPr>
        <w:t>Horizon Europe will remain a standalone programme but with a structure that is closely aligned with the ECF</w:t>
      </w:r>
      <w:r w:rsidRPr="00417E18">
        <w:rPr>
          <w:noProof/>
          <w:sz w:val="22"/>
          <w:szCs w:val="22"/>
        </w:rPr>
        <w:t>, under a single policy steer, thus coherently covering all aspects of digital, from research to advanced digital skills, digital infrastructures, critical digital technologies, their ecosystems and applications.</w:t>
      </w:r>
    </w:p>
    <w:p w14:paraId="282A924A" w14:textId="43690338" w:rsidR="26E7F9FE" w:rsidRPr="00D76153" w:rsidRDefault="00D941AB" w:rsidP="00D76153">
      <w:pPr>
        <w:rPr>
          <w:noProof/>
          <w:sz w:val="22"/>
          <w:szCs w:val="22"/>
        </w:rPr>
      </w:pPr>
      <w:r w:rsidRPr="00417E18">
        <w:rPr>
          <w:noProof/>
          <w:sz w:val="22"/>
          <w:szCs w:val="22"/>
        </w:rPr>
        <w:t xml:space="preserve">The proposal also aims to leverage substantially more private and public investment, including through equity and blended for start-up and scaling. </w:t>
      </w:r>
      <w:r w:rsidRPr="00417E18">
        <w:rPr>
          <w:b/>
          <w:bCs/>
          <w:noProof/>
          <w:sz w:val="22"/>
          <w:szCs w:val="22"/>
        </w:rPr>
        <w:t xml:space="preserve">The ECF InvestEU instrument will leverage public and private </w:t>
      </w:r>
      <w:r w:rsidR="00B674D4" w:rsidRPr="00417E18">
        <w:rPr>
          <w:b/>
          <w:bCs/>
          <w:noProof/>
          <w:sz w:val="22"/>
          <w:szCs w:val="22"/>
        </w:rPr>
        <w:t>funding</w:t>
      </w:r>
      <w:r w:rsidRPr="00417E18">
        <w:rPr>
          <w:noProof/>
          <w:sz w:val="22"/>
          <w:szCs w:val="22"/>
        </w:rPr>
        <w:t xml:space="preserve"> towards EU priority sectors, with a minimum </w:t>
      </w:r>
      <w:r w:rsidR="00D20D4C" w:rsidRPr="00417E18">
        <w:rPr>
          <w:noProof/>
          <w:sz w:val="22"/>
          <w:szCs w:val="22"/>
        </w:rPr>
        <w:t>EU support</w:t>
      </w:r>
      <w:r w:rsidRPr="00417E18">
        <w:rPr>
          <w:noProof/>
          <w:sz w:val="22"/>
          <w:szCs w:val="22"/>
        </w:rPr>
        <w:t xml:space="preserve"> of EUR 17 billion which can be further topped up from the ECF policy windows.</w:t>
      </w:r>
    </w:p>
    <w:p w14:paraId="73E96FE1" w14:textId="7A268742" w:rsidR="00B6561D" w:rsidRPr="00417E18" w:rsidRDefault="00EE787B" w:rsidP="12BA58D7">
      <w:pPr>
        <w:rPr>
          <w:noProof/>
          <w:sz w:val="22"/>
          <w:szCs w:val="22"/>
        </w:rPr>
      </w:pPr>
      <w:r w:rsidRPr="00417E18">
        <w:rPr>
          <w:noProof/>
          <w:sz w:val="22"/>
          <w:szCs w:val="22"/>
        </w:rPr>
        <w:t xml:space="preserve">Given the number of different funding streams supporting digital objectives, it will be important to </w:t>
      </w:r>
      <w:r w:rsidR="00540016" w:rsidRPr="00417E18">
        <w:rPr>
          <w:noProof/>
          <w:sz w:val="22"/>
          <w:szCs w:val="22"/>
        </w:rPr>
        <w:t xml:space="preserve">ensure proper </w:t>
      </w:r>
      <w:r w:rsidR="001D1EBB" w:rsidRPr="00417E18">
        <w:rPr>
          <w:noProof/>
          <w:sz w:val="22"/>
          <w:szCs w:val="22"/>
        </w:rPr>
        <w:t xml:space="preserve">triangulation between </w:t>
      </w:r>
      <w:r w:rsidR="00F6114D" w:rsidRPr="00417E18">
        <w:rPr>
          <w:noProof/>
          <w:sz w:val="22"/>
          <w:szCs w:val="22"/>
        </w:rPr>
        <w:t xml:space="preserve">them. </w:t>
      </w:r>
      <w:r w:rsidR="00F8745E" w:rsidRPr="00417E18">
        <w:rPr>
          <w:noProof/>
          <w:sz w:val="22"/>
          <w:szCs w:val="22"/>
        </w:rPr>
        <w:t xml:space="preserve">The use of </w:t>
      </w:r>
      <w:r w:rsidR="0012735D" w:rsidRPr="00417E18">
        <w:rPr>
          <w:noProof/>
          <w:sz w:val="22"/>
          <w:szCs w:val="22"/>
        </w:rPr>
        <w:t>large-scale</w:t>
      </w:r>
      <w:r w:rsidR="00D30269" w:rsidRPr="00417E18">
        <w:rPr>
          <w:noProof/>
          <w:sz w:val="22"/>
          <w:szCs w:val="22"/>
        </w:rPr>
        <w:t xml:space="preserve"> project </w:t>
      </w:r>
      <w:r w:rsidR="00F8745E" w:rsidRPr="00417E18">
        <w:rPr>
          <w:noProof/>
          <w:sz w:val="22"/>
          <w:szCs w:val="22"/>
        </w:rPr>
        <w:t xml:space="preserve">implementation </w:t>
      </w:r>
      <w:r w:rsidR="00A624EA" w:rsidRPr="00417E18">
        <w:rPr>
          <w:noProof/>
          <w:sz w:val="22"/>
          <w:szCs w:val="22"/>
        </w:rPr>
        <w:t>mechanisms</w:t>
      </w:r>
      <w:r w:rsidR="00D104E0" w:rsidRPr="00417E18">
        <w:rPr>
          <w:noProof/>
          <w:sz w:val="22"/>
          <w:szCs w:val="22"/>
        </w:rPr>
        <w:t xml:space="preserve"> with potential to pool resources </w:t>
      </w:r>
      <w:r w:rsidR="0095714C" w:rsidRPr="00417E18">
        <w:rPr>
          <w:noProof/>
          <w:sz w:val="22"/>
          <w:szCs w:val="22"/>
        </w:rPr>
        <w:t xml:space="preserve">from </w:t>
      </w:r>
      <w:r w:rsidR="00CF0DFB" w:rsidRPr="00417E18">
        <w:rPr>
          <w:noProof/>
          <w:sz w:val="22"/>
          <w:szCs w:val="22"/>
        </w:rPr>
        <w:t>different funding streams</w:t>
      </w:r>
      <w:r w:rsidR="001035B3" w:rsidRPr="00417E18">
        <w:rPr>
          <w:noProof/>
          <w:sz w:val="22"/>
          <w:szCs w:val="22"/>
        </w:rPr>
        <w:t xml:space="preserve">, </w:t>
      </w:r>
      <w:r w:rsidR="00A624EA" w:rsidRPr="00417E18">
        <w:rPr>
          <w:noProof/>
          <w:sz w:val="22"/>
          <w:szCs w:val="22"/>
        </w:rPr>
        <w:t>such as EDICs</w:t>
      </w:r>
      <w:r w:rsidR="001035B3" w:rsidRPr="00417E18">
        <w:rPr>
          <w:noProof/>
          <w:sz w:val="22"/>
          <w:szCs w:val="22"/>
        </w:rPr>
        <w:t xml:space="preserve">, </w:t>
      </w:r>
      <w:r w:rsidR="006742A1" w:rsidRPr="00417E18">
        <w:rPr>
          <w:noProof/>
          <w:sz w:val="22"/>
          <w:szCs w:val="22"/>
        </w:rPr>
        <w:t xml:space="preserve">would benefit from </w:t>
      </w:r>
      <w:r w:rsidR="00600417" w:rsidRPr="00417E18">
        <w:rPr>
          <w:noProof/>
          <w:sz w:val="22"/>
          <w:szCs w:val="22"/>
        </w:rPr>
        <w:t>closer coo</w:t>
      </w:r>
      <w:r w:rsidR="00730211" w:rsidRPr="00417E18">
        <w:rPr>
          <w:noProof/>
          <w:sz w:val="22"/>
          <w:szCs w:val="22"/>
        </w:rPr>
        <w:t xml:space="preserve">peration </w:t>
      </w:r>
      <w:r w:rsidR="00767EE4" w:rsidRPr="00417E18">
        <w:rPr>
          <w:noProof/>
          <w:sz w:val="22"/>
          <w:szCs w:val="22"/>
        </w:rPr>
        <w:t>between</w:t>
      </w:r>
      <w:r w:rsidR="00730211" w:rsidRPr="00417E18">
        <w:rPr>
          <w:noProof/>
          <w:sz w:val="22"/>
          <w:szCs w:val="22"/>
        </w:rPr>
        <w:t xml:space="preserve"> </w:t>
      </w:r>
      <w:r w:rsidR="00184826" w:rsidRPr="00417E18">
        <w:rPr>
          <w:noProof/>
          <w:sz w:val="22"/>
          <w:szCs w:val="22"/>
        </w:rPr>
        <w:t xml:space="preserve">the </w:t>
      </w:r>
      <w:r w:rsidR="00116D5E" w:rsidRPr="00417E18">
        <w:rPr>
          <w:noProof/>
          <w:sz w:val="22"/>
          <w:szCs w:val="22"/>
        </w:rPr>
        <w:t>Commission and the Member States.</w:t>
      </w:r>
    </w:p>
    <w:tbl>
      <w:tblPr>
        <w:tblStyle w:val="TableGrid"/>
        <w:tblW w:w="0" w:type="auto"/>
        <w:tblLook w:val="06A0" w:firstRow="1" w:lastRow="0" w:firstColumn="1" w:lastColumn="0" w:noHBand="1" w:noVBand="1"/>
      </w:tblPr>
      <w:tblGrid>
        <w:gridCol w:w="9350"/>
      </w:tblGrid>
      <w:tr w:rsidR="0E02BF4B" w:rsidRPr="00417E18" w14:paraId="510E2920" w14:textId="77777777" w:rsidTr="698D0C64">
        <w:trPr>
          <w:trHeight w:val="300"/>
        </w:trPr>
        <w:tc>
          <w:tcPr>
            <w:tcW w:w="9360" w:type="dxa"/>
            <w:shd w:val="clear" w:color="auto" w:fill="D4F1EE"/>
          </w:tcPr>
          <w:p w14:paraId="1FDF5CD9" w14:textId="356AC91D" w:rsidR="00FE6BCC" w:rsidRPr="00417E18" w:rsidRDefault="1119D27D" w:rsidP="3A5F48C0">
            <w:pPr>
              <w:rPr>
                <w:b/>
                <w:bCs/>
                <w:noProof/>
              </w:rPr>
            </w:pPr>
            <w:r w:rsidRPr="00417E18">
              <w:rPr>
                <w:b/>
                <w:bCs/>
                <w:noProof/>
              </w:rPr>
              <w:t xml:space="preserve">Recommendation: </w:t>
            </w:r>
          </w:p>
          <w:p w14:paraId="60894788" w14:textId="2FBFFA29" w:rsidR="0098118C" w:rsidRDefault="00046B01" w:rsidP="04A95214">
            <w:pPr>
              <w:spacing w:line="278" w:lineRule="auto"/>
              <w:rPr>
                <w:rFonts w:eastAsia="Calibri" w:cs="Calibri"/>
                <w:noProof/>
              </w:rPr>
            </w:pPr>
            <w:r w:rsidRPr="00046B01">
              <w:rPr>
                <w:rFonts w:eastAsiaTheme="minorEastAsia"/>
                <w:noProof/>
              </w:rPr>
              <w:t xml:space="preserve">The EU and Member States should strengthen </w:t>
            </w:r>
            <w:r w:rsidR="006E2F12">
              <w:rPr>
                <w:rFonts w:eastAsiaTheme="minorEastAsia"/>
                <w:noProof/>
              </w:rPr>
              <w:t xml:space="preserve">further </w:t>
            </w:r>
            <w:r w:rsidRPr="00046B01">
              <w:rPr>
                <w:rFonts w:eastAsiaTheme="minorEastAsia"/>
                <w:noProof/>
              </w:rPr>
              <w:t>their cooperation, acting not only as a de-risking partner but also as a strategic market aggregator, mobilising demand and investment at European scale to support the breakthrough technologies required to strengthen technological sovereignty and close Europe's innovation gap.</w:t>
            </w:r>
          </w:p>
          <w:p w14:paraId="0E506B4C" w14:textId="7825E32E" w:rsidR="2D1291D3" w:rsidRPr="00417E18" w:rsidRDefault="53EA7C5F" w:rsidP="04A95214">
            <w:pPr>
              <w:spacing w:line="278" w:lineRule="auto"/>
              <w:rPr>
                <w:rFonts w:eastAsia="Calibri" w:cs="Calibri"/>
                <w:noProof/>
              </w:rPr>
            </w:pPr>
            <w:r w:rsidRPr="00417E18">
              <w:rPr>
                <w:rFonts w:eastAsia="Calibri" w:cs="Calibri"/>
                <w:noProof/>
              </w:rPr>
              <w:t xml:space="preserve">Member States should align the implementation of the Digital Decade with the </w:t>
            </w:r>
            <w:r w:rsidR="6C8E1DD2" w:rsidRPr="0A077D81">
              <w:rPr>
                <w:rFonts w:eastAsia="Calibri" w:cs="Calibri"/>
                <w:noProof/>
              </w:rPr>
              <w:t xml:space="preserve">future </w:t>
            </w:r>
            <w:r w:rsidRPr="00417E18">
              <w:rPr>
                <w:rFonts w:eastAsia="Calibri" w:cs="Calibri"/>
                <w:noProof/>
              </w:rPr>
              <w:t>architecture of the next Multiannual Financial Framework, by:</w:t>
            </w:r>
          </w:p>
          <w:p w14:paraId="470E3780" w14:textId="413C6EAA" w:rsidR="2D1291D3" w:rsidRPr="00417E18" w:rsidRDefault="6DA5D095" w:rsidP="00F36E2D">
            <w:pPr>
              <w:pStyle w:val="ListParagraph"/>
              <w:numPr>
                <w:ilvl w:val="0"/>
                <w:numId w:val="32"/>
              </w:numPr>
              <w:spacing w:before="60" w:after="120"/>
              <w:ind w:left="714" w:hanging="357"/>
              <w:contextualSpacing w:val="0"/>
              <w:rPr>
                <w:rFonts w:eastAsia="Calibri" w:cs="Calibri"/>
                <w:noProof/>
              </w:rPr>
            </w:pPr>
            <w:r w:rsidRPr="00417E18">
              <w:rPr>
                <w:rFonts w:eastAsia="Calibri" w:cs="Calibri"/>
                <w:noProof/>
              </w:rPr>
              <w:t>clearly outlining in their updated National Roadmaps how they intend to use their NRPP allocations</w:t>
            </w:r>
            <w:r w:rsidR="1D505C66" w:rsidRPr="600D959D">
              <w:rPr>
                <w:rFonts w:eastAsia="Calibri" w:cs="Calibri"/>
                <w:noProof/>
              </w:rPr>
              <w:t>, ensuring</w:t>
            </w:r>
            <w:r w:rsidRPr="600D959D" w:rsidDel="6DA5D095">
              <w:rPr>
                <w:rFonts w:eastAsia="Calibri" w:cs="Calibri"/>
                <w:noProof/>
              </w:rPr>
              <w:t xml:space="preserve"> </w:t>
            </w:r>
            <w:r w:rsidR="3CE8788B" w:rsidRPr="600D959D">
              <w:rPr>
                <w:rFonts w:eastAsia="Calibri" w:cs="Calibri"/>
                <w:noProof/>
              </w:rPr>
              <w:t>full</w:t>
            </w:r>
            <w:r w:rsidRPr="00417E18">
              <w:rPr>
                <w:rFonts w:eastAsia="Calibri" w:cs="Calibri"/>
                <w:noProof/>
              </w:rPr>
              <w:t xml:space="preserve"> alignment with DDPP priorities and the ECF's digital objectives, </w:t>
            </w:r>
            <w:r w:rsidR="4608FF25" w:rsidRPr="101EAEDE">
              <w:rPr>
                <w:rFonts w:eastAsia="Calibri" w:cs="Calibri"/>
                <w:noProof/>
              </w:rPr>
              <w:t>and</w:t>
            </w:r>
            <w:r w:rsidR="01C2DF8F" w:rsidRPr="0A867A1B">
              <w:rPr>
                <w:rFonts w:eastAsia="Calibri" w:cs="Calibri"/>
                <w:noProof/>
              </w:rPr>
              <w:t xml:space="preserve"> </w:t>
            </w:r>
            <w:r w:rsidR="01C2DF8F" w:rsidRPr="49A50F4A">
              <w:rPr>
                <w:rFonts w:eastAsia="Calibri" w:cs="Calibri"/>
                <w:noProof/>
              </w:rPr>
              <w:t>minimising the risk of disruption to investment</w:t>
            </w:r>
            <w:r w:rsidR="17297093" w:rsidRPr="49A50F4A">
              <w:rPr>
                <w:rFonts w:eastAsia="Calibri" w:cs="Calibri"/>
                <w:noProof/>
              </w:rPr>
              <w:t xml:space="preserve"> </w:t>
            </w:r>
            <w:r w:rsidR="211F62BB" w:rsidRPr="49A50F4A">
              <w:rPr>
                <w:rFonts w:eastAsia="Calibri" w:cs="Calibri"/>
                <w:noProof/>
              </w:rPr>
              <w:t>flows</w:t>
            </w:r>
            <w:r w:rsidR="5A248F50" w:rsidRPr="101EAEDE">
              <w:rPr>
                <w:rFonts w:eastAsia="Calibri" w:cs="Calibri"/>
                <w:noProof/>
              </w:rPr>
              <w:t>, while</w:t>
            </w:r>
            <w:r w:rsidR="211F62BB" w:rsidRPr="49A50F4A">
              <w:rPr>
                <w:rFonts w:eastAsia="Calibri" w:cs="Calibri"/>
                <w:noProof/>
              </w:rPr>
              <w:t xml:space="preserve"> </w:t>
            </w:r>
            <w:r w:rsidR="211F62BB" w:rsidRPr="4AE5B975">
              <w:rPr>
                <w:rFonts w:eastAsia="Calibri" w:cs="Calibri"/>
                <w:noProof/>
              </w:rPr>
              <w:t>maintaining</w:t>
            </w:r>
            <w:r w:rsidR="211F62BB" w:rsidRPr="49A50F4A">
              <w:rPr>
                <w:rFonts w:eastAsia="Calibri" w:cs="Calibri"/>
                <w:noProof/>
              </w:rPr>
              <w:t xml:space="preserve"> </w:t>
            </w:r>
            <w:r w:rsidRPr="00417E18">
              <w:rPr>
                <w:rFonts w:eastAsia="Calibri" w:cs="Calibri"/>
                <w:noProof/>
              </w:rPr>
              <w:t>coherence, transparency and strategic targeting of investments;</w:t>
            </w:r>
          </w:p>
          <w:p w14:paraId="01F88A14" w14:textId="017361C1" w:rsidR="002C164B" w:rsidRPr="00417E18" w:rsidRDefault="6DA5D095" w:rsidP="00F36E2D">
            <w:pPr>
              <w:pStyle w:val="ListParagraph"/>
              <w:numPr>
                <w:ilvl w:val="0"/>
                <w:numId w:val="32"/>
              </w:numPr>
              <w:spacing w:before="60" w:after="120"/>
              <w:ind w:left="714" w:hanging="357"/>
              <w:contextualSpacing w:val="0"/>
              <w:rPr>
                <w:rFonts w:eastAsia="Calibri" w:cs="Calibri"/>
                <w:noProof/>
              </w:rPr>
            </w:pPr>
            <w:r w:rsidRPr="00417E18">
              <w:rPr>
                <w:rFonts w:eastAsia="Calibri" w:cs="Calibri"/>
                <w:noProof/>
              </w:rPr>
              <w:t>assessing and reporting on expected and actual progress on these planned measures, using their own specified measures and, where appropriate, complementary data sources, to provide a robust and evidence-based estimation of implementation outcomes;</w:t>
            </w:r>
          </w:p>
          <w:p w14:paraId="5D53393D" w14:textId="324BC915" w:rsidR="2D1291D3" w:rsidRPr="00417E18" w:rsidRDefault="00D31A4E" w:rsidP="00F36E2D">
            <w:pPr>
              <w:pStyle w:val="ListParagraph"/>
              <w:numPr>
                <w:ilvl w:val="0"/>
                <w:numId w:val="32"/>
              </w:numPr>
              <w:spacing w:before="60" w:after="120"/>
              <w:ind w:left="714" w:hanging="357"/>
              <w:contextualSpacing w:val="0"/>
              <w:rPr>
                <w:rFonts w:eastAsia="Calibri" w:cs="Calibri"/>
                <w:noProof/>
              </w:rPr>
            </w:pPr>
            <w:r w:rsidRPr="00417E18">
              <w:rPr>
                <w:rFonts w:eastAsia="Calibri" w:cs="Calibri"/>
                <w:noProof/>
              </w:rPr>
              <w:t>appointing</w:t>
            </w:r>
            <w:r w:rsidR="00FA3B2F" w:rsidRPr="00417E18">
              <w:rPr>
                <w:rFonts w:eastAsia="Calibri" w:cs="Calibri"/>
                <w:noProof/>
              </w:rPr>
              <w:t xml:space="preserve"> </w:t>
            </w:r>
            <w:r w:rsidR="0086637A" w:rsidRPr="00417E18">
              <w:rPr>
                <w:rFonts w:eastAsia="Calibri" w:cs="Calibri"/>
                <w:noProof/>
              </w:rPr>
              <w:t xml:space="preserve">National Contact Points for EDICs at </w:t>
            </w:r>
            <w:r w:rsidR="005F3057" w:rsidRPr="00417E18">
              <w:rPr>
                <w:rFonts w:eastAsia="Calibri" w:cs="Calibri"/>
                <w:noProof/>
              </w:rPr>
              <w:t>national level</w:t>
            </w:r>
            <w:r w:rsidR="6DA5D095" w:rsidRPr="00417E18">
              <w:rPr>
                <w:rFonts w:eastAsia="Calibri" w:cs="Calibri"/>
                <w:noProof/>
              </w:rPr>
              <w:t>, to capitalise on existing know-how and best practices and to streamline the process of setting up European Digital Infrastructure Consortia.</w:t>
            </w:r>
          </w:p>
        </w:tc>
      </w:tr>
    </w:tbl>
    <w:p w14:paraId="652B85F5" w14:textId="22579CF0" w:rsidR="4B57C18E" w:rsidRPr="00417E18" w:rsidRDefault="4B57C18E" w:rsidP="3F85944B">
      <w:pPr>
        <w:spacing w:before="0" w:after="0"/>
        <w:rPr>
          <w:noProof/>
          <w:sz w:val="22"/>
          <w:szCs w:val="22"/>
        </w:rPr>
      </w:pPr>
    </w:p>
    <w:p w14:paraId="0B9973C2" w14:textId="1E6ED197" w:rsidR="207DC3B7" w:rsidRPr="00417E18" w:rsidRDefault="3F121C93" w:rsidP="00E11929">
      <w:pPr>
        <w:pStyle w:val="Heading1"/>
        <w:numPr>
          <w:ilvl w:val="0"/>
          <w:numId w:val="40"/>
        </w:numPr>
        <w:rPr>
          <w:noProof/>
        </w:rPr>
      </w:pPr>
      <w:bookmarkStart w:id="133" w:name="_Toc226710918"/>
      <w:bookmarkStart w:id="134" w:name="_Toc1974877269"/>
      <w:bookmarkStart w:id="135" w:name="_Toc492184383"/>
      <w:bookmarkStart w:id="136" w:name="_Toc231830078"/>
      <w:r w:rsidRPr="00417E18">
        <w:rPr>
          <w:noProof/>
        </w:rPr>
        <w:t>International</w:t>
      </w:r>
      <w:bookmarkEnd w:id="133"/>
      <w:bookmarkEnd w:id="134"/>
      <w:bookmarkEnd w:id="135"/>
      <w:bookmarkEnd w:id="136"/>
    </w:p>
    <w:p w14:paraId="4BBF18B1" w14:textId="647A2B41" w:rsidR="097BC31D" w:rsidRPr="00417E18" w:rsidRDefault="20331AD7" w:rsidP="001E3C08">
      <w:pPr>
        <w:spacing w:after="0" w:line="276" w:lineRule="auto"/>
        <w:rPr>
          <w:rFonts w:eastAsia="Calibri" w:cs="Calibri"/>
          <w:noProof/>
          <w:sz w:val="22"/>
          <w:szCs w:val="22"/>
        </w:rPr>
      </w:pPr>
      <w:r w:rsidRPr="00417E18">
        <w:rPr>
          <w:rFonts w:eastAsia="Calibri" w:cs="Calibri"/>
          <w:noProof/>
          <w:sz w:val="22"/>
          <w:szCs w:val="22"/>
        </w:rPr>
        <w:t xml:space="preserve">International cooperation on digital </w:t>
      </w:r>
      <w:r w:rsidR="004B6048" w:rsidRPr="315DF392">
        <w:rPr>
          <w:rFonts w:eastAsia="Calibri" w:cs="Calibri"/>
          <w:noProof/>
          <w:sz w:val="22"/>
          <w:szCs w:val="22"/>
        </w:rPr>
        <w:t>policy</w:t>
      </w:r>
      <w:r w:rsidR="007F1DC8" w:rsidRPr="00417E18">
        <w:rPr>
          <w:rFonts w:eastAsia="Calibri" w:cs="Calibri"/>
          <w:noProof/>
          <w:sz w:val="22"/>
          <w:szCs w:val="22"/>
        </w:rPr>
        <w:t xml:space="preserve"> </w:t>
      </w:r>
      <w:r w:rsidRPr="00417E18">
        <w:rPr>
          <w:rFonts w:eastAsia="Calibri" w:cs="Calibri"/>
          <w:noProof/>
          <w:sz w:val="22"/>
          <w:szCs w:val="22"/>
        </w:rPr>
        <w:t>focus</w:t>
      </w:r>
      <w:r w:rsidR="000A76B4">
        <w:rPr>
          <w:rFonts w:eastAsia="Calibri" w:cs="Calibri"/>
          <w:noProof/>
          <w:sz w:val="22"/>
          <w:szCs w:val="22"/>
        </w:rPr>
        <w:t>es</w:t>
      </w:r>
      <w:r w:rsidRPr="00417E18">
        <w:rPr>
          <w:rFonts w:eastAsia="Calibri" w:cs="Calibri"/>
          <w:noProof/>
          <w:sz w:val="22"/>
          <w:szCs w:val="22"/>
        </w:rPr>
        <w:t xml:space="preserve"> on boosting European competitiveness, promoting the security of Europe and its partners, and shaping global digital governance and standards. To that end, the European Commission and the High Representative for Foreign Affairs and Security Policy adopted </w:t>
      </w:r>
      <w:hyperlink r:id="rId65">
        <w:r w:rsidRPr="00417E18">
          <w:rPr>
            <w:rStyle w:val="Hyperlink"/>
            <w:rFonts w:eastAsia="Calibri" w:cs="Calibri"/>
            <w:noProof/>
            <w:color w:val="467886"/>
            <w:sz w:val="22"/>
            <w:szCs w:val="22"/>
          </w:rPr>
          <w:t>an International Digital Strategy for the European Union</w:t>
        </w:r>
      </w:hyperlink>
      <w:r w:rsidRPr="00417E18">
        <w:rPr>
          <w:rFonts w:eastAsia="Calibri" w:cs="Calibri"/>
          <w:noProof/>
          <w:sz w:val="22"/>
          <w:szCs w:val="22"/>
        </w:rPr>
        <w:t xml:space="preserve"> in June 2025, </w:t>
      </w:r>
      <w:r w:rsidR="00672E4A">
        <w:rPr>
          <w:rFonts w:eastAsia="Calibri" w:cs="Calibri"/>
          <w:noProof/>
          <w:sz w:val="22"/>
          <w:szCs w:val="22"/>
        </w:rPr>
        <w:t>with</w:t>
      </w:r>
      <w:r w:rsidRPr="00417E18">
        <w:rPr>
          <w:rFonts w:eastAsia="Calibri" w:cs="Calibri"/>
          <w:noProof/>
          <w:sz w:val="22"/>
          <w:szCs w:val="22"/>
        </w:rPr>
        <w:t xml:space="preserve"> the following objectives:</w:t>
      </w:r>
      <w:r w:rsidR="001E3C08">
        <w:rPr>
          <w:rFonts w:eastAsia="Calibri" w:cs="Calibri"/>
          <w:noProof/>
          <w:sz w:val="22"/>
          <w:szCs w:val="22"/>
        </w:rPr>
        <w:t xml:space="preserve"> (i) </w:t>
      </w:r>
      <w:r w:rsidRPr="00417E18">
        <w:rPr>
          <w:rFonts w:eastAsia="Calibri" w:cs="Calibri"/>
          <w:noProof/>
          <w:sz w:val="22"/>
          <w:szCs w:val="22"/>
        </w:rPr>
        <w:t>to expand international partnerships, for strengthening EU tech competitiveness and security as well as that of its partners</w:t>
      </w:r>
      <w:r w:rsidR="001E3C08">
        <w:rPr>
          <w:rFonts w:eastAsia="Calibri" w:cs="Calibri"/>
          <w:noProof/>
          <w:sz w:val="22"/>
          <w:szCs w:val="22"/>
        </w:rPr>
        <w:t xml:space="preserve"> (ii) </w:t>
      </w:r>
      <w:r w:rsidRPr="00417E18">
        <w:rPr>
          <w:rFonts w:eastAsia="Calibri" w:cs="Calibri"/>
          <w:noProof/>
          <w:sz w:val="22"/>
          <w:szCs w:val="22"/>
        </w:rPr>
        <w:t>to deploy an EU Tech Business Offer, by combining EU private and public sector investments to support the digital transition of partner countries</w:t>
      </w:r>
      <w:r w:rsidR="001E3C08">
        <w:rPr>
          <w:rFonts w:eastAsia="Calibri" w:cs="Calibri"/>
          <w:noProof/>
          <w:sz w:val="22"/>
          <w:szCs w:val="22"/>
        </w:rPr>
        <w:t xml:space="preserve"> (iii) </w:t>
      </w:r>
      <w:r w:rsidRPr="00417E18">
        <w:rPr>
          <w:rFonts w:eastAsia="Calibri" w:cs="Calibri"/>
          <w:noProof/>
          <w:sz w:val="22"/>
          <w:szCs w:val="22"/>
        </w:rPr>
        <w:t>to strengthen global digital governance, by promoting a rules-based global digital order, in line with the EU’s fundamental values</w:t>
      </w:r>
    </w:p>
    <w:p w14:paraId="075452EC" w14:textId="18EA2B3B"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The Commission has continued to develop and deepen its network of Trade and Technology Councils (TTC) and Digital Partnerships with partners, including India, Japan, the Republic of Korea, Singapore and Canada, developing cooperation on research and innovation collaboration, industry cooperation, regulatory and policy exchanges as well as standardisation. To that end, in 2025, the Commission held Digital Partnership Councils with Japan, the Republic of Korea, Singapore and Canada.</w:t>
      </w:r>
    </w:p>
    <w:p w14:paraId="346D3509" w14:textId="0201B575"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 xml:space="preserve">In the Latin America and Caribbean (LAC) region, bilateral digital dialogues have been established with Brazil, Argentina and Mexico, complemented by bi-regional activities under the </w:t>
      </w:r>
      <w:hyperlink r:id="rId66" w:history="1">
        <w:r w:rsidRPr="00417E18">
          <w:rPr>
            <w:rStyle w:val="Hyperlink"/>
            <w:rFonts w:eastAsia="Calibri" w:cs="Calibri"/>
            <w:noProof/>
            <w:color w:val="467886"/>
            <w:sz w:val="22"/>
            <w:szCs w:val="22"/>
          </w:rPr>
          <w:t>EU-LAC Digital Alliance</w:t>
        </w:r>
      </w:hyperlink>
      <w:r w:rsidRPr="00417E18">
        <w:rPr>
          <w:rFonts w:eastAsia="Calibri" w:cs="Calibri"/>
          <w:noProof/>
          <w:sz w:val="22"/>
          <w:szCs w:val="22"/>
        </w:rPr>
        <w:t xml:space="preserve">. The EU-LAC Digital Alliance Week was held in September 2025, in Guatemala. It aimed at stocktaking of its achievements and paved the way to the IV EU-CELAC Summit in Colombia, in November 2025. </w:t>
      </w:r>
    </w:p>
    <w:p w14:paraId="2A973CE2" w14:textId="560D1E13"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 xml:space="preserve">The Global Gateway initiative focuses on digital infrastructure investments to </w:t>
      </w:r>
      <w:r w:rsidR="00B41646">
        <w:rPr>
          <w:rFonts w:eastAsia="Calibri" w:cs="Calibri"/>
          <w:noProof/>
          <w:sz w:val="22"/>
          <w:szCs w:val="22"/>
        </w:rPr>
        <w:t xml:space="preserve">help </w:t>
      </w:r>
      <w:r w:rsidRPr="00417E18">
        <w:rPr>
          <w:rFonts w:eastAsia="Calibri" w:cs="Calibri"/>
          <w:noProof/>
          <w:sz w:val="22"/>
          <w:szCs w:val="22"/>
        </w:rPr>
        <w:t xml:space="preserve">bridge the global digital divide and enhance secure digital connections, supporting the EU’s digital resilience and reducing dependencies. Under the Global Gateway, the Digital for Development (D4D) Hub has provided a strategic platform to strengthen digital cooperation between the European Union and its Member States (Team Europe) and partners in Africa, Asia-Pacific, Latin America and the Caribbean, and the EU neighbouring countries. The Tech Business Offer implementation was initiated with high-level events focused on showcasing EU solutions to the Latin-American countries at the EU-LAC Digital Alliance, and country-specific events in 2025 with Nigeria and Viet Nam. Next to this, several outreach events </w:t>
      </w:r>
      <w:r w:rsidR="009D21F5">
        <w:rPr>
          <w:rFonts w:eastAsia="Calibri" w:cs="Calibri"/>
          <w:noProof/>
          <w:sz w:val="22"/>
          <w:szCs w:val="22"/>
        </w:rPr>
        <w:t>for</w:t>
      </w:r>
      <w:r w:rsidRPr="00417E18">
        <w:rPr>
          <w:rFonts w:eastAsia="Calibri" w:cs="Calibri"/>
          <w:noProof/>
          <w:sz w:val="22"/>
          <w:szCs w:val="22"/>
        </w:rPr>
        <w:t xml:space="preserve"> companies in EU Member States were held in 2025. </w:t>
      </w:r>
    </w:p>
    <w:p w14:paraId="42CAEA5A" w14:textId="53E395D0"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The Commission continued to support digital transformation efforts in enlargement countries and the EU neighbourhood. Preparatory work was completed for Ukraine and Moldova to join the EU’s Roam Like At Home area on 1</w:t>
      </w:r>
      <w:r w:rsidRPr="00417E18">
        <w:rPr>
          <w:rFonts w:eastAsia="Calibri" w:cs="Calibri"/>
          <w:noProof/>
          <w:sz w:val="22"/>
          <w:szCs w:val="22"/>
          <w:vertAlign w:val="superscript"/>
        </w:rPr>
        <w:t>st</w:t>
      </w:r>
      <w:r w:rsidRPr="00417E18">
        <w:rPr>
          <w:rFonts w:eastAsia="Calibri" w:cs="Calibri"/>
          <w:noProof/>
          <w:sz w:val="22"/>
          <w:szCs w:val="22"/>
        </w:rPr>
        <w:t xml:space="preserve"> January 2026. The Commission supported the integrity of the presidential and parliamentary elections in Moldova. </w:t>
      </w:r>
      <w:r w:rsidR="00785D05">
        <w:rPr>
          <w:rFonts w:eastAsia="Calibri" w:cs="Calibri"/>
          <w:noProof/>
          <w:sz w:val="22"/>
          <w:szCs w:val="22"/>
        </w:rPr>
        <w:t>T</w:t>
      </w:r>
      <w:r w:rsidR="003E7D10">
        <w:rPr>
          <w:rFonts w:eastAsia="Calibri" w:cs="Calibri"/>
          <w:noProof/>
          <w:sz w:val="22"/>
          <w:szCs w:val="22"/>
        </w:rPr>
        <w:t xml:space="preserve">he </w:t>
      </w:r>
      <w:r w:rsidRPr="00417E18">
        <w:rPr>
          <w:rFonts w:eastAsia="Calibri" w:cs="Calibri"/>
          <w:noProof/>
          <w:sz w:val="22"/>
          <w:szCs w:val="22"/>
        </w:rPr>
        <w:t xml:space="preserve">Reform Agendas of the Western Balkan countries adopted in October 2024 provide timelines for legislative alignment with EU digital acquis from December 2024 to December 2027. </w:t>
      </w:r>
    </w:p>
    <w:p w14:paraId="7CF711B2" w14:textId="0D09FA4A"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 xml:space="preserve">The Commission has also engaged in multilateral fora, notably marking progress on the governance of artificial intelligence (G7 Hiroshima AI Process, Council of Europe Convention, OECD). To improve its economic resilience and protect sensitive technologies, the EU has implemented measures such as the EU Economic Security Strategy, promoting cooperation with key partners in emerging technologies. These measures aim to balance economic openness with strategic interests and </w:t>
      </w:r>
      <w:r w:rsidR="00C94E83">
        <w:rPr>
          <w:rFonts w:eastAsia="Calibri" w:cs="Calibri"/>
          <w:noProof/>
          <w:sz w:val="22"/>
          <w:szCs w:val="22"/>
        </w:rPr>
        <w:t xml:space="preserve">to </w:t>
      </w:r>
      <w:r w:rsidRPr="00417E18">
        <w:rPr>
          <w:rFonts w:eastAsia="Calibri" w:cs="Calibri"/>
          <w:noProof/>
          <w:sz w:val="22"/>
          <w:szCs w:val="22"/>
        </w:rPr>
        <w:t>enhance the EU's resilience in critical sectors.</w:t>
      </w:r>
    </w:p>
    <w:p w14:paraId="48B24B0C" w14:textId="4CEA8E25"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Trade policy and agreements</w:t>
      </w:r>
      <w:r w:rsidRPr="00417E18">
        <w:rPr>
          <w:rFonts w:eastAsia="Calibri" w:cs="Calibri"/>
          <w:b/>
          <w:bCs/>
          <w:noProof/>
          <w:sz w:val="22"/>
          <w:szCs w:val="22"/>
        </w:rPr>
        <w:t xml:space="preserve"> </w:t>
      </w:r>
      <w:r w:rsidRPr="00417E18">
        <w:rPr>
          <w:rFonts w:eastAsia="Calibri" w:cs="Calibri"/>
          <w:noProof/>
          <w:sz w:val="22"/>
          <w:szCs w:val="22"/>
        </w:rPr>
        <w:t xml:space="preserve">also play a vital role in this regard, by setting the global and bilateral rules for digital trade in an open but assertive manner, based on European values. The Commission negotiated ambitious commitments on digital trade with Singapore and the Republic of Korea and in recent trade agreements with New Zealand, India, Chile and Japan. </w:t>
      </w:r>
    </w:p>
    <w:p w14:paraId="26955A2E" w14:textId="43E2E0EF" w:rsidR="097BC31D" w:rsidRPr="00417E18" w:rsidRDefault="20331AD7" w:rsidP="001E5A43">
      <w:pPr>
        <w:spacing w:after="0" w:line="276" w:lineRule="auto"/>
        <w:rPr>
          <w:rFonts w:eastAsia="Calibri" w:cs="Calibri"/>
          <w:noProof/>
          <w:sz w:val="22"/>
          <w:szCs w:val="22"/>
        </w:rPr>
      </w:pPr>
      <w:r w:rsidRPr="00417E18">
        <w:rPr>
          <w:rFonts w:eastAsia="Calibri" w:cs="Calibri"/>
          <w:noProof/>
          <w:sz w:val="22"/>
          <w:szCs w:val="22"/>
        </w:rPr>
        <w:t xml:space="preserve">The EU </w:t>
      </w:r>
      <w:r w:rsidR="002C1826">
        <w:rPr>
          <w:rFonts w:eastAsia="Calibri" w:cs="Calibri"/>
          <w:noProof/>
          <w:sz w:val="22"/>
          <w:szCs w:val="22"/>
        </w:rPr>
        <w:t>also</w:t>
      </w:r>
      <w:r w:rsidRPr="00417E18">
        <w:rPr>
          <w:rFonts w:eastAsia="Calibri" w:cs="Calibri"/>
          <w:noProof/>
          <w:sz w:val="22"/>
          <w:szCs w:val="22"/>
        </w:rPr>
        <w:t xml:space="preserve"> sees increasing opportunities for cooperation with Gulf Cooperation Council (GCC) countries in AI, submarine cables, digital identity and e-signatures, and secure connectivity. In December 2025, the EU launched negotiations of Strategic Partnership Agreements (SPAs) with the Kingdom of Saudi Arabia, United Arab Emirates and Qatar. </w:t>
      </w:r>
    </w:p>
    <w:p w14:paraId="1C141132" w14:textId="48A38601" w:rsidR="004671D4" w:rsidRPr="004671D4" w:rsidRDefault="1AAB7CCF" w:rsidP="00EB107B">
      <w:pPr>
        <w:spacing w:before="160" w:after="0" w:line="276" w:lineRule="auto"/>
        <w:rPr>
          <w:rFonts w:eastAsia="Times New Roman" w:cs="Calibri"/>
          <w:noProof/>
          <w:sz w:val="22"/>
          <w:szCs w:val="22"/>
        </w:rPr>
      </w:pPr>
      <w:r w:rsidRPr="00417E18">
        <w:rPr>
          <w:rFonts w:eastAsia="Calibri" w:cs="Calibri"/>
          <w:noProof/>
          <w:color w:val="000000" w:themeColor="text1"/>
          <w:sz w:val="22"/>
          <w:szCs w:val="22"/>
        </w:rPr>
        <w:t>The EU faces critical geopolitical challenges centred on security, economic sovereignty, and internal cohesion, driven by Russia’s ongoing aggression in Ukraine, instability in the Middle East, and intense rivalry between the US and China. Key imperatives include fostering strategic autonomy, managing industrial dependencies on China, navigating potential US security shifts, and accelerating enlargement to secure the neighbourhood.</w:t>
      </w:r>
    </w:p>
    <w:tbl>
      <w:tblPr>
        <w:tblStyle w:val="TableGrid"/>
        <w:tblW w:w="0" w:type="auto"/>
        <w:tblLook w:val="06A0" w:firstRow="1" w:lastRow="0" w:firstColumn="1" w:lastColumn="0" w:noHBand="1" w:noVBand="1"/>
      </w:tblPr>
      <w:tblGrid>
        <w:gridCol w:w="9350"/>
      </w:tblGrid>
      <w:tr w:rsidR="00635686" w:rsidRPr="004671D4" w14:paraId="610CFE38" w14:textId="77777777">
        <w:trPr>
          <w:trHeight w:val="300"/>
        </w:trPr>
        <w:tc>
          <w:tcPr>
            <w:tcW w:w="9360" w:type="dxa"/>
            <w:shd w:val="clear" w:color="auto" w:fill="D4F1EE"/>
          </w:tcPr>
          <w:p w14:paraId="5856C59E" w14:textId="4F5B5611" w:rsidR="00635686" w:rsidRPr="004671D4" w:rsidRDefault="00635686">
            <w:pPr>
              <w:rPr>
                <w:rFonts w:cs="Calibri"/>
                <w:b/>
                <w:bCs/>
                <w:noProof/>
              </w:rPr>
            </w:pPr>
            <w:r w:rsidRPr="004671D4">
              <w:rPr>
                <w:rFonts w:cs="Calibri"/>
                <w:b/>
                <w:bCs/>
                <w:noProof/>
              </w:rPr>
              <w:t xml:space="preserve">Recommendation: </w:t>
            </w:r>
          </w:p>
          <w:p w14:paraId="59B8E93E" w14:textId="5047AD1F" w:rsidR="00173A17" w:rsidRPr="004671D4" w:rsidRDefault="00173A17" w:rsidP="00173A17">
            <w:pPr>
              <w:rPr>
                <w:rFonts w:eastAsia="Calibri" w:cs="Calibri"/>
                <w:noProof/>
              </w:rPr>
            </w:pPr>
            <w:r w:rsidRPr="004671D4">
              <w:rPr>
                <w:rFonts w:eastAsia="Calibri" w:cs="Calibri"/>
                <w:noProof/>
              </w:rPr>
              <w:t xml:space="preserve">Member States should: </w:t>
            </w:r>
          </w:p>
          <w:p w14:paraId="33CBA073" w14:textId="4254CBA9" w:rsidR="008B2FB4" w:rsidRPr="004671D4" w:rsidRDefault="00173A17" w:rsidP="00F36E2D">
            <w:pPr>
              <w:pStyle w:val="ListParagraph"/>
              <w:numPr>
                <w:ilvl w:val="0"/>
                <w:numId w:val="33"/>
              </w:numPr>
              <w:ind w:left="714" w:hanging="357"/>
              <w:contextualSpacing w:val="0"/>
              <w:rPr>
                <w:rFonts w:eastAsia="Calibri" w:cs="Calibri"/>
                <w:noProof/>
              </w:rPr>
            </w:pPr>
            <w:r w:rsidRPr="004671D4">
              <w:rPr>
                <w:rFonts w:eastAsia="Calibri" w:cs="Calibri"/>
                <w:noProof/>
              </w:rPr>
              <w:t>be involved in developing and implementing the EU’s Digital Partnerships, Dialogues and Trade and Technology Councils and their priorities, in full respect of the EU’s institutional framework. The close involvement of EU tech businesses and other relevant stakeholders, including civil society and the research community, will be indispensable for the collective advancement of shared goals.</w:t>
            </w:r>
          </w:p>
          <w:p w14:paraId="7729BFF9" w14:textId="18BAB87E" w:rsidR="008B2FB4" w:rsidRPr="004671D4" w:rsidRDefault="00173A17" w:rsidP="00F36E2D">
            <w:pPr>
              <w:pStyle w:val="ListParagraph"/>
              <w:numPr>
                <w:ilvl w:val="0"/>
                <w:numId w:val="33"/>
              </w:numPr>
              <w:ind w:left="714" w:hanging="357"/>
              <w:contextualSpacing w:val="0"/>
              <w:rPr>
                <w:rFonts w:eastAsia="Calibri" w:cs="Calibri"/>
                <w:noProof/>
              </w:rPr>
            </w:pPr>
            <w:r w:rsidRPr="004671D4">
              <w:rPr>
                <w:rFonts w:eastAsia="Calibri" w:cs="Calibri"/>
                <w:noProof/>
              </w:rPr>
              <w:t>actively promote the EU Tech Business Offer to ensure that European companies, including SMEs, start-ups, scale-ups and large companies, are informed and involved in the structuring of the Offer and can fully benefit from this initiative</w:t>
            </w:r>
            <w:r w:rsidR="000D1897" w:rsidRPr="001E3C08">
              <w:rPr>
                <w:rFonts w:eastAsia="Calibri" w:cs="Calibri"/>
                <w:noProof/>
              </w:rPr>
              <w:t>.</w:t>
            </w:r>
          </w:p>
          <w:p w14:paraId="7859CECF" w14:textId="12A7B0C0" w:rsidR="008B2FB4" w:rsidRPr="004671D4" w:rsidRDefault="008B2FB4" w:rsidP="00F36E2D">
            <w:pPr>
              <w:pStyle w:val="ListParagraph"/>
              <w:numPr>
                <w:ilvl w:val="0"/>
                <w:numId w:val="33"/>
              </w:numPr>
              <w:ind w:left="714" w:hanging="357"/>
              <w:contextualSpacing w:val="0"/>
              <w:rPr>
                <w:rFonts w:eastAsia="Calibri" w:cs="Calibri"/>
                <w:noProof/>
              </w:rPr>
            </w:pPr>
            <w:r w:rsidRPr="004671D4">
              <w:rPr>
                <w:rFonts w:eastAsia="Calibri" w:cs="Calibri"/>
                <w:noProof/>
              </w:rPr>
              <w:t>regularly update on their contribu</w:t>
            </w:r>
            <w:r w:rsidR="00AD5A52" w:rsidRPr="004671D4">
              <w:rPr>
                <w:rFonts w:eastAsia="Calibri" w:cs="Calibri"/>
                <w:noProof/>
              </w:rPr>
              <w:t>tion to the implementation of the EU’s International Digital Strategy</w:t>
            </w:r>
            <w:r w:rsidR="00437471" w:rsidRPr="001E3C08">
              <w:rPr>
                <w:rFonts w:eastAsia="Calibri" w:cs="Calibri"/>
                <w:noProof/>
              </w:rPr>
              <w:t>,</w:t>
            </w:r>
            <w:r w:rsidR="00AD5A52" w:rsidRPr="004671D4">
              <w:rPr>
                <w:rFonts w:eastAsia="Calibri" w:cs="Calibri"/>
                <w:noProof/>
              </w:rPr>
              <w:t xml:space="preserve"> in particular their international </w:t>
            </w:r>
            <w:r w:rsidR="00AD5A52" w:rsidRPr="001E3C08">
              <w:rPr>
                <w:rFonts w:eastAsia="Calibri" w:cs="Calibri"/>
                <w:noProof/>
              </w:rPr>
              <w:t>activ</w:t>
            </w:r>
            <w:r w:rsidR="00A00261" w:rsidRPr="001E3C08">
              <w:rPr>
                <w:rFonts w:eastAsia="Calibri" w:cs="Calibri"/>
                <w:noProof/>
              </w:rPr>
              <w:t>ities</w:t>
            </w:r>
            <w:r w:rsidR="00AD5A52" w:rsidRPr="004671D4">
              <w:rPr>
                <w:rFonts w:eastAsia="Calibri" w:cs="Calibri"/>
                <w:noProof/>
              </w:rPr>
              <w:t xml:space="preserve"> complementing it.</w:t>
            </w:r>
          </w:p>
          <w:p w14:paraId="3DAE4154" w14:textId="7F3CCB5A" w:rsidR="00635686" w:rsidRPr="004671D4" w:rsidRDefault="00635686" w:rsidP="008B2FB4">
            <w:pPr>
              <w:rPr>
                <w:rFonts w:eastAsia="Calibri" w:cs="Calibri"/>
                <w:noProof/>
              </w:rPr>
            </w:pPr>
          </w:p>
        </w:tc>
      </w:tr>
    </w:tbl>
    <w:p w14:paraId="0B6E5A65" w14:textId="3911EB2F" w:rsidR="097BC31D" w:rsidRPr="00EA21A3" w:rsidRDefault="097BC31D" w:rsidP="097BC31D">
      <w:pPr>
        <w:spacing w:before="200" w:after="120" w:line="276" w:lineRule="auto"/>
        <w:rPr>
          <w:noProof/>
          <w:sz w:val="22"/>
          <w:szCs w:val="22"/>
          <w:highlight w:val="yellow"/>
        </w:rPr>
      </w:pPr>
    </w:p>
    <w:sectPr w:rsidR="097BC31D" w:rsidRPr="00EA21A3" w:rsidSect="005C54CB">
      <w:headerReference w:type="even" r:id="rId67"/>
      <w:headerReference w:type="default" r:id="rId68"/>
      <w:footerReference w:type="even" r:id="rId69"/>
      <w:footerReference w:type="default" r:id="rId70"/>
      <w:headerReference w:type="first" r:id="rId71"/>
      <w:footerReference w:type="first" r:id="rId72"/>
      <w:pgSz w:w="12240" w:h="15840"/>
      <w:pgMar w:top="2094"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E8F34" w14:textId="77777777" w:rsidR="00262C76" w:rsidRPr="00417E18" w:rsidRDefault="00262C76" w:rsidP="00985E76">
      <w:pPr>
        <w:spacing w:after="0" w:line="240" w:lineRule="auto"/>
      </w:pPr>
      <w:r w:rsidRPr="00417E18">
        <w:separator/>
      </w:r>
    </w:p>
  </w:endnote>
  <w:endnote w:type="continuationSeparator" w:id="0">
    <w:p w14:paraId="5CE05CAD" w14:textId="77777777" w:rsidR="00262C76" w:rsidRPr="00417E18" w:rsidRDefault="00262C76" w:rsidP="00985E76">
      <w:pPr>
        <w:spacing w:after="0" w:line="240" w:lineRule="auto"/>
      </w:pPr>
      <w:r w:rsidRPr="00417E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DAAE" w14:textId="6D68E1B2" w:rsidR="004F5F15" w:rsidRPr="004F5F15" w:rsidRDefault="004F5F15" w:rsidP="004F5F15">
    <w:pPr>
      <w:pStyle w:val="FooterCoverPage"/>
      <w:rPr>
        <w:rFonts w:ascii="Arial" w:hAnsi="Arial" w:cs="Arial"/>
        <w:b/>
        <w:sz w:val="48"/>
      </w:rPr>
    </w:pPr>
    <w:r w:rsidRPr="004F5F15">
      <w:rPr>
        <w:rFonts w:ascii="Arial" w:hAnsi="Arial" w:cs="Arial"/>
        <w:b/>
        <w:sz w:val="48"/>
      </w:rPr>
      <w:t>EN</w:t>
    </w:r>
    <w:r w:rsidRPr="004F5F15">
      <w:rPr>
        <w:rFonts w:ascii="Arial" w:hAnsi="Arial" w:cs="Arial"/>
        <w:b/>
        <w:sz w:val="48"/>
      </w:rPr>
      <w:tab/>
    </w:r>
    <w:r w:rsidRPr="004F5F15">
      <w:rPr>
        <w:rFonts w:ascii="Arial" w:hAnsi="Arial" w:cs="Arial"/>
        <w:b/>
        <w:sz w:val="48"/>
      </w:rPr>
      <w:tab/>
    </w:r>
    <w:r w:rsidRPr="004F5F15">
      <w:tab/>
    </w:r>
    <w:r w:rsidRPr="004F5F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F7E0" w14:textId="1348B660" w:rsidR="004F5F15" w:rsidRPr="004F5F15" w:rsidRDefault="004F5F15" w:rsidP="004F5F15">
    <w:pPr>
      <w:pStyle w:val="FooterCoverPage"/>
      <w:rPr>
        <w:rFonts w:ascii="Arial" w:hAnsi="Arial" w:cs="Arial"/>
        <w:b/>
        <w:sz w:val="48"/>
      </w:rPr>
    </w:pPr>
    <w:r w:rsidRPr="004F5F15">
      <w:rPr>
        <w:rFonts w:ascii="Arial" w:hAnsi="Arial" w:cs="Arial"/>
        <w:b/>
        <w:sz w:val="48"/>
      </w:rPr>
      <w:t>EN</w:t>
    </w:r>
    <w:r w:rsidRPr="004F5F15">
      <w:rPr>
        <w:rFonts w:ascii="Arial" w:hAnsi="Arial" w:cs="Arial"/>
        <w:b/>
        <w:sz w:val="48"/>
      </w:rPr>
      <w:tab/>
    </w:r>
    <w:r w:rsidRPr="004F5F15">
      <w:rPr>
        <w:rFonts w:ascii="Arial" w:hAnsi="Arial" w:cs="Arial"/>
        <w:b/>
        <w:sz w:val="48"/>
      </w:rPr>
      <w:tab/>
    </w:r>
    <w:r w:rsidRPr="004F5F15">
      <w:tab/>
    </w:r>
    <w:r w:rsidRPr="004F5F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9CD0" w14:textId="77777777" w:rsidR="004F5F15" w:rsidRPr="004F5F15" w:rsidRDefault="004F5F15" w:rsidP="004F5F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CD4D" w14:textId="77777777" w:rsidR="005C54CB" w:rsidRDefault="005C5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500866"/>
      <w:docPartObj>
        <w:docPartGallery w:val="Page Numbers (Bottom of Page)"/>
        <w:docPartUnique/>
      </w:docPartObj>
    </w:sdtPr>
    <w:sdtEndPr/>
    <w:sdtContent>
      <w:p w14:paraId="6C037740" w14:textId="055CAE93" w:rsidR="005C54CB" w:rsidRPr="00417E18" w:rsidRDefault="005C54CB">
        <w:pPr>
          <w:pStyle w:val="Footer"/>
          <w:jc w:val="center"/>
        </w:pPr>
        <w:r w:rsidRPr="00417E18">
          <w:fldChar w:fldCharType="begin"/>
        </w:r>
        <w:r w:rsidRPr="00417E18">
          <w:instrText xml:space="preserve"> PAGE   \* MERGEFORMAT </w:instrText>
        </w:r>
        <w:r w:rsidRPr="00417E18">
          <w:fldChar w:fldCharType="separate"/>
        </w:r>
        <w:r w:rsidR="004F5F15">
          <w:rPr>
            <w:noProof/>
          </w:rPr>
          <w:t>22</w:t>
        </w:r>
        <w:r w:rsidRPr="00417E18">
          <w:fldChar w:fldCharType="end"/>
        </w:r>
      </w:p>
    </w:sdtContent>
  </w:sdt>
  <w:p w14:paraId="5C02B514" w14:textId="77777777" w:rsidR="005C54CB" w:rsidRPr="00417E18" w:rsidRDefault="005C54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D6370" w14:textId="77777777" w:rsidR="005C54CB" w:rsidRDefault="005C5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31027" w14:textId="77777777" w:rsidR="00262C76" w:rsidRPr="00417E18" w:rsidRDefault="00262C76" w:rsidP="00985E76">
      <w:pPr>
        <w:spacing w:after="0" w:line="240" w:lineRule="auto"/>
      </w:pPr>
      <w:r w:rsidRPr="00417E18">
        <w:separator/>
      </w:r>
    </w:p>
  </w:footnote>
  <w:footnote w:type="continuationSeparator" w:id="0">
    <w:p w14:paraId="69B89DE2" w14:textId="77777777" w:rsidR="00262C76" w:rsidRPr="00417E18" w:rsidRDefault="00262C76" w:rsidP="00985E76">
      <w:pPr>
        <w:spacing w:after="0" w:line="240" w:lineRule="auto"/>
      </w:pPr>
      <w:r w:rsidRPr="00417E18">
        <w:continuationSeparator/>
      </w:r>
    </w:p>
  </w:footnote>
  <w:footnote w:id="1">
    <w:p w14:paraId="06E4DC93" w14:textId="2132B258" w:rsidR="009237A4" w:rsidRPr="006205AE" w:rsidRDefault="009237A4">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A50A55" w:rsidRPr="006205AE">
        <w:rPr>
          <w:rFonts w:ascii="Calibri" w:hAnsi="Calibri" w:cs="Calibri"/>
          <w:sz w:val="18"/>
          <w:szCs w:val="18"/>
        </w:rPr>
        <w:t xml:space="preserve">European Parliament and Council of the European Union, Decision (EU) 2022/2481 of 14 December 2022 </w:t>
      </w:r>
      <w:hyperlink r:id="rId1" w:history="1">
        <w:r w:rsidR="00A50A55" w:rsidRPr="006205AE">
          <w:rPr>
            <w:rStyle w:val="Hyperlink"/>
            <w:rFonts w:ascii="Calibri" w:hAnsi="Calibri" w:cs="Calibri"/>
            <w:sz w:val="18"/>
            <w:szCs w:val="18"/>
          </w:rPr>
          <w:t>Establishing the 2030 Policy Programme "Path to the Digital Decade"</w:t>
        </w:r>
      </w:hyperlink>
      <w:r w:rsidR="00A50A55" w:rsidRPr="006205AE">
        <w:rPr>
          <w:rFonts w:ascii="Calibri" w:hAnsi="Calibri" w:cs="Calibri"/>
          <w:sz w:val="18"/>
          <w:szCs w:val="18"/>
        </w:rPr>
        <w:t>, OJ L 323, 19 December 2022.</w:t>
      </w:r>
    </w:p>
  </w:footnote>
  <w:footnote w:id="2">
    <w:p w14:paraId="0B03ED76" w14:textId="11DCE7A5" w:rsidR="52B5CCC7" w:rsidRPr="006205AE" w:rsidRDefault="52B5CCC7">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Pr="006205AE">
        <w:rPr>
          <w:rFonts w:ascii="Calibri" w:eastAsia="Aptos" w:hAnsi="Calibri" w:cs="Calibri"/>
          <w:color w:val="000000" w:themeColor="text1"/>
          <w:sz w:val="18"/>
          <w:szCs w:val="18"/>
        </w:rPr>
        <w:t xml:space="preserve">Australian Strategic Policy Institute (ASPI), </w:t>
      </w:r>
      <w:hyperlink r:id="rId2">
        <w:r w:rsidR="0C856F1D" w:rsidRPr="006205AE">
          <w:rPr>
            <w:rStyle w:val="Hyperlink"/>
            <w:rFonts w:ascii="Calibri" w:eastAsia="Aptos" w:hAnsi="Calibri" w:cs="Calibri"/>
            <w:sz w:val="18"/>
            <w:szCs w:val="18"/>
          </w:rPr>
          <w:t>Critical Technology Tracker</w:t>
        </w:r>
      </w:hyperlink>
      <w:r w:rsidR="001356C7" w:rsidRPr="006205AE">
        <w:rPr>
          <w:rFonts w:ascii="Calibri" w:hAnsi="Calibri" w:cs="Calibri"/>
          <w:sz w:val="18"/>
          <w:szCs w:val="18"/>
        </w:rPr>
        <w:t>,</w:t>
      </w:r>
      <w:r w:rsidRPr="006205AE">
        <w:rPr>
          <w:rFonts w:ascii="Calibri" w:eastAsia="Aptos" w:hAnsi="Calibri" w:cs="Calibri"/>
          <w:color w:val="000000" w:themeColor="text1"/>
          <w:sz w:val="18"/>
          <w:szCs w:val="18"/>
        </w:rPr>
        <w:t xml:space="preserve"> December 2025</w:t>
      </w:r>
      <w:r w:rsidR="001356C7" w:rsidRPr="006205AE">
        <w:rPr>
          <w:rFonts w:ascii="Calibri" w:eastAsia="Aptos" w:hAnsi="Calibri" w:cs="Calibri"/>
          <w:color w:val="000000" w:themeColor="text1"/>
          <w:sz w:val="18"/>
          <w:szCs w:val="18"/>
        </w:rPr>
        <w:t>.</w:t>
      </w:r>
      <w:r w:rsidR="00EB4A7C" w:rsidRPr="006205AE">
        <w:rPr>
          <w:rFonts w:ascii="Calibri" w:eastAsia="Aptos" w:hAnsi="Calibri" w:cs="Calibri"/>
          <w:color w:val="000000" w:themeColor="text1"/>
          <w:sz w:val="18"/>
          <w:szCs w:val="18"/>
        </w:rPr>
        <w:t xml:space="preserve"> </w:t>
      </w:r>
    </w:p>
  </w:footnote>
  <w:footnote w:id="3">
    <w:p w14:paraId="2312C98F" w14:textId="3F9C13F3" w:rsidR="00281CCB" w:rsidRPr="006205AE" w:rsidRDefault="00281CCB">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Noisy Intermediate-Scale Quantum (NISQ) refers to current, near-term quantum computers with 50–1000+ qubits, which are powerful but lack full error correction</w:t>
      </w:r>
      <w:r w:rsidR="00386426" w:rsidRPr="006205AE">
        <w:rPr>
          <w:rFonts w:ascii="Calibri" w:hAnsi="Calibri" w:cs="Calibri"/>
          <w:sz w:val="18"/>
          <w:szCs w:val="18"/>
        </w:rPr>
        <w:t>.</w:t>
      </w:r>
    </w:p>
  </w:footnote>
  <w:footnote w:id="4">
    <w:p w14:paraId="3AC56201" w14:textId="2DF682B0" w:rsidR="00935BEF" w:rsidRPr="006205AE" w:rsidRDefault="00935BEF">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7519E3" w:rsidRPr="006205AE">
        <w:rPr>
          <w:rFonts w:ascii="Calibri" w:hAnsi="Calibri" w:cs="Calibri"/>
          <w:sz w:val="18"/>
          <w:szCs w:val="18"/>
        </w:rPr>
        <w:t>Updated foreign exchange calculations can retroactively change historical data. While base market figures remain the same, their currency conversion and normali</w:t>
      </w:r>
      <w:r w:rsidR="00AE4E4F" w:rsidRPr="006205AE">
        <w:rPr>
          <w:rFonts w:ascii="Calibri" w:hAnsi="Calibri" w:cs="Calibri"/>
          <w:sz w:val="18"/>
          <w:szCs w:val="18"/>
        </w:rPr>
        <w:t>s</w:t>
      </w:r>
      <w:r w:rsidR="007519E3" w:rsidRPr="006205AE">
        <w:rPr>
          <w:rFonts w:ascii="Calibri" w:hAnsi="Calibri" w:cs="Calibri"/>
          <w:sz w:val="18"/>
          <w:szCs w:val="18"/>
        </w:rPr>
        <w:t>ation are adjusted</w:t>
      </w:r>
      <w:r w:rsidR="00AE4E4F" w:rsidRPr="006205AE">
        <w:rPr>
          <w:rFonts w:ascii="Calibri" w:hAnsi="Calibri" w:cs="Calibri"/>
          <w:sz w:val="18"/>
          <w:szCs w:val="18"/>
        </w:rPr>
        <w:t xml:space="preserve"> every year</w:t>
      </w:r>
      <w:r w:rsidR="007519E3" w:rsidRPr="006205AE">
        <w:rPr>
          <w:rFonts w:ascii="Calibri" w:hAnsi="Calibri" w:cs="Calibri"/>
          <w:sz w:val="18"/>
          <w:szCs w:val="18"/>
        </w:rPr>
        <w:t>.</w:t>
      </w:r>
    </w:p>
  </w:footnote>
  <w:footnote w:id="5">
    <w:p w14:paraId="2F90BCB9" w14:textId="66739EA9" w:rsidR="00777943" w:rsidRPr="00777943" w:rsidRDefault="00777943">
      <w:pPr>
        <w:pStyle w:val="FootnoteText"/>
      </w:pPr>
      <w:r>
        <w:rPr>
          <w:rStyle w:val="FootnoteReference"/>
        </w:rPr>
        <w:footnoteRef/>
      </w:r>
      <w:r>
        <w:t xml:space="preserve"> </w:t>
      </w:r>
      <w:r w:rsidRPr="000B3619">
        <w:rPr>
          <w:rFonts w:ascii="Calibri" w:hAnsi="Calibri" w:cs="Calibri"/>
          <w:sz w:val="18"/>
          <w:szCs w:val="18"/>
        </w:rPr>
        <w:t>Regulation (EU) 2023/1781 of the European Parliament and of the Council of 13 September 2023 establishing a framework of measures for strengthening Europe’s semiconductor ecosystem and amending Regulation (EU) 2021/694 (Chips Act)</w:t>
      </w:r>
    </w:p>
  </w:footnote>
  <w:footnote w:id="6">
    <w:p w14:paraId="65A5183E" w14:textId="2259C803" w:rsidR="006F2BF0" w:rsidRPr="006205AE" w:rsidRDefault="006F2BF0">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Donovan, </w:t>
      </w:r>
      <w:hyperlink r:id="rId3">
        <w:r w:rsidR="0C856F1D" w:rsidRPr="006205AE">
          <w:rPr>
            <w:rStyle w:val="Hyperlink"/>
            <w:rFonts w:ascii="Calibri" w:hAnsi="Calibri" w:cs="Calibri"/>
            <w:sz w:val="18"/>
            <w:szCs w:val="18"/>
          </w:rPr>
          <w:t>Quantum computers: 100+ Estimated by 2025</w:t>
        </w:r>
      </w:hyperlink>
      <w:r w:rsidR="0C856F1D" w:rsidRPr="006205AE">
        <w:rPr>
          <w:rFonts w:ascii="Calibri" w:hAnsi="Calibri" w:cs="Calibri"/>
          <w:sz w:val="18"/>
          <w:szCs w:val="18"/>
        </w:rPr>
        <w:t>, March 2025.</w:t>
      </w:r>
    </w:p>
  </w:footnote>
  <w:footnote w:id="7">
    <w:p w14:paraId="3DA0F466" w14:textId="1B2D1B2A" w:rsidR="005C38E7" w:rsidRPr="006205AE" w:rsidRDefault="005C38E7">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Bao Tran, </w:t>
      </w:r>
      <w:hyperlink r:id="rId4">
        <w:r w:rsidR="0C856F1D" w:rsidRPr="006205AE">
          <w:rPr>
            <w:rStyle w:val="Hyperlink"/>
            <w:rFonts w:ascii="Calibri" w:hAnsi="Calibri" w:cs="Calibri"/>
            <w:sz w:val="18"/>
            <w:szCs w:val="18"/>
          </w:rPr>
          <w:t>How Expensive Is It to Run a Quantum System? (Stats Inside),</w:t>
        </w:r>
      </w:hyperlink>
      <w:r w:rsidR="0C856F1D" w:rsidRPr="006205AE">
        <w:rPr>
          <w:rFonts w:ascii="Calibri" w:hAnsi="Calibri" w:cs="Calibri"/>
          <w:sz w:val="18"/>
          <w:szCs w:val="18"/>
        </w:rPr>
        <w:t xml:space="preserve"> April 2026.</w:t>
      </w:r>
    </w:p>
  </w:footnote>
  <w:footnote w:id="8">
    <w:p w14:paraId="0AF83C5E" w14:textId="48DF31A8" w:rsidR="00CB5A70" w:rsidRPr="006205AE" w:rsidRDefault="00CB5A70" w:rsidP="00CB5A70">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DARPA, </w:t>
      </w:r>
      <w:hyperlink r:id="rId5">
        <w:r w:rsidR="0C856F1D" w:rsidRPr="006205AE">
          <w:rPr>
            <w:rStyle w:val="Hyperlink"/>
            <w:rFonts w:ascii="Calibri" w:hAnsi="Calibri" w:cs="Calibri"/>
            <w:sz w:val="18"/>
            <w:szCs w:val="18"/>
          </w:rPr>
          <w:t>QBI: Quantum Benchmarking Initiative</w:t>
        </w:r>
      </w:hyperlink>
      <w:r w:rsidR="0C856F1D" w:rsidRPr="006205AE">
        <w:rPr>
          <w:rFonts w:ascii="Calibri" w:hAnsi="Calibri" w:cs="Calibri"/>
          <w:sz w:val="18"/>
          <w:szCs w:val="18"/>
        </w:rPr>
        <w:t>, March 2026.</w:t>
      </w:r>
    </w:p>
  </w:footnote>
  <w:footnote w:id="9">
    <w:p w14:paraId="72487BCD" w14:textId="3580C509" w:rsidR="00002345" w:rsidRPr="006205AE" w:rsidRDefault="00002345">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European Commission,</w:t>
      </w:r>
      <w:hyperlink r:id="rId6">
        <w:r w:rsidR="0C856F1D" w:rsidRPr="006205AE">
          <w:rPr>
            <w:rStyle w:val="Hyperlink"/>
            <w:rFonts w:ascii="Calibri" w:hAnsi="Calibri" w:cs="Calibri"/>
            <w:sz w:val="18"/>
            <w:szCs w:val="18"/>
          </w:rPr>
          <w:t xml:space="preserve"> Quantum Europe Strategy</w:t>
        </w:r>
      </w:hyperlink>
      <w:r w:rsidR="0C856F1D" w:rsidRPr="006205AE">
        <w:rPr>
          <w:rFonts w:ascii="Calibri" w:hAnsi="Calibri" w:cs="Calibri"/>
          <w:sz w:val="18"/>
          <w:szCs w:val="18"/>
        </w:rPr>
        <w:t>, July 2025.</w:t>
      </w:r>
    </w:p>
  </w:footnote>
  <w:footnote w:id="10">
    <w:p w14:paraId="0AAE613F" w14:textId="2813BD4B" w:rsidR="00D52494" w:rsidRPr="006205AE" w:rsidRDefault="00D52494">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Zenodo, </w:t>
      </w:r>
      <w:hyperlink r:id="rId7">
        <w:r w:rsidR="0C856F1D" w:rsidRPr="006205AE">
          <w:rPr>
            <w:rStyle w:val="Hyperlink"/>
            <w:rFonts w:ascii="Calibri" w:hAnsi="Calibri" w:cs="Calibri"/>
            <w:sz w:val="18"/>
            <w:szCs w:val="18"/>
          </w:rPr>
          <w:t>Quantum Technologies Investment Report 2025</w:t>
        </w:r>
      </w:hyperlink>
      <w:r w:rsidR="0C856F1D" w:rsidRPr="006205AE">
        <w:rPr>
          <w:rFonts w:ascii="Calibri" w:hAnsi="Calibri" w:cs="Calibri"/>
          <w:sz w:val="18"/>
          <w:szCs w:val="18"/>
        </w:rPr>
        <w:t>, March 2026.</w:t>
      </w:r>
    </w:p>
  </w:footnote>
  <w:footnote w:id="11">
    <w:p w14:paraId="1C856936" w14:textId="2E083978" w:rsidR="00B4600F" w:rsidRPr="00D236E0" w:rsidRDefault="00B4600F">
      <w:pPr>
        <w:pStyle w:val="FootnoteText"/>
      </w:pPr>
      <w:r>
        <w:rPr>
          <w:rStyle w:val="FootnoteReference"/>
        </w:rPr>
        <w:footnoteRef/>
      </w:r>
      <w:r w:rsidRPr="00D236E0">
        <w:t xml:space="preserve"> </w:t>
      </w:r>
      <w:r w:rsidRPr="005A0E0B">
        <w:rPr>
          <w:rStyle w:val="Hyperlink"/>
          <w:rFonts w:ascii="Calibri" w:hAnsi="Calibri" w:cs="Calibri"/>
          <w:sz w:val="18"/>
          <w:szCs w:val="18"/>
        </w:rPr>
        <w:t>JRC</w:t>
      </w:r>
      <w:r w:rsidR="0081693C" w:rsidRPr="005A0E0B">
        <w:rPr>
          <w:rStyle w:val="Hyperlink"/>
          <w:rFonts w:ascii="Calibri" w:hAnsi="Calibri" w:cs="Calibri"/>
          <w:sz w:val="18"/>
          <w:szCs w:val="18"/>
        </w:rPr>
        <w:t xml:space="preserve"> Publications, </w:t>
      </w:r>
      <w:hyperlink r:id="rId8" w:history="1">
        <w:r w:rsidR="0081693C" w:rsidRPr="005A0E0B">
          <w:rPr>
            <w:rStyle w:val="Hyperlink"/>
            <w:rFonts w:ascii="Calibri" w:hAnsi="Calibri" w:cs="Calibri"/>
            <w:sz w:val="18"/>
            <w:szCs w:val="18"/>
          </w:rPr>
          <w:t>Future Directions for Quantum Technology in Europe</w:t>
        </w:r>
      </w:hyperlink>
      <w:r w:rsidR="0081693C" w:rsidRPr="005A0E0B">
        <w:rPr>
          <w:rStyle w:val="Hyperlink"/>
          <w:rFonts w:ascii="Calibri" w:hAnsi="Calibri" w:cs="Calibri"/>
          <w:sz w:val="18"/>
          <w:szCs w:val="18"/>
        </w:rPr>
        <w:t xml:space="preserve">, </w:t>
      </w:r>
      <w:r w:rsidR="00754649" w:rsidRPr="005A0E0B">
        <w:rPr>
          <w:rStyle w:val="Hyperlink"/>
          <w:rFonts w:ascii="Calibri" w:hAnsi="Calibri" w:cs="Calibri"/>
          <w:sz w:val="18"/>
          <w:szCs w:val="18"/>
        </w:rPr>
        <w:t>October 2025</w:t>
      </w:r>
    </w:p>
  </w:footnote>
  <w:footnote w:id="12">
    <w:p w14:paraId="5123D395" w14:textId="6E33C81B" w:rsidR="4D23A098" w:rsidRDefault="4D23A098" w:rsidP="005A0E0B">
      <w:pPr>
        <w:pStyle w:val="FootnoteText"/>
        <w:rPr>
          <w:rFonts w:eastAsia="Calibri" w:cs="Calibri"/>
        </w:rPr>
      </w:pPr>
      <w:r w:rsidRPr="005A0E0B">
        <w:rPr>
          <w:rStyle w:val="Hyperlink"/>
          <w:rFonts w:ascii="Calibri" w:hAnsi="Calibri" w:cs="Calibri"/>
          <w:sz w:val="18"/>
          <w:szCs w:val="18"/>
        </w:rPr>
        <w:footnoteRef/>
      </w:r>
      <w:r w:rsidRPr="005A0E0B">
        <w:rPr>
          <w:rStyle w:val="Hyperlink"/>
          <w:rFonts w:ascii="Calibri" w:hAnsi="Calibri" w:cs="Calibri"/>
          <w:sz w:val="18"/>
          <w:szCs w:val="18"/>
        </w:rPr>
        <w:t xml:space="preserve"> </w:t>
      </w:r>
      <w:hyperlink r:id="rId9" w:history="1">
        <w:r w:rsidRPr="005A0E0B">
          <w:rPr>
            <w:rStyle w:val="Hyperlink"/>
            <w:rFonts w:ascii="Calibri" w:hAnsi="Calibri" w:cs="Calibri"/>
            <w:sz w:val="18"/>
            <w:szCs w:val="18"/>
          </w:rPr>
          <w:t>European Quantum Communication Infrastructure - EuroQCI | Shaping Europe’s digital future</w:t>
        </w:r>
      </w:hyperlink>
    </w:p>
  </w:footnote>
  <w:footnote w:id="13">
    <w:p w14:paraId="49693930" w14:textId="2004EA43" w:rsidR="00CB689F" w:rsidRPr="006205AE" w:rsidRDefault="00CB689F">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0086429A" w:rsidRPr="006205AE">
        <w:rPr>
          <w:rFonts w:ascii="Calibri" w:hAnsi="Calibri" w:cs="Calibri"/>
          <w:sz w:val="18"/>
          <w:szCs w:val="18"/>
          <w:lang w:val="en-IE"/>
        </w:rPr>
        <w:t xml:space="preserve"> </w:t>
      </w:r>
      <w:r w:rsidR="0086429A" w:rsidRPr="006205AE">
        <w:rPr>
          <w:rFonts w:ascii="Calibri" w:hAnsi="Calibri" w:cs="Calibri"/>
          <w:sz w:val="18"/>
          <w:szCs w:val="18"/>
        </w:rPr>
        <w:t xml:space="preserve">Data </w:t>
      </w:r>
      <w:r w:rsidR="003033EF" w:rsidRPr="006205AE">
        <w:rPr>
          <w:rFonts w:ascii="Calibri" w:hAnsi="Calibri" w:cs="Calibri"/>
          <w:sz w:val="18"/>
          <w:szCs w:val="18"/>
        </w:rPr>
        <w:t>C</w:t>
      </w:r>
      <w:r w:rsidR="0086429A" w:rsidRPr="006205AE">
        <w:rPr>
          <w:rFonts w:ascii="Calibri" w:hAnsi="Calibri" w:cs="Calibri"/>
          <w:sz w:val="18"/>
          <w:szCs w:val="18"/>
        </w:rPr>
        <w:t>e</w:t>
      </w:r>
      <w:r w:rsidR="003033EF" w:rsidRPr="006205AE">
        <w:rPr>
          <w:rFonts w:ascii="Calibri" w:hAnsi="Calibri" w:cs="Calibri"/>
          <w:sz w:val="18"/>
          <w:szCs w:val="18"/>
        </w:rPr>
        <w:t>ntre Map website, search too</w:t>
      </w:r>
      <w:r w:rsidR="005C4231" w:rsidRPr="006205AE">
        <w:rPr>
          <w:rFonts w:ascii="Calibri" w:hAnsi="Calibri" w:cs="Calibri"/>
          <w:sz w:val="18"/>
          <w:szCs w:val="18"/>
        </w:rPr>
        <w:t>l</w:t>
      </w:r>
      <w:r w:rsidR="005C4231" w:rsidRPr="006205AE">
        <w:rPr>
          <w:rFonts w:ascii="Calibri" w:hAnsi="Calibri" w:cs="Calibri"/>
          <w:sz w:val="18"/>
          <w:szCs w:val="18"/>
          <w:lang w:val="en-IE"/>
        </w:rPr>
        <w:t>,</w:t>
      </w:r>
      <w:r w:rsidRPr="006205AE">
        <w:rPr>
          <w:rFonts w:ascii="Calibri" w:hAnsi="Calibri" w:cs="Calibri"/>
          <w:sz w:val="18"/>
          <w:szCs w:val="18"/>
          <w:lang w:val="en-IE"/>
        </w:rPr>
        <w:t xml:space="preserve"> </w:t>
      </w:r>
      <w:hyperlink r:id="rId10" w:history="1">
        <w:r w:rsidR="005C4231" w:rsidRPr="006205AE">
          <w:rPr>
            <w:rStyle w:val="Hyperlink"/>
            <w:rFonts w:ascii="Calibri" w:hAnsi="Calibri" w:cs="Calibri"/>
            <w:sz w:val="18"/>
            <w:szCs w:val="18"/>
            <w:lang w:val="en-IE"/>
          </w:rPr>
          <w:t>https://www.datacentermap.com/</w:t>
        </w:r>
      </w:hyperlink>
      <w:r w:rsidR="00E47A4C" w:rsidRPr="006205AE">
        <w:rPr>
          <w:rFonts w:ascii="Calibri" w:hAnsi="Calibri" w:cs="Calibri"/>
          <w:sz w:val="18"/>
          <w:szCs w:val="18"/>
          <w:lang w:val="en-IE"/>
        </w:rPr>
        <w:t xml:space="preserve">. </w:t>
      </w:r>
    </w:p>
  </w:footnote>
  <w:footnote w:id="14">
    <w:p w14:paraId="4A5E91C9" w14:textId="52311D42" w:rsidR="006C518F" w:rsidRPr="006205AE" w:rsidRDefault="006C518F">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4D5A47" w:rsidRPr="006205AE">
        <w:rPr>
          <w:rFonts w:ascii="Calibri" w:hAnsi="Calibri" w:cs="Calibri"/>
          <w:sz w:val="18"/>
          <w:szCs w:val="18"/>
        </w:rPr>
        <w:t xml:space="preserve">Edge Observatory for the Digital Decade, </w:t>
      </w:r>
      <w:hyperlink r:id="rId11" w:history="1">
        <w:r w:rsidR="004D5A47" w:rsidRPr="006205AE">
          <w:rPr>
            <w:rStyle w:val="Hyperlink"/>
            <w:rFonts w:ascii="Calibri" w:hAnsi="Calibri" w:cs="Calibri"/>
            <w:sz w:val="18"/>
            <w:szCs w:val="18"/>
          </w:rPr>
          <w:t>D3 – Edge Nodes Taxonomy and Monitoring Methodology 2024</w:t>
        </w:r>
      </w:hyperlink>
      <w:r w:rsidR="004D5A47" w:rsidRPr="006205AE">
        <w:rPr>
          <w:rFonts w:ascii="Calibri" w:hAnsi="Calibri" w:cs="Calibri"/>
          <w:sz w:val="18"/>
          <w:szCs w:val="18"/>
        </w:rPr>
        <w:t xml:space="preserve">; </w:t>
      </w:r>
      <w:hyperlink r:id="rId12" w:history="1">
        <w:r w:rsidR="004D5A47" w:rsidRPr="006205AE">
          <w:rPr>
            <w:rStyle w:val="Hyperlink"/>
            <w:rFonts w:ascii="Calibri" w:hAnsi="Calibri" w:cs="Calibri"/>
            <w:sz w:val="18"/>
            <w:szCs w:val="18"/>
          </w:rPr>
          <w:t>D4 – Edge Nodes Deployment Progress Report</w:t>
        </w:r>
      </w:hyperlink>
      <w:r w:rsidR="004D5A47" w:rsidRPr="006205AE">
        <w:rPr>
          <w:rFonts w:ascii="Calibri" w:hAnsi="Calibri" w:cs="Calibri"/>
          <w:sz w:val="18"/>
          <w:szCs w:val="18"/>
        </w:rPr>
        <w:t xml:space="preserve">; </w:t>
      </w:r>
      <w:hyperlink r:id="rId13" w:history="1">
        <w:r w:rsidR="004D5A47" w:rsidRPr="006205AE">
          <w:rPr>
            <w:rStyle w:val="Hyperlink"/>
            <w:rFonts w:ascii="Calibri" w:hAnsi="Calibri" w:cs="Calibri"/>
            <w:sz w:val="18"/>
            <w:szCs w:val="18"/>
          </w:rPr>
          <w:t>D6 – Edge Nodes Deployment Progress Report</w:t>
        </w:r>
      </w:hyperlink>
      <w:r w:rsidR="004D5A47" w:rsidRPr="006205AE">
        <w:rPr>
          <w:rFonts w:ascii="Calibri" w:hAnsi="Calibri" w:cs="Calibri"/>
          <w:sz w:val="18"/>
          <w:szCs w:val="18"/>
        </w:rPr>
        <w:t>.</w:t>
      </w:r>
    </w:p>
  </w:footnote>
  <w:footnote w:id="15">
    <w:p w14:paraId="082C60F1" w14:textId="0BE82ADE" w:rsidR="006B7A33" w:rsidRPr="006205AE" w:rsidRDefault="006B7A33">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DD456D" w:rsidRPr="006205AE">
        <w:rPr>
          <w:rFonts w:ascii="Calibri" w:hAnsi="Calibri" w:cs="Calibri"/>
          <w:sz w:val="18"/>
          <w:szCs w:val="18"/>
        </w:rPr>
        <w:t xml:space="preserve">A climate-neutral and highly secure edge node is a compute node designed and operated to achieve net-zero carbon impact while ensuring both physical and cyber security for uninterrupted operation and data safety. </w:t>
      </w:r>
      <w:r w:rsidR="00FD53C1" w:rsidRPr="006205AE">
        <w:rPr>
          <w:rFonts w:ascii="Calibri" w:hAnsi="Calibri" w:cs="Calibri"/>
          <w:sz w:val="18"/>
          <w:szCs w:val="18"/>
        </w:rPr>
        <w:t xml:space="preserve">See Edge Observatory for the Digital Decade </w:t>
      </w:r>
      <w:r w:rsidR="00151238" w:rsidRPr="006205AE">
        <w:rPr>
          <w:rFonts w:ascii="Calibri" w:hAnsi="Calibri" w:cs="Calibri"/>
          <w:sz w:val="18"/>
          <w:szCs w:val="18"/>
        </w:rPr>
        <w:t xml:space="preserve">Edge nodes taxonomy </w:t>
      </w:r>
      <w:r w:rsidR="00FD53C1" w:rsidRPr="006205AE">
        <w:rPr>
          <w:rFonts w:ascii="Calibri" w:hAnsi="Calibri" w:cs="Calibri"/>
          <w:sz w:val="18"/>
          <w:szCs w:val="18"/>
        </w:rPr>
        <w:t xml:space="preserve">definitions in </w:t>
      </w:r>
      <w:hyperlink r:id="rId14" w:history="1">
        <w:r w:rsidR="00611909" w:rsidRPr="006205AE">
          <w:rPr>
            <w:rStyle w:val="Hyperlink"/>
            <w:rFonts w:ascii="Calibri" w:hAnsi="Calibri" w:cs="Calibri"/>
            <w:sz w:val="18"/>
            <w:szCs w:val="18"/>
          </w:rPr>
          <w:t xml:space="preserve">Edge Observatory for the Digital Decade – Edge Computing </w:t>
        </w:r>
      </w:hyperlink>
      <w:r w:rsidR="00151238" w:rsidRPr="006205AE">
        <w:rPr>
          <w:rFonts w:ascii="Calibri" w:hAnsi="Calibri" w:cs="Calibri"/>
          <w:sz w:val="18"/>
          <w:szCs w:val="18"/>
        </w:rPr>
        <w:t xml:space="preserve"> for full detail.</w:t>
      </w:r>
    </w:p>
  </w:footnote>
  <w:footnote w:id="16">
    <w:p w14:paraId="714D43FB" w14:textId="257BDCB8" w:rsidR="002A38D7" w:rsidRPr="006205AE" w:rsidRDefault="002A38D7" w:rsidP="00690EC8">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Edge observatory for the Digital Decade (Consortium analysis and projections based on CATI survey and DataCentreMap, December 2025</w:t>
      </w:r>
      <w:r w:rsidR="00BD652D" w:rsidRPr="006205AE">
        <w:rPr>
          <w:rFonts w:ascii="Calibri" w:hAnsi="Calibri" w:cs="Calibri"/>
          <w:sz w:val="18"/>
          <w:szCs w:val="18"/>
        </w:rPr>
        <w:t>.</w:t>
      </w:r>
    </w:p>
  </w:footnote>
  <w:footnote w:id="17">
    <w:p w14:paraId="29C0D346" w14:textId="77777777" w:rsidR="0085370A" w:rsidRPr="006205AE" w:rsidRDefault="00D90AEA" w:rsidP="00690EC8">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CSET Issue Brief, </w:t>
      </w:r>
      <w:hyperlink r:id="rId15">
        <w:r w:rsidR="0C856F1D" w:rsidRPr="006205AE">
          <w:rPr>
            <w:rStyle w:val="Hyperlink"/>
            <w:rFonts w:ascii="Calibri" w:hAnsi="Calibri" w:cs="Calibri"/>
            <w:sz w:val="18"/>
            <w:szCs w:val="18"/>
          </w:rPr>
          <w:t>AI and Compute: How Much Longer Can Computing Power?</w:t>
        </w:r>
      </w:hyperlink>
      <w:r w:rsidR="0C856F1D" w:rsidRPr="006205AE">
        <w:rPr>
          <w:rFonts w:ascii="Calibri" w:hAnsi="Calibri" w:cs="Calibri"/>
          <w:sz w:val="18"/>
          <w:szCs w:val="18"/>
        </w:rPr>
        <w:t>, January 2022.</w:t>
      </w:r>
    </w:p>
    <w:p w14:paraId="248CAC30" w14:textId="77777777" w:rsidR="00856E43" w:rsidRPr="006205AE" w:rsidRDefault="0C856F1D" w:rsidP="00690EC8">
      <w:pPr>
        <w:pStyle w:val="FootnoteText"/>
        <w:spacing w:line="278" w:lineRule="auto"/>
        <w:rPr>
          <w:rFonts w:ascii="Calibri" w:hAnsi="Calibri" w:cs="Calibri"/>
          <w:sz w:val="18"/>
          <w:szCs w:val="18"/>
        </w:rPr>
      </w:pPr>
      <w:r w:rsidRPr="006205AE">
        <w:rPr>
          <w:rFonts w:ascii="Calibri" w:hAnsi="Calibri" w:cs="Calibri"/>
          <w:sz w:val="18"/>
          <w:szCs w:val="18"/>
        </w:rPr>
        <w:t xml:space="preserve">McKinsey Quarterly, </w:t>
      </w:r>
      <w:hyperlink r:id="rId16">
        <w:r w:rsidRPr="006205AE">
          <w:rPr>
            <w:rStyle w:val="Hyperlink"/>
            <w:rFonts w:ascii="Calibri" w:hAnsi="Calibri" w:cs="Calibri"/>
            <w:sz w:val="18"/>
            <w:szCs w:val="18"/>
          </w:rPr>
          <w:t>The cost of compute: A $7 trillion race to scale data centers,</w:t>
        </w:r>
      </w:hyperlink>
      <w:r w:rsidRPr="006205AE">
        <w:rPr>
          <w:rFonts w:ascii="Calibri" w:hAnsi="Calibri" w:cs="Calibri"/>
          <w:sz w:val="18"/>
          <w:szCs w:val="18"/>
        </w:rPr>
        <w:t xml:space="preserve"> April 2025.</w:t>
      </w:r>
    </w:p>
    <w:p w14:paraId="76F8BCE2" w14:textId="1AE99088" w:rsidR="00946A3E" w:rsidRPr="006205AE" w:rsidRDefault="0C856F1D" w:rsidP="00690EC8">
      <w:pPr>
        <w:pStyle w:val="FootnoteText"/>
        <w:spacing w:line="278" w:lineRule="auto"/>
        <w:rPr>
          <w:rFonts w:ascii="Calibri" w:hAnsi="Calibri" w:cs="Calibri"/>
          <w:sz w:val="18"/>
          <w:szCs w:val="18"/>
        </w:rPr>
      </w:pPr>
      <w:r w:rsidRPr="006205AE">
        <w:rPr>
          <w:rFonts w:ascii="Calibri" w:hAnsi="Calibri" w:cs="Calibri"/>
          <w:sz w:val="18"/>
          <w:szCs w:val="18"/>
        </w:rPr>
        <w:t xml:space="preserve">Bain &amp; Company, </w:t>
      </w:r>
      <w:hyperlink r:id="rId17">
        <w:r w:rsidRPr="006205AE">
          <w:rPr>
            <w:rStyle w:val="Hyperlink"/>
            <w:rFonts w:ascii="Calibri" w:hAnsi="Calibri" w:cs="Calibri"/>
            <w:sz w:val="18"/>
            <w:szCs w:val="18"/>
          </w:rPr>
          <w:t>How Can We Meet AI’s Insatiable Demand for Compute Power?</w:t>
        </w:r>
      </w:hyperlink>
      <w:r w:rsidRPr="006205AE">
        <w:rPr>
          <w:rFonts w:ascii="Calibri" w:hAnsi="Calibri" w:cs="Calibri"/>
          <w:sz w:val="18"/>
          <w:szCs w:val="18"/>
        </w:rPr>
        <w:t>, September 2025.</w:t>
      </w:r>
    </w:p>
    <w:p w14:paraId="40AC1E30" w14:textId="4D6B4BCA" w:rsidR="00946A3E" w:rsidRPr="006205AE" w:rsidRDefault="0C856F1D" w:rsidP="00690EC8">
      <w:pPr>
        <w:pStyle w:val="FootnoteText"/>
        <w:spacing w:line="278" w:lineRule="auto"/>
        <w:rPr>
          <w:rFonts w:ascii="Calibri" w:hAnsi="Calibri" w:cs="Calibri"/>
          <w:sz w:val="18"/>
          <w:szCs w:val="18"/>
        </w:rPr>
      </w:pPr>
      <w:r w:rsidRPr="006205AE">
        <w:rPr>
          <w:rFonts w:ascii="Calibri" w:hAnsi="Calibri" w:cs="Calibri"/>
          <w:sz w:val="18"/>
          <w:szCs w:val="18"/>
        </w:rPr>
        <w:t xml:space="preserve">Goldman Sachs </w:t>
      </w:r>
      <w:hyperlink r:id="rId18">
        <w:r w:rsidRPr="006205AE">
          <w:rPr>
            <w:rStyle w:val="Hyperlink"/>
            <w:rFonts w:ascii="Calibri" w:hAnsi="Calibri" w:cs="Calibri"/>
            <w:sz w:val="18"/>
            <w:szCs w:val="18"/>
          </w:rPr>
          <w:t>AI to drive 165% increase in data center power demand by 2030</w:t>
        </w:r>
      </w:hyperlink>
      <w:r w:rsidRPr="006205AE">
        <w:rPr>
          <w:rFonts w:ascii="Calibri" w:hAnsi="Calibri" w:cs="Calibri"/>
          <w:sz w:val="18"/>
          <w:szCs w:val="18"/>
        </w:rPr>
        <w:t>, February 2025.</w:t>
      </w:r>
    </w:p>
    <w:p w14:paraId="0F509FA9" w14:textId="612D54A4" w:rsidR="00D90AEA" w:rsidRPr="006205AE" w:rsidRDefault="0C856F1D" w:rsidP="00690EC8">
      <w:pPr>
        <w:pStyle w:val="FootnoteText"/>
        <w:spacing w:line="278" w:lineRule="auto"/>
        <w:rPr>
          <w:rFonts w:ascii="Calibri" w:hAnsi="Calibri" w:cs="Calibri"/>
          <w:sz w:val="18"/>
          <w:szCs w:val="18"/>
        </w:rPr>
      </w:pPr>
      <w:r w:rsidRPr="006205AE">
        <w:rPr>
          <w:rFonts w:ascii="Calibri" w:hAnsi="Calibri" w:cs="Calibri"/>
          <w:sz w:val="18"/>
          <w:szCs w:val="18"/>
        </w:rPr>
        <w:t xml:space="preserve">HAI Stanford, </w:t>
      </w:r>
      <w:hyperlink r:id="rId19">
        <w:r w:rsidRPr="006205AE">
          <w:rPr>
            <w:rStyle w:val="Hyperlink"/>
            <w:rFonts w:ascii="Calibri" w:hAnsi="Calibri" w:cs="Calibri"/>
            <w:sz w:val="18"/>
            <w:szCs w:val="18"/>
          </w:rPr>
          <w:t>The 2025 AI Index Report</w:t>
        </w:r>
      </w:hyperlink>
      <w:r w:rsidRPr="006205AE">
        <w:rPr>
          <w:rFonts w:ascii="Calibri" w:hAnsi="Calibri" w:cs="Calibri"/>
          <w:sz w:val="18"/>
          <w:szCs w:val="18"/>
        </w:rPr>
        <w:t>, 2025.</w:t>
      </w:r>
    </w:p>
  </w:footnote>
  <w:footnote w:id="18">
    <w:p w14:paraId="12D13499" w14:textId="09358E9F" w:rsidR="1A870423" w:rsidRPr="00774989" w:rsidRDefault="1A870423" w:rsidP="00774989">
      <w:pPr>
        <w:spacing w:before="0" w:after="0" w:line="240" w:lineRule="auto"/>
        <w:rPr>
          <w:sz w:val="18"/>
          <w:szCs w:val="18"/>
        </w:rPr>
      </w:pPr>
      <w:r w:rsidRPr="006205AE">
        <w:rPr>
          <w:rFonts w:cs="Calibri"/>
          <w:sz w:val="18"/>
          <w:szCs w:val="18"/>
          <w:vertAlign w:val="superscript"/>
        </w:rPr>
        <w:footnoteRef/>
      </w:r>
      <w:r w:rsidR="00BA0943" w:rsidRPr="006205AE">
        <w:rPr>
          <w:rFonts w:cs="Calibri"/>
          <w:sz w:val="18"/>
          <w:szCs w:val="18"/>
        </w:rPr>
        <w:t xml:space="preserve"> European Commission, </w:t>
      </w:r>
      <w:hyperlink r:id="rId20" w:history="1">
        <w:r w:rsidR="00BA0943" w:rsidRPr="006205AE">
          <w:rPr>
            <w:rStyle w:val="Hyperlink"/>
            <w:rFonts w:cs="Calibri"/>
            <w:sz w:val="18"/>
            <w:szCs w:val="18"/>
          </w:rPr>
          <w:t>Commission launches market investigations on cloud computing services under the Digital Markets Act</w:t>
        </w:r>
      </w:hyperlink>
      <w:r w:rsidR="00BA0943" w:rsidRPr="006205AE">
        <w:rPr>
          <w:rFonts w:cs="Calibri"/>
          <w:sz w:val="18"/>
          <w:szCs w:val="18"/>
        </w:rPr>
        <w:t>, 18 November 2025.</w:t>
      </w:r>
      <w:r w:rsidR="00BA0943">
        <w:rPr>
          <w:sz w:val="18"/>
          <w:szCs w:val="18"/>
        </w:rPr>
        <w:t xml:space="preserve"> </w:t>
      </w:r>
    </w:p>
  </w:footnote>
  <w:footnote w:id="19">
    <w:p w14:paraId="2309D1E4" w14:textId="0A0494B0" w:rsidR="00511B4A" w:rsidRPr="006205AE" w:rsidRDefault="00511B4A" w:rsidP="00690EC8">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D52B4E" w:rsidRPr="006205AE">
        <w:rPr>
          <w:rFonts w:ascii="Calibri" w:hAnsi="Calibri" w:cs="Calibri"/>
          <w:sz w:val="18"/>
          <w:szCs w:val="18"/>
        </w:rPr>
        <w:t>D</w:t>
      </w:r>
      <w:r w:rsidR="00DD5F09" w:rsidRPr="006205AE">
        <w:rPr>
          <w:rFonts w:ascii="Calibri" w:hAnsi="Calibri" w:cs="Calibri"/>
          <w:sz w:val="18"/>
          <w:szCs w:val="18"/>
        </w:rPr>
        <w:t xml:space="preserve">ata </w:t>
      </w:r>
      <w:r w:rsidR="34F0DEB1" w:rsidRPr="006205AE">
        <w:rPr>
          <w:rFonts w:ascii="Calibri" w:hAnsi="Calibri" w:cs="Calibri"/>
          <w:sz w:val="18"/>
          <w:szCs w:val="18"/>
        </w:rPr>
        <w:t>centre</w:t>
      </w:r>
      <w:r w:rsidR="00D52B4E" w:rsidRPr="006205AE">
        <w:rPr>
          <w:rFonts w:ascii="Calibri" w:hAnsi="Calibri" w:cs="Calibri"/>
          <w:sz w:val="18"/>
          <w:szCs w:val="18"/>
        </w:rPr>
        <w:t xml:space="preserve"> capacity is typically expressed in megawatts (MW) or gigawatts (GW) because power availability plays a key role for both the operation of the servers and the cooling systems.</w:t>
      </w:r>
      <w:r w:rsidR="00EC6299" w:rsidRPr="006205AE">
        <w:rPr>
          <w:rFonts w:ascii="Calibri" w:hAnsi="Calibri" w:cs="Calibri"/>
          <w:sz w:val="18"/>
          <w:szCs w:val="18"/>
        </w:rPr>
        <w:t xml:space="preserve"> The estimated capacity is based on the Technopolis Group, Wavestone, Timelex, STL Partners, OpenForum Europe and KAPA Research (2025), "Study: Cloud and AI". The methodology is based on all known commercial data centre sites listed in the </w:t>
      </w:r>
      <w:r w:rsidR="00EC6299" w:rsidRPr="006205AE">
        <w:rPr>
          <w:rFonts w:ascii="Calibri" w:hAnsi="Calibri" w:cs="Calibri"/>
          <w:i/>
          <w:sz w:val="18"/>
          <w:szCs w:val="18"/>
        </w:rPr>
        <w:t>Data Center Map</w:t>
      </w:r>
      <w:r w:rsidR="00EC6299" w:rsidRPr="006205AE">
        <w:rPr>
          <w:rFonts w:ascii="Calibri" w:hAnsi="Calibri" w:cs="Calibri"/>
          <w:sz w:val="18"/>
          <w:szCs w:val="18"/>
        </w:rPr>
        <w:t xml:space="preserve">, additional sites identified through the survey and any publicly known </w:t>
      </w:r>
      <w:r w:rsidR="005F54C8" w:rsidRPr="006205AE">
        <w:rPr>
          <w:rFonts w:ascii="Calibri" w:hAnsi="Calibri" w:cs="Calibri"/>
          <w:sz w:val="18"/>
          <w:szCs w:val="18"/>
        </w:rPr>
        <w:t>hyperscalers</w:t>
      </w:r>
      <w:r w:rsidR="00EC6299" w:rsidRPr="006205AE">
        <w:rPr>
          <w:rFonts w:ascii="Calibri" w:hAnsi="Calibri" w:cs="Calibri"/>
          <w:sz w:val="18"/>
          <w:szCs w:val="18"/>
        </w:rPr>
        <w:t xml:space="preserve"> sites. The figures do not include private enterprise sites.</w:t>
      </w:r>
    </w:p>
  </w:footnote>
  <w:footnote w:id="20">
    <w:p w14:paraId="5FF0C600" w14:textId="612B877E" w:rsidR="006A1A27" w:rsidRPr="006205AE" w:rsidRDefault="006A1A27" w:rsidP="00BF65F9">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Groupes D’Etudes G</w:t>
      </w:r>
      <w:r w:rsidR="0071305B">
        <w:rPr>
          <w:rFonts w:ascii="Calibri" w:hAnsi="Calibri" w:cs="Calibri"/>
          <w:sz w:val="18"/>
          <w:szCs w:val="18"/>
        </w:rPr>
        <w:t>é</w:t>
      </w:r>
      <w:r w:rsidR="0C856F1D" w:rsidRPr="006205AE">
        <w:rPr>
          <w:rFonts w:ascii="Calibri" w:hAnsi="Calibri" w:cs="Calibri"/>
          <w:sz w:val="18"/>
          <w:szCs w:val="18"/>
        </w:rPr>
        <w:t xml:space="preserve">opolitiques, </w:t>
      </w:r>
      <w:hyperlink r:id="rId21" w:anchor=":~:text=A%20European%20AI%20infrastructure%20and%20insufficient%20funding&amp;text=As%20far%20as%20data%20centers,US%2012%20%2C%20a%20comparable%20economy.">
        <w:r w:rsidR="0C856F1D" w:rsidRPr="006205AE">
          <w:rPr>
            <w:rStyle w:val="Hyperlink"/>
            <w:rFonts w:ascii="Calibri" w:hAnsi="Calibri" w:cs="Calibri"/>
            <w:sz w:val="18"/>
            <w:szCs w:val="18"/>
          </w:rPr>
          <w:t>International comparisons and the state of AI infrastructure strategies</w:t>
        </w:r>
      </w:hyperlink>
      <w:r w:rsidR="0C856F1D" w:rsidRPr="006205AE">
        <w:rPr>
          <w:rFonts w:ascii="Calibri" w:hAnsi="Calibri" w:cs="Calibri"/>
          <w:sz w:val="18"/>
          <w:szCs w:val="18"/>
        </w:rPr>
        <w:t>, February 2025.</w:t>
      </w:r>
    </w:p>
  </w:footnote>
  <w:footnote w:id="21">
    <w:p w14:paraId="394768AC" w14:textId="46E21BB6" w:rsidR="00A365C8" w:rsidRPr="006205AE" w:rsidRDefault="00A365C8" w:rsidP="00BF65F9">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0F65DAD" w:rsidRPr="006205AE">
        <w:rPr>
          <w:rFonts w:ascii="Calibri" w:hAnsi="Calibri" w:cs="Calibri"/>
          <w:sz w:val="18"/>
          <w:szCs w:val="18"/>
        </w:rPr>
        <w:t xml:space="preserve"> </w:t>
      </w:r>
      <w:r w:rsidR="0C856F1D" w:rsidRPr="006205AE">
        <w:rPr>
          <w:rFonts w:ascii="Calibri" w:hAnsi="Calibri" w:cs="Calibri"/>
          <w:sz w:val="18"/>
          <w:szCs w:val="18"/>
        </w:rPr>
        <w:t xml:space="preserve">Data Centres | CBRE, </w:t>
      </w:r>
      <w:hyperlink r:id="rId22" w:anchor=":~:text=Rents%20will%20continue%20to%20increase,charge%20a%20premium%20rental%20rate.">
        <w:r w:rsidR="0C856F1D" w:rsidRPr="006205AE">
          <w:rPr>
            <w:rStyle w:val="Hyperlink"/>
            <w:rFonts w:ascii="Calibri" w:hAnsi="Calibri" w:cs="Calibri"/>
            <w:sz w:val="18"/>
            <w:szCs w:val="18"/>
          </w:rPr>
          <w:t>Rents will continue to increase</w:t>
        </w:r>
      </w:hyperlink>
      <w:r w:rsidR="0C856F1D" w:rsidRPr="006205AE">
        <w:rPr>
          <w:rFonts w:ascii="Calibri" w:hAnsi="Calibri" w:cs="Calibri"/>
          <w:sz w:val="18"/>
          <w:szCs w:val="18"/>
        </w:rPr>
        <w:t>, January 2025.</w:t>
      </w:r>
    </w:p>
  </w:footnote>
  <w:footnote w:id="22">
    <w:p w14:paraId="24C20DB2" w14:textId="4B233B4F" w:rsidR="00E170F2" w:rsidRPr="006205AE" w:rsidRDefault="00E170F2" w:rsidP="00BF65F9">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0F65DAD" w:rsidRPr="006205AE">
        <w:rPr>
          <w:rFonts w:ascii="Calibri" w:hAnsi="Calibri" w:cs="Calibri"/>
          <w:sz w:val="18"/>
          <w:szCs w:val="18"/>
        </w:rPr>
        <w:t xml:space="preserve"> </w:t>
      </w:r>
      <w:r w:rsidR="0C856F1D" w:rsidRPr="006205AE">
        <w:rPr>
          <w:rFonts w:ascii="Calibri" w:hAnsi="Calibri" w:cs="Calibri"/>
          <w:sz w:val="18"/>
          <w:szCs w:val="18"/>
        </w:rPr>
        <w:t xml:space="preserve">Savils, </w:t>
      </w:r>
      <w:hyperlink r:id="rId23">
        <w:r w:rsidR="0C856F1D" w:rsidRPr="006205AE">
          <w:rPr>
            <w:rStyle w:val="Hyperlink"/>
            <w:rFonts w:ascii="Calibri" w:hAnsi="Calibri" w:cs="Calibri"/>
            <w:sz w:val="18"/>
            <w:szCs w:val="18"/>
          </w:rPr>
          <w:t>Costs on the rise</w:t>
        </w:r>
      </w:hyperlink>
      <w:r w:rsidR="0C856F1D" w:rsidRPr="006205AE">
        <w:rPr>
          <w:rFonts w:ascii="Calibri" w:hAnsi="Calibri" w:cs="Calibri"/>
          <w:sz w:val="18"/>
          <w:szCs w:val="18"/>
        </w:rPr>
        <w:t>, May 2024.</w:t>
      </w:r>
    </w:p>
  </w:footnote>
  <w:footnote w:id="23">
    <w:p w14:paraId="172A38B9" w14:textId="23C928B2" w:rsidR="001A2026" w:rsidRPr="006205AE" w:rsidRDefault="001A2026" w:rsidP="00BF65F9">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0F65DAD" w:rsidRPr="006205AE">
        <w:rPr>
          <w:rFonts w:ascii="Calibri" w:hAnsi="Calibri" w:cs="Calibri"/>
          <w:sz w:val="18"/>
          <w:szCs w:val="18"/>
        </w:rPr>
        <w:t xml:space="preserve"> </w:t>
      </w:r>
      <w:r w:rsidR="0C856F1D" w:rsidRPr="006205AE">
        <w:rPr>
          <w:rFonts w:ascii="Calibri" w:hAnsi="Calibri" w:cs="Calibri"/>
          <w:sz w:val="18"/>
          <w:szCs w:val="18"/>
        </w:rPr>
        <w:t xml:space="preserve">ServerMania, </w:t>
      </w:r>
      <w:hyperlink r:id="rId24">
        <w:r w:rsidR="0C856F1D" w:rsidRPr="006205AE">
          <w:rPr>
            <w:rStyle w:val="Hyperlink"/>
            <w:rFonts w:ascii="Calibri" w:hAnsi="Calibri" w:cs="Calibri"/>
            <w:sz w:val="18"/>
            <w:szCs w:val="18"/>
          </w:rPr>
          <w:t>Cloud Server Pricing Guide: Transparent Costs &amp; Comparisons for 2026</w:t>
        </w:r>
      </w:hyperlink>
      <w:r w:rsidR="0C856F1D" w:rsidRPr="006205AE">
        <w:rPr>
          <w:rFonts w:ascii="Calibri" w:hAnsi="Calibri" w:cs="Calibri"/>
          <w:sz w:val="18"/>
          <w:szCs w:val="18"/>
        </w:rPr>
        <w:t>, January 2026.</w:t>
      </w:r>
    </w:p>
  </w:footnote>
  <w:footnote w:id="24">
    <w:p w14:paraId="5A5832E8" w14:textId="2679E649" w:rsidR="001813DA" w:rsidRPr="006205AE" w:rsidRDefault="001813DA" w:rsidP="00BF65F9">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Taking the </w:t>
      </w:r>
      <w:hyperlink r:id="rId25">
        <w:r w:rsidR="0C856F1D" w:rsidRPr="006205AE">
          <w:rPr>
            <w:rStyle w:val="Hyperlink"/>
            <w:rFonts w:ascii="Calibri" w:hAnsi="Calibri" w:cs="Calibri"/>
            <w:sz w:val="18"/>
            <w:szCs w:val="18"/>
          </w:rPr>
          <w:t>Azure network round-trip latency statistics</w:t>
        </w:r>
      </w:hyperlink>
      <w:r w:rsidR="007E6BD2" w:rsidRPr="006205AE">
        <w:rPr>
          <w:rFonts w:ascii="Calibri" w:hAnsi="Calibri" w:cs="Calibri"/>
          <w:sz w:val="18"/>
          <w:szCs w:val="18"/>
        </w:rPr>
        <w:t xml:space="preserve"> (</w:t>
      </w:r>
      <w:r w:rsidR="00445A02" w:rsidRPr="006205AE">
        <w:rPr>
          <w:rFonts w:ascii="Calibri" w:hAnsi="Calibri" w:cs="Calibri"/>
          <w:sz w:val="18"/>
          <w:szCs w:val="18"/>
        </w:rPr>
        <w:t>June 2026)</w:t>
      </w:r>
      <w:r w:rsidRPr="006205AE">
        <w:rPr>
          <w:rFonts w:ascii="Calibri" w:hAnsi="Calibri" w:cs="Calibri"/>
          <w:sz w:val="18"/>
          <w:szCs w:val="18"/>
        </w:rPr>
        <w:t>, round-trip latency (the time it takes for a data pack to travel from one point in the network to another and back again) from Poland (Central Europe) to Frankfurt (Western Europe) is ca. 10–15ms,</w:t>
      </w:r>
      <w:r w:rsidRPr="006205AE" w:rsidDel="00403EEB">
        <w:rPr>
          <w:rFonts w:ascii="Calibri" w:hAnsi="Calibri" w:cs="Calibri"/>
          <w:sz w:val="18"/>
          <w:szCs w:val="18"/>
        </w:rPr>
        <w:t xml:space="preserve"> </w:t>
      </w:r>
      <w:r w:rsidRPr="006205AE">
        <w:rPr>
          <w:rFonts w:ascii="Calibri" w:hAnsi="Calibri" w:cs="Calibri"/>
          <w:sz w:val="18"/>
          <w:szCs w:val="18"/>
        </w:rPr>
        <w:t>and latency from Poland to Amsterdam or London is ca. 15–20ms. By contrast, latency within Western Europe (e.g. Frankfurt to Amsterdam) is typically &lt;5ms. A fintech business in Warsaw thus faces significantly higher latency than a competitor in Western Europe.</w:t>
      </w:r>
    </w:p>
  </w:footnote>
  <w:footnote w:id="25">
    <w:p w14:paraId="4FD99D05" w14:textId="36D5F866" w:rsidR="2E835E30" w:rsidRPr="006205AE" w:rsidRDefault="2E835E30" w:rsidP="00BF65F9">
      <w:pPr>
        <w:spacing w:before="0" w:after="0" w:line="278" w:lineRule="auto"/>
        <w:rPr>
          <w:rFonts w:cs="Calibri"/>
          <w:sz w:val="18"/>
          <w:szCs w:val="18"/>
        </w:rPr>
      </w:pPr>
      <w:r w:rsidRPr="006205AE">
        <w:rPr>
          <w:rStyle w:val="FootnoteReference"/>
          <w:rFonts w:cs="Calibri"/>
          <w:sz w:val="18"/>
          <w:szCs w:val="18"/>
          <w:lang w:eastAsia="en-US"/>
        </w:rPr>
        <w:footnoteRef/>
      </w:r>
      <w:r w:rsidR="0C856F1D" w:rsidRPr="006205AE">
        <w:rPr>
          <w:rFonts w:cs="Calibri"/>
          <w:sz w:val="18"/>
          <w:szCs w:val="18"/>
        </w:rPr>
        <w:t xml:space="preserve"> </w:t>
      </w:r>
      <w:r w:rsidR="00AD5110" w:rsidRPr="006205AE">
        <w:rPr>
          <w:rFonts w:cs="Calibri"/>
          <w:sz w:val="18"/>
          <w:szCs w:val="18"/>
        </w:rPr>
        <w:t xml:space="preserve">IDC, </w:t>
      </w:r>
      <w:hyperlink r:id="rId26" w:history="1">
        <w:r w:rsidRPr="006205AE">
          <w:rPr>
            <w:rStyle w:val="Hyperlink"/>
            <w:rFonts w:cs="Calibri"/>
            <w:sz w:val="18"/>
            <w:szCs w:val="18"/>
          </w:rPr>
          <w:t>IDC Report Reveals AI-Driven Growth in Datacenter Energy Consumption, Predicts Surge in Datacenter Facility Spending Amid Rising Electricity Costs</w:t>
        </w:r>
      </w:hyperlink>
      <w:r w:rsidR="00AD5110" w:rsidRPr="006205AE">
        <w:rPr>
          <w:rFonts w:cs="Calibri"/>
          <w:sz w:val="18"/>
          <w:szCs w:val="18"/>
        </w:rPr>
        <w:t>, 2024</w:t>
      </w:r>
      <w:r w:rsidR="00335B4F" w:rsidRPr="006205AE">
        <w:rPr>
          <w:rFonts w:cs="Calibri"/>
          <w:sz w:val="18"/>
          <w:szCs w:val="18"/>
        </w:rPr>
        <w:t>;</w:t>
      </w:r>
      <w:r w:rsidRPr="006205AE">
        <w:rPr>
          <w:rFonts w:cs="Calibri"/>
          <w:sz w:val="18"/>
          <w:szCs w:val="18"/>
        </w:rPr>
        <w:t xml:space="preserve"> </w:t>
      </w:r>
      <w:r w:rsidRPr="006205AE">
        <w:rPr>
          <w:rFonts w:eastAsia="Times New Roman" w:cs="Calibri"/>
          <w:sz w:val="18"/>
          <w:szCs w:val="18"/>
        </w:rPr>
        <w:t xml:space="preserve">See also: </w:t>
      </w:r>
      <w:r w:rsidR="00A3717B" w:rsidRPr="006205AE">
        <w:rPr>
          <w:rFonts w:eastAsia="Times New Roman" w:cs="Calibri"/>
          <w:sz w:val="18"/>
          <w:szCs w:val="18"/>
        </w:rPr>
        <w:t xml:space="preserve">CERRE, </w:t>
      </w:r>
      <w:hyperlink r:id="rId27" w:history="1">
        <w:r w:rsidR="00A3717B" w:rsidRPr="006205AE">
          <w:rPr>
            <w:rStyle w:val="Hyperlink"/>
            <w:rFonts w:eastAsia="Times New Roman" w:cs="Calibri"/>
            <w:sz w:val="18"/>
            <w:szCs w:val="18"/>
          </w:rPr>
          <w:t>From Gridlock to Grid Asset: Data Centres for Digital Sovereignty, Energy Resilience, and Competitiveness</w:t>
        </w:r>
      </w:hyperlink>
      <w:r w:rsidR="00A3717B" w:rsidRPr="006205AE">
        <w:rPr>
          <w:rFonts w:eastAsia="Times New Roman" w:cs="Calibri"/>
          <w:sz w:val="18"/>
          <w:szCs w:val="18"/>
        </w:rPr>
        <w:t>, September 2025,</w:t>
      </w:r>
      <w:r w:rsidRPr="006205AE">
        <w:rPr>
          <w:rFonts w:eastAsia="Times New Roman" w:cs="Calibri"/>
          <w:sz w:val="18"/>
          <w:szCs w:val="18"/>
        </w:rPr>
        <w:t xml:space="preserve"> pp</w:t>
      </w:r>
      <w:r w:rsidR="00A3717B" w:rsidRPr="006205AE">
        <w:rPr>
          <w:rFonts w:eastAsia="Times New Roman" w:cs="Calibri"/>
          <w:sz w:val="18"/>
          <w:szCs w:val="18"/>
        </w:rPr>
        <w:t>.</w:t>
      </w:r>
      <w:r w:rsidRPr="006205AE">
        <w:rPr>
          <w:rFonts w:eastAsia="Times New Roman" w:cs="Calibri"/>
          <w:sz w:val="18"/>
          <w:szCs w:val="18"/>
        </w:rPr>
        <w:t xml:space="preserve"> 13</w:t>
      </w:r>
      <w:r w:rsidR="00A3717B" w:rsidRPr="006205AE">
        <w:rPr>
          <w:rFonts w:eastAsia="Times New Roman" w:cs="Calibri"/>
          <w:sz w:val="18"/>
          <w:szCs w:val="18"/>
        </w:rPr>
        <w:t>–</w:t>
      </w:r>
      <w:r w:rsidRPr="006205AE">
        <w:rPr>
          <w:rFonts w:eastAsia="Times New Roman" w:cs="Calibri"/>
          <w:sz w:val="18"/>
          <w:szCs w:val="18"/>
        </w:rPr>
        <w:t>15.</w:t>
      </w:r>
    </w:p>
  </w:footnote>
  <w:footnote w:id="26">
    <w:p w14:paraId="4B3E7FC1" w14:textId="77777777" w:rsidR="000C62D2" w:rsidRPr="00967EE0" w:rsidRDefault="000C62D2" w:rsidP="000C62D2">
      <w:pPr>
        <w:pStyle w:val="FootnoteText"/>
        <w:rPr>
          <w:rStyle w:val="FootnoteReference"/>
          <w:rFonts w:ascii="Calibri" w:hAnsi="Calibri" w:cs="Calibri"/>
          <w:sz w:val="18"/>
          <w:szCs w:val="18"/>
        </w:rPr>
      </w:pPr>
      <w:r w:rsidRPr="00FB04FC">
        <w:rPr>
          <w:rStyle w:val="FootnoteReference"/>
          <w:sz w:val="18"/>
          <w:szCs w:val="18"/>
        </w:rPr>
        <w:footnoteRef/>
      </w:r>
      <w:r w:rsidRPr="00FB04FC">
        <w:rPr>
          <w:sz w:val="18"/>
          <w:szCs w:val="18"/>
        </w:rPr>
        <w:t xml:space="preserve"> </w:t>
      </w:r>
      <w:r w:rsidRPr="00E80ED6">
        <w:rPr>
          <w:rFonts w:ascii="Calibri" w:hAnsi="Calibri" w:cs="Calibri"/>
          <w:sz w:val="18"/>
          <w:szCs w:val="18"/>
        </w:rPr>
        <w:t>Population figures are based on Eurostat 2025 population data; Eurostat estimates the EU population at 450.4 million inhabitants on 1 January 2025.</w:t>
      </w:r>
    </w:p>
  </w:footnote>
  <w:footnote w:id="27">
    <w:p w14:paraId="49CD02F8" w14:textId="6EAD7CC7" w:rsidR="000C62D2" w:rsidRPr="00E80ED6" w:rsidRDefault="000C62D2">
      <w:pPr>
        <w:pStyle w:val="FootnoteText"/>
        <w:rPr>
          <w:rFonts w:ascii="Calibri" w:hAnsi="Calibri" w:cs="Calibri"/>
          <w:sz w:val="18"/>
          <w:szCs w:val="18"/>
        </w:rPr>
      </w:pPr>
      <w:r w:rsidRPr="00967EE0">
        <w:rPr>
          <w:rStyle w:val="FootnoteReference"/>
          <w:rFonts w:ascii="Calibri" w:hAnsi="Calibri" w:cs="Calibri"/>
          <w:sz w:val="18"/>
          <w:szCs w:val="18"/>
        </w:rPr>
        <w:footnoteRef/>
      </w:r>
      <w:r w:rsidR="00480B55" w:rsidRPr="00967EE0">
        <w:rPr>
          <w:rFonts w:ascii="Calibri" w:hAnsi="Calibri" w:cs="Calibri"/>
          <w:sz w:val="18"/>
          <w:szCs w:val="18"/>
        </w:rPr>
        <w:t xml:space="preserve"> Technopolis et al. </w:t>
      </w:r>
      <w:r w:rsidRPr="00967EE0" w:rsidDel="00480B55">
        <w:rPr>
          <w:rFonts w:ascii="Calibri" w:hAnsi="Calibri" w:cs="Calibri"/>
          <w:sz w:val="18"/>
          <w:szCs w:val="18"/>
        </w:rPr>
        <w:t>(2025), “Study: Cloud and AI”. The study figures are presented in the Impact Assessment for the Cloud and AI Development Act</w:t>
      </w:r>
      <w:r w:rsidR="00480B55" w:rsidRPr="00967EE0">
        <w:rPr>
          <w:rFonts w:ascii="Calibri" w:hAnsi="Calibri" w:cs="Calibri"/>
          <w:sz w:val="18"/>
          <w:szCs w:val="18"/>
        </w:rPr>
        <w:t xml:space="preserve">: </w:t>
      </w:r>
      <w:hyperlink r:id="rId28" w:history="1">
        <w:r w:rsidR="00480B55" w:rsidRPr="00967EE0">
          <w:rPr>
            <w:rStyle w:val="Hyperlink"/>
            <w:rFonts w:ascii="Calibri" w:hAnsi="Calibri" w:cs="Calibri"/>
            <w:sz w:val="18"/>
            <w:szCs w:val="18"/>
          </w:rPr>
          <w:t>https://ec.europa.eu/newsroom/dae/redirection/document/129113</w:t>
        </w:r>
      </w:hyperlink>
      <w:r w:rsidRPr="00967EE0" w:rsidDel="00480B55">
        <w:rPr>
          <w:rFonts w:ascii="Calibri" w:hAnsi="Calibri" w:cs="Calibri"/>
          <w:sz w:val="18"/>
          <w:szCs w:val="18"/>
        </w:rPr>
        <w:t xml:space="preserve"> </w:t>
      </w:r>
    </w:p>
  </w:footnote>
  <w:footnote w:id="28">
    <w:p w14:paraId="6AB52972" w14:textId="5F0983AB" w:rsidR="00480B55" w:rsidRPr="00967EE0" w:rsidRDefault="00480B55">
      <w:pPr>
        <w:pStyle w:val="FootnoteText"/>
        <w:rPr>
          <w:rFonts w:ascii="Calibri" w:hAnsi="Calibri" w:cs="Calibri"/>
          <w:sz w:val="18"/>
          <w:szCs w:val="18"/>
          <w:lang w:val="en-IE"/>
        </w:rPr>
      </w:pPr>
      <w:r w:rsidRPr="00967EE0">
        <w:rPr>
          <w:rStyle w:val="FootnoteReference"/>
          <w:rFonts w:ascii="Calibri" w:hAnsi="Calibri" w:cs="Calibri"/>
          <w:sz w:val="18"/>
          <w:szCs w:val="18"/>
        </w:rPr>
        <w:footnoteRef/>
      </w:r>
      <w:r w:rsidRPr="00967EE0">
        <w:rPr>
          <w:rFonts w:ascii="Calibri" w:hAnsi="Calibri" w:cs="Calibri"/>
          <w:sz w:val="18"/>
          <w:szCs w:val="18"/>
        </w:rPr>
        <w:t xml:space="preserve"> As a result, the figures should be interpreted as an estimate of the commercial and hyperscale data centre capacity captured by the monitoring exercise, rather than a complete inventory of all data processing infrastructure in each Member State. This scope limitation is particularly relevant for Member States where a larger share of capacity may be hosted in enterprise or public sector facilities.</w:t>
      </w:r>
      <w:r w:rsidR="00564108">
        <w:rPr>
          <w:rFonts w:ascii="Calibri" w:hAnsi="Calibri" w:cs="Calibri"/>
          <w:sz w:val="18"/>
          <w:szCs w:val="18"/>
        </w:rPr>
        <w:t xml:space="preserve"> Moreover,</w:t>
      </w:r>
      <w:r w:rsidR="00564108" w:rsidRPr="00564108">
        <w:rPr>
          <w:rFonts w:ascii="Calibri" w:hAnsi="Calibri" w:cs="Calibri"/>
          <w:sz w:val="18"/>
          <w:szCs w:val="18"/>
        </w:rPr>
        <w:t xml:space="preserve"> the chart shows data centre capacity in operation or planned for the near future and thus may not capture major projects under construction or announced investments</w:t>
      </w:r>
      <w:r w:rsidR="006E2F32">
        <w:rPr>
          <w:rFonts w:ascii="Calibri" w:hAnsi="Calibri" w:cs="Calibri"/>
          <w:sz w:val="18"/>
          <w:szCs w:val="18"/>
        </w:rPr>
        <w:t xml:space="preserve"> (</w:t>
      </w:r>
      <w:r w:rsidR="006A644A">
        <w:rPr>
          <w:rFonts w:ascii="Calibri" w:hAnsi="Calibri" w:cs="Calibri"/>
          <w:sz w:val="18"/>
          <w:szCs w:val="18"/>
        </w:rPr>
        <w:t xml:space="preserve">e.g. </w:t>
      </w:r>
      <w:r w:rsidR="004D156A">
        <w:rPr>
          <w:rFonts w:ascii="Calibri" w:hAnsi="Calibri" w:cs="Calibri"/>
          <w:sz w:val="18"/>
          <w:szCs w:val="18"/>
        </w:rPr>
        <w:t xml:space="preserve">Greece’s </w:t>
      </w:r>
      <w:hyperlink r:id="rId29" w:history="1">
        <w:r w:rsidR="004D156A" w:rsidRPr="00967EE0">
          <w:rPr>
            <w:rStyle w:val="Hyperlink"/>
            <w:rFonts w:ascii="Calibri" w:hAnsi="Calibri" w:cs="Calibri"/>
            <w:sz w:val="18"/>
            <w:szCs w:val="18"/>
          </w:rPr>
          <w:t>Microsoft’s</w:t>
        </w:r>
      </w:hyperlink>
      <w:r w:rsidR="004D156A" w:rsidRPr="00967EE0">
        <w:rPr>
          <w:rFonts w:ascii="Calibri" w:hAnsi="Calibri" w:cs="Calibri"/>
          <w:sz w:val="18"/>
          <w:szCs w:val="18"/>
        </w:rPr>
        <w:t xml:space="preserve"> Attica data centre, or Portugal’s </w:t>
      </w:r>
      <w:hyperlink r:id="rId30" w:history="1">
        <w:r w:rsidR="004D156A" w:rsidRPr="00967EE0">
          <w:rPr>
            <w:rStyle w:val="Hyperlink"/>
            <w:rFonts w:ascii="Calibri" w:hAnsi="Calibri" w:cs="Calibri"/>
            <w:sz w:val="18"/>
            <w:szCs w:val="18"/>
          </w:rPr>
          <w:t>Sines</w:t>
        </w:r>
      </w:hyperlink>
      <w:r w:rsidR="004D156A" w:rsidRPr="00967EE0">
        <w:rPr>
          <w:rFonts w:ascii="Calibri" w:hAnsi="Calibri" w:cs="Calibri"/>
          <w:sz w:val="18"/>
          <w:szCs w:val="18"/>
        </w:rPr>
        <w:t xml:space="preserve"> data centre campus</w:t>
      </w:r>
      <w:r w:rsidR="00AA0351" w:rsidRPr="00967EE0">
        <w:rPr>
          <w:rFonts w:ascii="Calibri" w:hAnsi="Calibri" w:cs="Calibri"/>
          <w:sz w:val="18"/>
          <w:szCs w:val="18"/>
        </w:rPr>
        <w:t>)</w:t>
      </w:r>
      <w:r w:rsidR="00564108">
        <w:rPr>
          <w:rFonts w:ascii="Calibri" w:hAnsi="Calibri" w:cs="Calibri"/>
          <w:sz w:val="18"/>
          <w:szCs w:val="18"/>
        </w:rPr>
        <w:t>.</w:t>
      </w:r>
      <w:r w:rsidRPr="00967EE0">
        <w:rPr>
          <w:rFonts w:ascii="Calibri" w:hAnsi="Calibri" w:cs="Calibri"/>
          <w:sz w:val="18"/>
          <w:szCs w:val="18"/>
        </w:rPr>
        <w:t xml:space="preserve"> While the results should thus be interpreted with caution, they still provide a useful basis for identifying potential capacity gaps and policy needs</w:t>
      </w:r>
      <w:r w:rsidR="00C7322D">
        <w:rPr>
          <w:rFonts w:ascii="Calibri" w:hAnsi="Calibri" w:cs="Calibri"/>
          <w:sz w:val="18"/>
          <w:szCs w:val="18"/>
        </w:rPr>
        <w:t>.</w:t>
      </w:r>
    </w:p>
  </w:footnote>
  <w:footnote w:id="29">
    <w:p w14:paraId="242EB8CD" w14:textId="77777777" w:rsidR="000C62D2" w:rsidRPr="00967EE0" w:rsidRDefault="000C62D2" w:rsidP="000C62D2">
      <w:pPr>
        <w:pStyle w:val="FootnoteText"/>
        <w:rPr>
          <w:rFonts w:ascii="Calibri" w:hAnsi="Calibri" w:cs="Calibri"/>
          <w:sz w:val="18"/>
          <w:szCs w:val="18"/>
        </w:rPr>
      </w:pPr>
      <w:r w:rsidRPr="00E80ED6">
        <w:rPr>
          <w:rStyle w:val="FootnoteReference"/>
          <w:rFonts w:ascii="Calibri" w:hAnsi="Calibri" w:cs="Calibri"/>
          <w:sz w:val="18"/>
          <w:szCs w:val="18"/>
        </w:rPr>
        <w:footnoteRef/>
      </w:r>
      <w:r w:rsidRPr="00E80ED6">
        <w:rPr>
          <w:rFonts w:ascii="Calibri" w:hAnsi="Calibri" w:cs="Calibri"/>
          <w:sz w:val="18"/>
          <w:szCs w:val="18"/>
        </w:rPr>
        <w:t xml:space="preserve"> </w:t>
      </w:r>
      <w:hyperlink r:id="rId31" w:history="1">
        <w:r w:rsidRPr="00E80ED6">
          <w:rPr>
            <w:rStyle w:val="Hyperlink"/>
            <w:rFonts w:ascii="Calibri" w:hAnsi="Calibri" w:cs="Calibri"/>
            <w:sz w:val="18"/>
            <w:szCs w:val="18"/>
          </w:rPr>
          <w:t>Why So Many Data Centres Are Being Built In Ireland?</w:t>
        </w:r>
      </w:hyperlink>
    </w:p>
  </w:footnote>
  <w:footnote w:id="30">
    <w:p w14:paraId="7BF08432" w14:textId="7B2ECDB5" w:rsidR="00E74954" w:rsidRPr="006205AE" w:rsidRDefault="00E74954" w:rsidP="001E5A06">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Statista, </w:t>
      </w:r>
      <w:hyperlink r:id="rId32" w:anchor="statisticContainer">
        <w:r w:rsidR="0C856F1D" w:rsidRPr="006205AE">
          <w:rPr>
            <w:rStyle w:val="Hyperlink"/>
            <w:rFonts w:ascii="Calibri" w:hAnsi="Calibri" w:cs="Calibri"/>
            <w:sz w:val="18"/>
            <w:szCs w:val="18"/>
          </w:rPr>
          <w:t>Volume of data/information created, captured, copied, and consumed worldwide from 2010 to 2023, with forecasts from 2024 to 2028</w:t>
        </w:r>
      </w:hyperlink>
      <w:r w:rsidR="0C856F1D" w:rsidRPr="006205AE">
        <w:rPr>
          <w:rFonts w:ascii="Calibri" w:hAnsi="Calibri" w:cs="Calibri"/>
          <w:sz w:val="18"/>
          <w:szCs w:val="18"/>
        </w:rPr>
        <w:t>, 2025.</w:t>
      </w:r>
    </w:p>
  </w:footnote>
  <w:footnote w:id="31">
    <w:p w14:paraId="5BA0B7BA" w14:textId="7B8454C5" w:rsidR="00477611" w:rsidRPr="006205AE" w:rsidRDefault="00477611" w:rsidP="001E5A06">
      <w:pPr>
        <w:spacing w:before="0" w:after="0" w:line="278" w:lineRule="auto"/>
        <w:contextualSpacing/>
        <w:rPr>
          <w:rFonts w:cs="Calibri"/>
          <w:i/>
          <w:color w:val="467886" w:themeColor="hyperlink"/>
          <w:sz w:val="18"/>
          <w:szCs w:val="18"/>
          <w:u w:val="single"/>
        </w:rPr>
      </w:pPr>
      <w:r w:rsidRPr="006205AE">
        <w:rPr>
          <w:rStyle w:val="FootnoteReference"/>
          <w:rFonts w:cs="Calibri"/>
          <w:sz w:val="18"/>
          <w:szCs w:val="18"/>
        </w:rPr>
        <w:footnoteRef/>
      </w:r>
      <w:r w:rsidR="00F9054C" w:rsidRPr="006205AE">
        <w:rPr>
          <w:rFonts w:cs="Calibri"/>
          <w:kern w:val="2"/>
          <w:sz w:val="18"/>
          <w:szCs w:val="18"/>
          <w:lang w:eastAsia="en-US"/>
          <w14:ligatures w14:val="standardContextual"/>
        </w:rPr>
        <w:t xml:space="preserve"> </w:t>
      </w:r>
      <w:r w:rsidR="009966FF" w:rsidRPr="006205AE">
        <w:rPr>
          <w:rFonts w:cs="Calibri"/>
          <w:kern w:val="2"/>
          <w:sz w:val="18"/>
          <w:szCs w:val="18"/>
          <w:lang w:eastAsia="en-US"/>
          <w14:ligatures w14:val="standardContextual"/>
        </w:rPr>
        <w:t xml:space="preserve">FSISAC, </w:t>
      </w:r>
      <w:hyperlink r:id="rId33" w:anchor=":~:text=FS%2DISAC's%20guidance%20underscores%20thestrategy%20 and%20disaster%20recovery%20plans." w:history="1">
        <w:r w:rsidR="000F29E8" w:rsidRPr="006205AE">
          <w:rPr>
            <w:rStyle w:val="Hyperlink"/>
            <w:rFonts w:cs="Calibri"/>
            <w:kern w:val="2"/>
            <w:sz w:val="18"/>
            <w:szCs w:val="18"/>
            <w:lang w:eastAsia="en-US"/>
            <w14:ligatures w14:val="standardContextual"/>
          </w:rPr>
          <w:t>FS-ISAC Releases Critical Guidance on Subsea Cable Risks for Financial Firms</w:t>
        </w:r>
      </w:hyperlink>
      <w:r w:rsidR="000F29E8" w:rsidRPr="006205AE">
        <w:rPr>
          <w:rFonts w:cs="Calibri"/>
          <w:sz w:val="18"/>
          <w:szCs w:val="18"/>
        </w:rPr>
        <w:t xml:space="preserve">, </w:t>
      </w:r>
      <w:r w:rsidR="00106E68" w:rsidRPr="006205AE">
        <w:rPr>
          <w:rFonts w:cs="Calibri"/>
          <w:sz w:val="18"/>
          <w:szCs w:val="18"/>
        </w:rPr>
        <w:t>December 2024.</w:t>
      </w:r>
    </w:p>
  </w:footnote>
  <w:footnote w:id="32">
    <w:p w14:paraId="15FEC79F" w14:textId="163ECBE3" w:rsidR="00C13EDC" w:rsidRPr="006205AE" w:rsidRDefault="00C13EDC">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European Council, </w:t>
      </w:r>
      <w:hyperlink r:id="rId34" w:anchor=":~:text=Transport%2C%20Telecommunications%20and%20Energy%20Council%20(Telecommunications)%2C%206%20June%202025">
        <w:r w:rsidR="0C856F1D" w:rsidRPr="006205AE">
          <w:rPr>
            <w:rStyle w:val="Hyperlink"/>
            <w:rFonts w:ascii="Calibri" w:hAnsi="Calibri" w:cs="Calibri"/>
            <w:sz w:val="18"/>
            <w:szCs w:val="18"/>
          </w:rPr>
          <w:t>Transport, Telecommunications and Energy Council Conclusions</w:t>
        </w:r>
      </w:hyperlink>
      <w:r w:rsidR="0C856F1D" w:rsidRPr="006205AE">
        <w:rPr>
          <w:rFonts w:ascii="Calibri" w:hAnsi="Calibri" w:cs="Calibri"/>
          <w:sz w:val="18"/>
          <w:szCs w:val="18"/>
        </w:rPr>
        <w:t>, June 2025.</w:t>
      </w:r>
    </w:p>
  </w:footnote>
  <w:footnote w:id="33">
    <w:p w14:paraId="7FEE6DB9" w14:textId="7F841919" w:rsidR="002873D0" w:rsidRPr="006205AE" w:rsidRDefault="002873D0">
      <w:pPr>
        <w:pStyle w:val="FootnoteText"/>
        <w:rPr>
          <w:rFonts w:ascii="Calibri" w:hAnsi="Calibri" w:cs="Calibri"/>
          <w:sz w:val="18"/>
          <w:szCs w:val="18"/>
        </w:rPr>
      </w:pPr>
      <w:r w:rsidRPr="006205AE">
        <w:rPr>
          <w:rStyle w:val="FootnoteReference"/>
          <w:rFonts w:ascii="Calibri" w:hAnsi="Calibri" w:cs="Calibri"/>
          <w:sz w:val="18"/>
          <w:szCs w:val="18"/>
        </w:rPr>
        <w:footnoteRef/>
      </w:r>
      <w:r w:rsidR="7FC664B4" w:rsidRPr="006205AE">
        <w:rPr>
          <w:rFonts w:ascii="Calibri" w:hAnsi="Calibri" w:cs="Calibri"/>
          <w:sz w:val="18"/>
          <w:szCs w:val="18"/>
        </w:rPr>
        <w:t xml:space="preserve"> ESPON, </w:t>
      </w:r>
      <w:hyperlink r:id="rId35">
        <w:r w:rsidR="7FC664B4" w:rsidRPr="006205AE">
          <w:rPr>
            <w:rStyle w:val="Hyperlink"/>
            <w:rFonts w:ascii="Calibri" w:hAnsi="Calibri" w:cs="Calibri"/>
            <w:sz w:val="18"/>
            <w:szCs w:val="18"/>
          </w:rPr>
          <w:t>DigiReg – Territorial Perspectives of Digital Transition in European Regions</w:t>
        </w:r>
      </w:hyperlink>
      <w:r w:rsidR="7FC664B4" w:rsidRPr="006205AE">
        <w:rPr>
          <w:rFonts w:ascii="Calibri" w:hAnsi="Calibri" w:cs="Calibri"/>
          <w:sz w:val="18"/>
          <w:szCs w:val="18"/>
        </w:rPr>
        <w:t>, 2024.</w:t>
      </w:r>
    </w:p>
  </w:footnote>
  <w:footnote w:id="34">
    <w:p w14:paraId="273A8F66" w14:textId="1F217823" w:rsidR="00F74094" w:rsidRPr="006205AE" w:rsidRDefault="00F74094"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European Commission, </w:t>
      </w:r>
      <w:hyperlink r:id="rId36">
        <w:r w:rsidR="0C856F1D" w:rsidRPr="006205AE">
          <w:rPr>
            <w:rStyle w:val="Hyperlink"/>
            <w:rFonts w:ascii="Calibri" w:hAnsi="Calibri" w:cs="Calibri"/>
            <w:sz w:val="18"/>
            <w:szCs w:val="18"/>
          </w:rPr>
          <w:t>The Digital Networks Act | Shaping Europe’s digital future</w:t>
        </w:r>
      </w:hyperlink>
      <w:r w:rsidR="0C856F1D" w:rsidRPr="006205AE">
        <w:rPr>
          <w:rFonts w:ascii="Calibri" w:hAnsi="Calibri" w:cs="Calibri"/>
          <w:sz w:val="18"/>
          <w:szCs w:val="18"/>
        </w:rPr>
        <w:t>, January 2026.</w:t>
      </w:r>
    </w:p>
  </w:footnote>
  <w:footnote w:id="35">
    <w:p w14:paraId="5CA9A5C5" w14:textId="4CD11B08" w:rsidR="000611A2" w:rsidRPr="006205AE" w:rsidRDefault="000611A2">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GSMA, </w:t>
      </w:r>
      <w:hyperlink r:id="rId37">
        <w:r w:rsidR="0C856F1D" w:rsidRPr="006205AE">
          <w:rPr>
            <w:rStyle w:val="Hyperlink"/>
            <w:rFonts w:ascii="Calibri" w:hAnsi="Calibri" w:cs="Calibri"/>
            <w:sz w:val="18"/>
            <w:szCs w:val="18"/>
          </w:rPr>
          <w:t>The Mobile Economy Europe 2025</w:t>
        </w:r>
      </w:hyperlink>
      <w:r w:rsidR="0C856F1D" w:rsidRPr="006205AE">
        <w:rPr>
          <w:rFonts w:ascii="Calibri" w:hAnsi="Calibri" w:cs="Calibri"/>
          <w:sz w:val="18"/>
          <w:szCs w:val="18"/>
        </w:rPr>
        <w:t xml:space="preserve">, 2025. </w:t>
      </w:r>
    </w:p>
  </w:footnote>
  <w:footnote w:id="36">
    <w:p w14:paraId="2E1CAE55" w14:textId="5B17C0D5" w:rsidR="00385394" w:rsidRPr="006205AE" w:rsidRDefault="00385394"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0FE4A29" w:rsidRPr="006205AE">
        <w:rPr>
          <w:rFonts w:ascii="Calibri" w:hAnsi="Calibri" w:cs="Calibri"/>
          <w:sz w:val="18"/>
          <w:szCs w:val="18"/>
        </w:rPr>
        <w:t xml:space="preserve"> </w:t>
      </w:r>
      <w:r w:rsidR="00752D16" w:rsidRPr="006205AE">
        <w:rPr>
          <w:rFonts w:ascii="Calibri" w:hAnsi="Calibri" w:cs="Calibri"/>
          <w:sz w:val="18"/>
          <w:szCs w:val="18"/>
        </w:rPr>
        <w:t xml:space="preserve">Commission Staff Working Document – Impact assessment report accompanying proposal for a Regulation on Digital Networks (Digital </w:t>
      </w:r>
      <w:r w:rsidR="06627ACF" w:rsidRPr="006205AE">
        <w:rPr>
          <w:rFonts w:ascii="Calibri" w:hAnsi="Calibri" w:cs="Calibri"/>
          <w:sz w:val="18"/>
          <w:szCs w:val="18"/>
        </w:rPr>
        <w:t>Networks</w:t>
      </w:r>
      <w:r w:rsidR="00752D16" w:rsidRPr="006205AE">
        <w:rPr>
          <w:rFonts w:ascii="Calibri" w:hAnsi="Calibri" w:cs="Calibri"/>
          <w:sz w:val="18"/>
          <w:szCs w:val="18"/>
        </w:rPr>
        <w:t xml:space="preserve"> Act). </w:t>
      </w:r>
    </w:p>
  </w:footnote>
  <w:footnote w:id="37">
    <w:p w14:paraId="053F1771" w14:textId="77777777" w:rsidR="00A521B5" w:rsidRPr="006205AE" w:rsidRDefault="00A521B5" w:rsidP="00A521B5">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Style w:val="FootnoteReference"/>
          <w:rFonts w:ascii="Calibri" w:hAnsi="Calibri" w:cs="Calibri"/>
          <w:sz w:val="18"/>
          <w:szCs w:val="18"/>
        </w:rPr>
        <w:t xml:space="preserve"> </w:t>
      </w:r>
      <w:r w:rsidRPr="006205AE">
        <w:rPr>
          <w:rFonts w:ascii="Calibri" w:hAnsi="Calibri" w:cs="Calibri"/>
          <w:sz w:val="18"/>
          <w:szCs w:val="18"/>
        </w:rPr>
        <w:t>Connect Europe (2025), State of Digital Communication</w:t>
      </w:r>
    </w:p>
  </w:footnote>
  <w:footnote w:id="38">
    <w:p w14:paraId="516DA69E" w14:textId="38CB7BCC" w:rsidR="702F539A" w:rsidRPr="006205AE" w:rsidRDefault="702F539A" w:rsidP="00503F4F">
      <w:pPr>
        <w:spacing w:before="0" w:after="0" w:line="278" w:lineRule="auto"/>
        <w:rPr>
          <w:rFonts w:cs="Calibri"/>
          <w:sz w:val="18"/>
          <w:szCs w:val="18"/>
        </w:rPr>
      </w:pPr>
      <w:r w:rsidRPr="006205AE">
        <w:rPr>
          <w:rStyle w:val="FootnoteReference"/>
          <w:rFonts w:cs="Calibri"/>
          <w:sz w:val="18"/>
          <w:szCs w:val="18"/>
          <w:lang w:eastAsia="en-US"/>
        </w:rPr>
        <w:footnoteRef/>
      </w:r>
      <w:r w:rsidR="469DBB28" w:rsidRPr="006205AE">
        <w:rPr>
          <w:rFonts w:cs="Calibri"/>
          <w:sz w:val="18"/>
          <w:szCs w:val="18"/>
        </w:rPr>
        <w:t xml:space="preserve"> European Commission, </w:t>
      </w:r>
      <w:hyperlink r:id="rId38" w:history="1">
        <w:r w:rsidR="469DBB28" w:rsidRPr="006205AE">
          <w:rPr>
            <w:rStyle w:val="Hyperlink"/>
            <w:rFonts w:cs="Calibri"/>
            <w:sz w:val="18"/>
            <w:szCs w:val="18"/>
          </w:rPr>
          <w:t>European 5G Observatory 2026</w:t>
        </w:r>
      </w:hyperlink>
      <w:r w:rsidR="469DBB28" w:rsidRPr="006205AE">
        <w:rPr>
          <w:rFonts w:cs="Calibri"/>
          <w:sz w:val="18"/>
          <w:szCs w:val="18"/>
        </w:rPr>
        <w:t>, 2026 (based on 2025 data published by operators and regulators, verified through interviews and complemented by IDATE estimates, as needed).</w:t>
      </w:r>
    </w:p>
  </w:footnote>
  <w:footnote w:id="39">
    <w:p w14:paraId="6F054861" w14:textId="77777777" w:rsidR="00BF78E3" w:rsidRPr="00BF78E3" w:rsidRDefault="00BF78E3">
      <w:pPr>
        <w:pStyle w:val="FootnoteText"/>
      </w:pPr>
      <w:r>
        <w:rPr>
          <w:rStyle w:val="FootnoteReference"/>
        </w:rPr>
        <w:footnoteRef/>
      </w:r>
      <w:r>
        <w:t xml:space="preserve"> </w:t>
      </w:r>
      <w:r w:rsidRPr="006205AE">
        <w:rPr>
          <w:rFonts w:cs="Calibri"/>
          <w:sz w:val="18"/>
          <w:szCs w:val="18"/>
        </w:rPr>
        <w:t>European Commission,</w:t>
      </w:r>
      <w:r w:rsidRPr="006205AE">
        <w:rPr>
          <w:rStyle w:val="FootnoteReference"/>
          <w:rFonts w:cs="Calibri"/>
          <w:sz w:val="18"/>
          <w:szCs w:val="18"/>
        </w:rPr>
        <w:t xml:space="preserve"> </w:t>
      </w:r>
      <w:hyperlink r:id="rId39" w:history="1">
        <w:r w:rsidRPr="006205AE">
          <w:rPr>
            <w:rStyle w:val="Hyperlink"/>
            <w:rFonts w:cs="Calibri"/>
            <w:sz w:val="18"/>
            <w:szCs w:val="18"/>
          </w:rPr>
          <w:t>European 5G Observatory 2026</w:t>
        </w:r>
      </w:hyperlink>
      <w:r w:rsidRPr="006205AE">
        <w:rPr>
          <w:rFonts w:cs="Calibri"/>
          <w:sz w:val="18"/>
          <w:szCs w:val="18"/>
        </w:rPr>
        <w:t>, 2026.</w:t>
      </w:r>
    </w:p>
  </w:footnote>
  <w:footnote w:id="40">
    <w:p w14:paraId="3A3A96D2" w14:textId="49CDE42D" w:rsidR="001B5BC3" w:rsidRPr="006205AE" w:rsidRDefault="001B5BC3"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751B3B" w:rsidRPr="006205AE">
        <w:rPr>
          <w:rFonts w:ascii="Calibri" w:hAnsi="Calibri" w:cs="Calibri"/>
          <w:sz w:val="18"/>
          <w:szCs w:val="18"/>
        </w:rPr>
        <w:t xml:space="preserve">Ookla/Omdia, </w:t>
      </w:r>
      <w:hyperlink r:id="rId40" w:history="1">
        <w:r w:rsidR="00751B3B" w:rsidRPr="006205AE">
          <w:rPr>
            <w:rStyle w:val="Hyperlink"/>
            <w:rFonts w:ascii="Calibri" w:hAnsi="Calibri" w:cs="Calibri"/>
            <w:sz w:val="18"/>
            <w:szCs w:val="18"/>
          </w:rPr>
          <w:t>A Global Evaluation of Europe's Digital Competitiveness in 5G SA</w:t>
        </w:r>
      </w:hyperlink>
      <w:r w:rsidR="00751B3B" w:rsidRPr="006205AE">
        <w:rPr>
          <w:rFonts w:ascii="Calibri" w:hAnsi="Calibri" w:cs="Calibri"/>
          <w:sz w:val="18"/>
          <w:szCs w:val="18"/>
        </w:rPr>
        <w:t>, February 2025; updated figures from Ookla, 5G SA Global Tracking, Q4 2025, February 2026.</w:t>
      </w:r>
    </w:p>
  </w:footnote>
  <w:footnote w:id="41">
    <w:p w14:paraId="491003C3" w14:textId="6738EE3E" w:rsidR="4EC05594" w:rsidRPr="006205AE" w:rsidRDefault="4EC05594" w:rsidP="00503F4F">
      <w:pPr>
        <w:spacing w:before="0" w:after="0" w:line="278" w:lineRule="auto"/>
        <w:jc w:val="left"/>
        <w:rPr>
          <w:rFonts w:cs="Calibri"/>
          <w:sz w:val="18"/>
          <w:szCs w:val="18"/>
        </w:rPr>
      </w:pPr>
      <w:r w:rsidRPr="006205AE">
        <w:rPr>
          <w:rStyle w:val="FootnoteReference"/>
          <w:rFonts w:cs="Calibri"/>
          <w:sz w:val="18"/>
          <w:szCs w:val="18"/>
          <w:lang w:eastAsia="en-US"/>
        </w:rPr>
        <w:footnoteRef/>
      </w:r>
      <w:r w:rsidR="04AC392D" w:rsidRPr="006205AE">
        <w:rPr>
          <w:rFonts w:cs="Calibri"/>
          <w:sz w:val="18"/>
          <w:szCs w:val="18"/>
        </w:rPr>
        <w:t xml:space="preserve"> </w:t>
      </w:r>
      <w:r w:rsidR="00EF57C9" w:rsidRPr="006205AE">
        <w:rPr>
          <w:rFonts w:cs="Calibri"/>
          <w:sz w:val="18"/>
          <w:szCs w:val="18"/>
          <w:lang w:eastAsia="en-US"/>
        </w:rPr>
        <w:t xml:space="preserve">MedUX, </w:t>
      </w:r>
      <w:hyperlink r:id="rId41" w:history="1">
        <w:r w:rsidR="00EF57C9" w:rsidRPr="006205AE">
          <w:rPr>
            <w:rStyle w:val="Hyperlink"/>
            <w:rFonts w:cs="Calibri"/>
            <w:sz w:val="18"/>
            <w:szCs w:val="18"/>
            <w:lang w:eastAsia="en-US"/>
          </w:rPr>
          <w:t>Status of 5G Quality and Experience in Europe</w:t>
        </w:r>
      </w:hyperlink>
      <w:r w:rsidR="00EF57C9" w:rsidRPr="006205AE">
        <w:rPr>
          <w:rFonts w:cs="Calibri"/>
          <w:sz w:val="18"/>
          <w:szCs w:val="18"/>
          <w:lang w:eastAsia="en-US"/>
        </w:rPr>
        <w:t>, Report prepared for the European Commission, Q1 2025.</w:t>
      </w:r>
    </w:p>
  </w:footnote>
  <w:footnote w:id="42">
    <w:p w14:paraId="637B7FB2" w14:textId="2F00DCC4" w:rsidR="000015EF" w:rsidRPr="006205AE" w:rsidRDefault="000015EF"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F26A92" w:rsidRPr="006205AE">
        <w:rPr>
          <w:rFonts w:ascii="Calibri" w:hAnsi="Calibri" w:cs="Calibri"/>
          <w:sz w:val="18"/>
          <w:szCs w:val="18"/>
        </w:rPr>
        <w:t xml:space="preserve">Briglauer, Wolfgang; Cambini, Carlo; Gugler, Klaus, Sabatino, Lorien (2025): Economic benefits of new broadband network coverage and service adoption: evidence from OECD member states, </w:t>
      </w:r>
      <w:hyperlink r:id="rId42">
        <w:r w:rsidR="0C856F1D" w:rsidRPr="006205AE">
          <w:rPr>
            <w:rStyle w:val="Hyperlink"/>
            <w:rFonts w:ascii="Calibri" w:hAnsi="Calibri" w:cs="Calibri"/>
            <w:sz w:val="18"/>
            <w:szCs w:val="18"/>
          </w:rPr>
          <w:t>Industrial and Corporate Change</w:t>
        </w:r>
      </w:hyperlink>
      <w:r w:rsidR="00F26A92" w:rsidRPr="006205AE">
        <w:rPr>
          <w:rFonts w:ascii="Calibri" w:hAnsi="Calibri" w:cs="Calibri"/>
          <w:sz w:val="18"/>
          <w:szCs w:val="18"/>
        </w:rPr>
        <w:t>,</w:t>
      </w:r>
      <w:r w:rsidR="00CD25B9" w:rsidRPr="006205AE">
        <w:rPr>
          <w:rFonts w:ascii="Calibri" w:hAnsi="Calibri" w:cs="Calibri"/>
          <w:sz w:val="18"/>
          <w:szCs w:val="18"/>
        </w:rPr>
        <w:t xml:space="preserve"> January</w:t>
      </w:r>
      <w:r w:rsidR="00F26A92" w:rsidRPr="006205AE">
        <w:rPr>
          <w:rFonts w:ascii="Calibri" w:hAnsi="Calibri" w:cs="Calibri"/>
          <w:sz w:val="18"/>
          <w:szCs w:val="18"/>
        </w:rPr>
        <w:t xml:space="preserve"> 2025</w:t>
      </w:r>
      <w:r w:rsidR="00163BEA" w:rsidRPr="006205AE">
        <w:rPr>
          <w:rFonts w:ascii="Calibri" w:hAnsi="Calibri" w:cs="Calibri"/>
          <w:sz w:val="18"/>
          <w:szCs w:val="18"/>
        </w:rPr>
        <w:t>. S</w:t>
      </w:r>
      <w:r w:rsidR="00F26A92" w:rsidRPr="006205AE">
        <w:rPr>
          <w:rFonts w:ascii="Calibri" w:hAnsi="Calibri" w:cs="Calibri"/>
          <w:sz w:val="18"/>
          <w:szCs w:val="18"/>
        </w:rPr>
        <w:t>ee also</w:t>
      </w:r>
      <w:r w:rsidR="00184AE2" w:rsidRPr="006205AE">
        <w:rPr>
          <w:rFonts w:ascii="Calibri" w:hAnsi="Calibri" w:cs="Calibri"/>
          <w:sz w:val="18"/>
          <w:szCs w:val="18"/>
        </w:rPr>
        <w:t>:</w:t>
      </w:r>
      <w:r w:rsidR="00F26A92" w:rsidRPr="006205AE">
        <w:rPr>
          <w:rFonts w:ascii="Calibri" w:hAnsi="Calibri" w:cs="Calibri"/>
          <w:sz w:val="18"/>
          <w:szCs w:val="18"/>
        </w:rPr>
        <w:t xml:space="preserve"> </w:t>
      </w:r>
      <w:r w:rsidR="00FF063E" w:rsidRPr="006205AE">
        <w:rPr>
          <w:rFonts w:ascii="Calibri" w:hAnsi="Calibri" w:cs="Calibri"/>
          <w:sz w:val="18"/>
          <w:szCs w:val="18"/>
        </w:rPr>
        <w:t>Edquist</w:t>
      </w:r>
      <w:r w:rsidR="00BC1453" w:rsidRPr="006205AE">
        <w:rPr>
          <w:rFonts w:ascii="Calibri" w:hAnsi="Calibri" w:cs="Calibri"/>
          <w:sz w:val="18"/>
          <w:szCs w:val="18"/>
        </w:rPr>
        <w:t>,</w:t>
      </w:r>
      <w:r w:rsidR="00FF063E" w:rsidRPr="006205AE">
        <w:rPr>
          <w:rFonts w:ascii="Calibri" w:hAnsi="Calibri" w:cs="Calibri"/>
          <w:sz w:val="18"/>
          <w:szCs w:val="18"/>
        </w:rPr>
        <w:t xml:space="preserve"> H</w:t>
      </w:r>
      <w:r w:rsidR="00BC1453" w:rsidRPr="006205AE">
        <w:rPr>
          <w:rFonts w:ascii="Calibri" w:hAnsi="Calibri" w:cs="Calibri"/>
          <w:sz w:val="18"/>
          <w:szCs w:val="18"/>
        </w:rPr>
        <w:t>., "</w:t>
      </w:r>
      <w:hyperlink r:id="rId43" w:history="1">
        <w:r w:rsidR="00BC1453" w:rsidRPr="006205AE">
          <w:rPr>
            <w:rStyle w:val="Hyperlink"/>
            <w:rFonts w:ascii="Calibri" w:hAnsi="Calibri" w:cs="Calibri"/>
            <w:sz w:val="18"/>
            <w:szCs w:val="18"/>
          </w:rPr>
          <w:t>The Economic Impact of Mobile Broadband Speed</w:t>
        </w:r>
      </w:hyperlink>
      <w:r w:rsidR="00BC1453" w:rsidRPr="006205AE">
        <w:rPr>
          <w:rFonts w:ascii="Calibri" w:hAnsi="Calibri" w:cs="Calibri"/>
          <w:sz w:val="18"/>
          <w:szCs w:val="18"/>
        </w:rPr>
        <w:t>,"</w:t>
      </w:r>
      <w:r w:rsidR="00FF063E" w:rsidRPr="006205AE">
        <w:rPr>
          <w:rFonts w:ascii="Calibri" w:hAnsi="Calibri" w:cs="Calibri"/>
          <w:sz w:val="18"/>
          <w:szCs w:val="18"/>
        </w:rPr>
        <w:t xml:space="preserve"> 23rd Biennial Conference of the International </w:t>
      </w:r>
      <w:r w:rsidR="00BC1453" w:rsidRPr="006205AE">
        <w:rPr>
          <w:rFonts w:ascii="Calibri" w:hAnsi="Calibri" w:cs="Calibri"/>
          <w:sz w:val="18"/>
          <w:szCs w:val="18"/>
        </w:rPr>
        <w:t>Telecommunications Society (ITS),</w:t>
      </w:r>
      <w:r w:rsidR="00FF063E" w:rsidRPr="006205AE">
        <w:rPr>
          <w:rFonts w:ascii="Calibri" w:hAnsi="Calibri" w:cs="Calibri"/>
          <w:sz w:val="18"/>
          <w:szCs w:val="18"/>
        </w:rPr>
        <w:t xml:space="preserve"> June</w:t>
      </w:r>
      <w:r w:rsidR="00BC1453" w:rsidRPr="006205AE">
        <w:rPr>
          <w:rFonts w:ascii="Calibri" w:hAnsi="Calibri" w:cs="Calibri"/>
          <w:sz w:val="18"/>
          <w:szCs w:val="18"/>
        </w:rPr>
        <w:t xml:space="preserve"> </w:t>
      </w:r>
      <w:r w:rsidR="00FF063E" w:rsidRPr="006205AE">
        <w:rPr>
          <w:rFonts w:ascii="Calibri" w:hAnsi="Calibri" w:cs="Calibri"/>
          <w:sz w:val="18"/>
          <w:szCs w:val="18"/>
        </w:rPr>
        <w:t>2021</w:t>
      </w:r>
      <w:r w:rsidR="00BC1453" w:rsidRPr="006205AE">
        <w:rPr>
          <w:rFonts w:ascii="Calibri" w:hAnsi="Calibri" w:cs="Calibri"/>
          <w:sz w:val="18"/>
          <w:szCs w:val="18"/>
        </w:rPr>
        <w:t>;</w:t>
      </w:r>
      <w:r w:rsidR="002A2B42" w:rsidRPr="006205AE">
        <w:rPr>
          <w:rFonts w:ascii="Calibri" w:hAnsi="Calibri" w:cs="Calibri"/>
          <w:sz w:val="18"/>
          <w:szCs w:val="18"/>
        </w:rPr>
        <w:t xml:space="preserve"> and </w:t>
      </w:r>
      <w:r w:rsidR="083413F4" w:rsidRPr="006205AE">
        <w:rPr>
          <w:rFonts w:ascii="Calibri" w:hAnsi="Calibri" w:cs="Calibri"/>
          <w:sz w:val="18"/>
          <w:szCs w:val="18"/>
        </w:rPr>
        <w:t>Oxford Economics</w:t>
      </w:r>
      <w:r w:rsidR="002A2B42" w:rsidRPr="006205AE">
        <w:rPr>
          <w:rFonts w:ascii="Calibri" w:hAnsi="Calibri" w:cs="Calibri"/>
          <w:sz w:val="18"/>
          <w:szCs w:val="18"/>
        </w:rPr>
        <w:t>,</w:t>
      </w:r>
      <w:r w:rsidR="083413F4" w:rsidRPr="006205AE">
        <w:rPr>
          <w:rFonts w:ascii="Calibri" w:hAnsi="Calibri" w:cs="Calibri"/>
          <w:sz w:val="18"/>
          <w:szCs w:val="18"/>
        </w:rPr>
        <w:t xml:space="preserve"> </w:t>
      </w:r>
      <w:hyperlink r:id="rId44" w:history="1">
        <w:r w:rsidR="083413F4" w:rsidRPr="006205AE">
          <w:rPr>
            <w:rStyle w:val="Hyperlink"/>
            <w:rFonts w:ascii="Calibri" w:hAnsi="Calibri" w:cs="Calibri"/>
            <w:sz w:val="18"/>
            <w:szCs w:val="18"/>
          </w:rPr>
          <w:t>The Global Economic Potential of 5G-Enabled Technology</w:t>
        </w:r>
      </w:hyperlink>
      <w:r w:rsidR="00587582" w:rsidRPr="006205AE">
        <w:rPr>
          <w:rFonts w:ascii="Calibri" w:hAnsi="Calibri" w:cs="Calibri"/>
          <w:sz w:val="18"/>
          <w:szCs w:val="18"/>
        </w:rPr>
        <w:t>, March 2023</w:t>
      </w:r>
      <w:r w:rsidR="00E37E0B" w:rsidRPr="006205AE">
        <w:rPr>
          <w:rFonts w:ascii="Calibri" w:hAnsi="Calibri" w:cs="Calibri"/>
          <w:sz w:val="18"/>
          <w:szCs w:val="18"/>
        </w:rPr>
        <w:t>.</w:t>
      </w:r>
    </w:p>
  </w:footnote>
  <w:footnote w:id="43">
    <w:p w14:paraId="63584628" w14:textId="4280674D" w:rsidR="000015EF" w:rsidRPr="006205AE" w:rsidRDefault="000015EF" w:rsidP="00503F4F">
      <w:pPr>
        <w:spacing w:before="0" w:after="0" w:line="278" w:lineRule="auto"/>
        <w:jc w:val="left"/>
        <w:rPr>
          <w:rFonts w:cs="Calibri"/>
          <w:kern w:val="2"/>
          <w:sz w:val="18"/>
          <w:szCs w:val="18"/>
          <w:lang w:eastAsia="en-US"/>
          <w14:ligatures w14:val="standardContextual"/>
        </w:rPr>
      </w:pPr>
      <w:r w:rsidRPr="006205AE">
        <w:rPr>
          <w:rStyle w:val="FootnoteReference"/>
          <w:rFonts w:cs="Calibri"/>
          <w:sz w:val="18"/>
          <w:szCs w:val="18"/>
        </w:rPr>
        <w:footnoteRef/>
      </w:r>
      <w:r w:rsidR="0C856F1D" w:rsidRPr="006205AE">
        <w:rPr>
          <w:rFonts w:cs="Calibri"/>
          <w:sz w:val="18"/>
          <w:szCs w:val="18"/>
        </w:rPr>
        <w:t xml:space="preserve"> </w:t>
      </w:r>
      <w:r w:rsidR="0C856F1D" w:rsidRPr="006205AE">
        <w:rPr>
          <w:rFonts w:cs="Calibri"/>
          <w:kern w:val="2"/>
          <w:sz w:val="18"/>
          <w:szCs w:val="18"/>
          <w:lang w:eastAsia="en-US"/>
          <w14:ligatures w14:val="standardContextual"/>
        </w:rPr>
        <w:t xml:space="preserve">Edquist H. </w:t>
      </w:r>
      <w:hyperlink r:id="rId45" w:history="1">
        <w:r w:rsidR="0C856F1D" w:rsidRPr="006205AE">
          <w:rPr>
            <w:rStyle w:val="Hyperlink"/>
            <w:rFonts w:cs="Calibri"/>
            <w:kern w:val="2"/>
            <w:sz w:val="18"/>
            <w:szCs w:val="18"/>
            <w:lang w:eastAsia="en-US"/>
            <w14:ligatures w14:val="standardContextual"/>
          </w:rPr>
          <w:t>“The Economic Impact of Mobile Broadband Speed”, 23rd Biennial Conference of the International Telecommunications Society (ITS)</w:t>
        </w:r>
      </w:hyperlink>
      <w:r w:rsidR="0C856F1D" w:rsidRPr="006205AE">
        <w:rPr>
          <w:rFonts w:cs="Calibri"/>
          <w:kern w:val="2"/>
          <w:sz w:val="18"/>
          <w:szCs w:val="18"/>
          <w:lang w:eastAsia="en-US"/>
          <w14:ligatures w14:val="standardContextual"/>
        </w:rPr>
        <w:t>, June 2021.</w:t>
      </w:r>
    </w:p>
  </w:footnote>
  <w:footnote w:id="44">
    <w:p w14:paraId="1C3399C9" w14:textId="0DE9A0B4" w:rsidR="00750A33" w:rsidRPr="006205AE" w:rsidRDefault="00750A33" w:rsidP="00503F4F">
      <w:pPr>
        <w:pStyle w:val="FootnoteText"/>
        <w:spacing w:line="278" w:lineRule="auto"/>
        <w:rPr>
          <w:rFonts w:ascii="Calibri" w:hAnsi="Calibri" w:cs="Calibri"/>
          <w:sz w:val="18"/>
          <w:szCs w:val="18"/>
          <w:lang w:val="en-IE"/>
        </w:rPr>
      </w:pPr>
      <w:r w:rsidRPr="006205AE">
        <w:rPr>
          <w:rStyle w:val="FootnoteReference"/>
          <w:rFonts w:ascii="Calibri" w:hAnsi="Calibri" w:cs="Calibri"/>
          <w:sz w:val="18"/>
          <w:szCs w:val="18"/>
        </w:rPr>
        <w:footnoteRef/>
      </w:r>
      <w:r w:rsidRPr="006205AE">
        <w:rPr>
          <w:rFonts w:ascii="Calibri" w:hAnsi="Calibri" w:cs="Calibri"/>
          <w:sz w:val="18"/>
          <w:szCs w:val="18"/>
          <w:lang w:val="en-IE"/>
        </w:rPr>
        <w:t xml:space="preserve"> </w:t>
      </w:r>
      <w:r w:rsidR="008E70C1" w:rsidRPr="006205AE">
        <w:rPr>
          <w:rFonts w:ascii="Calibri" w:hAnsi="Calibri" w:cs="Calibri"/>
          <w:kern w:val="2"/>
          <w:sz w:val="18"/>
          <w:szCs w:val="18"/>
          <w14:ligatures w14:val="standardContextual"/>
        </w:rPr>
        <w:t xml:space="preserve">Global Mobile Suppliers Association (GSA), </w:t>
      </w:r>
      <w:hyperlink r:id="rId46" w:history="1">
        <w:r w:rsidR="008E70C1" w:rsidRPr="006205AE">
          <w:rPr>
            <w:rStyle w:val="Hyperlink"/>
            <w:rFonts w:ascii="Calibri" w:hAnsi="Calibri" w:cs="Calibri"/>
            <w:kern w:val="2"/>
            <w:sz w:val="18"/>
            <w:szCs w:val="18"/>
            <w14:ligatures w14:val="standardContextual"/>
          </w:rPr>
          <w:t>Private Mobile Networks Summary Report</w:t>
        </w:r>
      </w:hyperlink>
      <w:r w:rsidR="008E70C1" w:rsidRPr="006205AE">
        <w:rPr>
          <w:rFonts w:ascii="Calibri" w:hAnsi="Calibri" w:cs="Calibri"/>
          <w:kern w:val="2"/>
          <w:sz w:val="18"/>
          <w:szCs w:val="18"/>
          <w14:ligatures w14:val="standardContextual"/>
        </w:rPr>
        <w:t>, September 2024.</w:t>
      </w:r>
    </w:p>
  </w:footnote>
  <w:footnote w:id="45">
    <w:p w14:paraId="005B94B2" w14:textId="51AFE534" w:rsidR="6FB1F0E9" w:rsidRPr="006205AE" w:rsidRDefault="6FB1F0E9" w:rsidP="00503F4F">
      <w:pPr>
        <w:spacing w:before="0" w:after="0" w:line="278" w:lineRule="auto"/>
        <w:jc w:val="left"/>
        <w:rPr>
          <w:rFonts w:cs="Calibri"/>
          <w:sz w:val="18"/>
          <w:szCs w:val="18"/>
        </w:rPr>
      </w:pPr>
      <w:r w:rsidRPr="006205AE">
        <w:rPr>
          <w:rFonts w:cs="Calibri"/>
          <w:sz w:val="18"/>
          <w:szCs w:val="18"/>
          <w:vertAlign w:val="superscript"/>
        </w:rPr>
        <w:footnoteRef/>
      </w:r>
      <w:r w:rsidR="50A16846" w:rsidRPr="006205AE">
        <w:rPr>
          <w:rFonts w:cs="Calibri"/>
          <w:sz w:val="18"/>
          <w:szCs w:val="18"/>
        </w:rPr>
        <w:t xml:space="preserve"> </w:t>
      </w:r>
      <w:r w:rsidR="00F030FF" w:rsidRPr="006205AE">
        <w:rPr>
          <w:rFonts w:cs="Calibri"/>
          <w:sz w:val="18"/>
          <w:szCs w:val="18"/>
        </w:rPr>
        <w:t xml:space="preserve">European Commission, </w:t>
      </w:r>
      <w:hyperlink r:id="rId47" w:history="1">
        <w:r w:rsidR="50A16846" w:rsidRPr="006205AE">
          <w:rPr>
            <w:rStyle w:val="Hyperlink"/>
            <w:rFonts w:cs="Calibri"/>
            <w:sz w:val="18"/>
            <w:szCs w:val="18"/>
          </w:rPr>
          <w:t xml:space="preserve">European 5G Observatory </w:t>
        </w:r>
        <w:r w:rsidR="5FCDC78E" w:rsidRPr="006205AE">
          <w:rPr>
            <w:rStyle w:val="Hyperlink"/>
            <w:rFonts w:cs="Calibri"/>
            <w:sz w:val="18"/>
            <w:szCs w:val="18"/>
          </w:rPr>
          <w:t>2026</w:t>
        </w:r>
      </w:hyperlink>
      <w:r w:rsidR="50A16846" w:rsidRPr="006205AE">
        <w:rPr>
          <w:rFonts w:cs="Calibri"/>
          <w:sz w:val="18"/>
          <w:szCs w:val="18"/>
        </w:rPr>
        <w:t xml:space="preserve">, </w:t>
      </w:r>
      <w:r w:rsidR="5FCDC78E" w:rsidRPr="006205AE">
        <w:rPr>
          <w:rFonts w:cs="Calibri"/>
          <w:sz w:val="18"/>
          <w:szCs w:val="18"/>
        </w:rPr>
        <w:t>2026</w:t>
      </w:r>
      <w:r w:rsidR="00F030FF" w:rsidRPr="006205AE">
        <w:rPr>
          <w:rFonts w:cs="Calibri"/>
          <w:sz w:val="18"/>
          <w:szCs w:val="18"/>
        </w:rPr>
        <w:t>.</w:t>
      </w:r>
    </w:p>
  </w:footnote>
  <w:footnote w:id="46">
    <w:p w14:paraId="7A8CB3FE" w14:textId="02712594" w:rsidR="1FDC055D" w:rsidRPr="006205AE" w:rsidRDefault="1FDC055D" w:rsidP="00503F4F">
      <w:pPr>
        <w:spacing w:before="0" w:after="0" w:line="278" w:lineRule="auto"/>
        <w:rPr>
          <w:rFonts w:eastAsia="Times New Roman" w:cs="Calibri"/>
          <w:sz w:val="18"/>
          <w:szCs w:val="18"/>
        </w:rPr>
      </w:pPr>
      <w:r w:rsidRPr="006205AE">
        <w:rPr>
          <w:rStyle w:val="FootnoteReference"/>
          <w:rFonts w:cs="Calibri"/>
          <w:sz w:val="18"/>
          <w:szCs w:val="18"/>
          <w:lang w:eastAsia="en-US"/>
        </w:rPr>
        <w:footnoteRef/>
      </w:r>
      <w:r w:rsidR="0C856F1D" w:rsidRPr="006205AE">
        <w:rPr>
          <w:rStyle w:val="FootnoteReference"/>
          <w:rFonts w:cs="Calibri"/>
          <w:sz w:val="18"/>
          <w:szCs w:val="18"/>
          <w:lang w:eastAsia="en-US"/>
        </w:rPr>
        <w:t xml:space="preserve"> </w:t>
      </w:r>
      <w:r w:rsidR="00474C3F" w:rsidRPr="006205AE">
        <w:rPr>
          <w:rFonts w:cs="Calibri"/>
          <w:kern w:val="2"/>
          <w:sz w:val="18"/>
          <w:szCs w:val="18"/>
          <w:lang w:val="en-IE" w:eastAsia="en-US"/>
          <w14:ligatures w14:val="standardContextual"/>
        </w:rPr>
        <w:t xml:space="preserve">WIK-Consult, </w:t>
      </w:r>
      <w:hyperlink r:id="rId48" w:history="1">
        <w:r w:rsidR="00474C3F" w:rsidRPr="00474C3F">
          <w:rPr>
            <w:rStyle w:val="Hyperlink"/>
            <w:sz w:val="18"/>
            <w:szCs w:val="18"/>
          </w:rPr>
          <w:t>Investment and Funding Needs for the Digital Decade Connectivity Targets</w:t>
        </w:r>
      </w:hyperlink>
      <w:r w:rsidR="00474C3F" w:rsidRPr="00474C3F">
        <w:rPr>
          <w:sz w:val="18"/>
          <w:szCs w:val="18"/>
        </w:rPr>
        <w:t>, 2023</w:t>
      </w:r>
      <w:r w:rsidR="00474C3F" w:rsidRPr="006205AE">
        <w:rPr>
          <w:rFonts w:cs="Calibri"/>
          <w:sz w:val="18"/>
          <w:szCs w:val="18"/>
        </w:rPr>
        <w:t>.</w:t>
      </w:r>
    </w:p>
  </w:footnote>
  <w:footnote w:id="47">
    <w:p w14:paraId="6811687B" w14:textId="3C37D66E" w:rsidR="3A5F48C0" w:rsidRPr="006205AE" w:rsidRDefault="3A5F48C0" w:rsidP="00503F4F">
      <w:pPr>
        <w:pStyle w:val="FootnoteText"/>
        <w:spacing w:line="278" w:lineRule="auto"/>
        <w:rPr>
          <w:rFonts w:ascii="Calibri" w:hAnsi="Calibri" w:cs="Calibri"/>
          <w:sz w:val="18"/>
          <w:szCs w:val="18"/>
        </w:rPr>
      </w:pPr>
      <w:r w:rsidRPr="006205AE">
        <w:rPr>
          <w:rFonts w:ascii="Calibri" w:hAnsi="Calibri" w:cs="Calibri"/>
          <w:sz w:val="18"/>
          <w:szCs w:val="18"/>
          <w:vertAlign w:val="superscript"/>
        </w:rPr>
        <w:footnoteRef/>
      </w:r>
      <w:r w:rsidR="0C856F1D" w:rsidRPr="006205AE">
        <w:rPr>
          <w:rFonts w:ascii="Calibri" w:hAnsi="Calibri" w:cs="Calibri"/>
          <w:kern w:val="2"/>
          <w:sz w:val="18"/>
          <w:szCs w:val="18"/>
          <w:lang w:val="en-IE"/>
          <w14:ligatures w14:val="standardContextual"/>
        </w:rPr>
        <w:t xml:space="preserve"> </w:t>
      </w:r>
      <w:r w:rsidR="0C856F1D" w:rsidRPr="006205AE">
        <w:rPr>
          <w:rFonts w:ascii="Calibri" w:hAnsi="Calibri" w:cs="Calibri"/>
          <w:sz w:val="18"/>
          <w:szCs w:val="18"/>
        </w:rPr>
        <w:t xml:space="preserve">European Commission, </w:t>
      </w:r>
      <w:hyperlink r:id="rId49" w:history="1">
        <w:r w:rsidR="0C856F1D" w:rsidRPr="006205AE">
          <w:rPr>
            <w:rStyle w:val="Hyperlink"/>
            <w:rFonts w:ascii="Calibri" w:hAnsi="Calibri" w:cs="Calibri"/>
            <w:sz w:val="18"/>
            <w:szCs w:val="18"/>
          </w:rPr>
          <w:t>Commission announces €75 million EURO-3C Project to build a federated Telco-Edge-Cloud infrastructure for digital sovereignty,</w:t>
        </w:r>
      </w:hyperlink>
      <w:r w:rsidR="0C856F1D" w:rsidRPr="006205AE">
        <w:rPr>
          <w:rFonts w:ascii="Calibri" w:hAnsi="Calibri" w:cs="Calibri"/>
          <w:sz w:val="18"/>
          <w:szCs w:val="18"/>
        </w:rPr>
        <w:t xml:space="preserve"> March 2026.</w:t>
      </w:r>
    </w:p>
  </w:footnote>
  <w:footnote w:id="48">
    <w:p w14:paraId="207D3003" w14:textId="482D98C8" w:rsidR="7343A38D" w:rsidRPr="006205AE" w:rsidRDefault="7343A38D">
      <w:pPr>
        <w:rPr>
          <w:rFonts w:cs="Calibri"/>
          <w:sz w:val="18"/>
          <w:szCs w:val="18"/>
        </w:rPr>
      </w:pPr>
      <w:r w:rsidRPr="006205AE">
        <w:rPr>
          <w:rFonts w:cs="Calibri"/>
          <w:sz w:val="18"/>
          <w:szCs w:val="18"/>
          <w:vertAlign w:val="superscript"/>
        </w:rPr>
        <w:footnoteRef/>
      </w:r>
      <w:r w:rsidR="50A16846" w:rsidRPr="006205AE">
        <w:rPr>
          <w:rFonts w:cs="Calibri"/>
          <w:sz w:val="18"/>
          <w:szCs w:val="18"/>
        </w:rPr>
        <w:t xml:space="preserve"> </w:t>
      </w:r>
      <w:r w:rsidR="00283EF8" w:rsidRPr="006205AE">
        <w:rPr>
          <w:rFonts w:cs="Calibri"/>
          <w:sz w:val="18"/>
          <w:szCs w:val="18"/>
        </w:rPr>
        <w:t xml:space="preserve">European Commission, </w:t>
      </w:r>
      <w:hyperlink r:id="rId50" w:history="1">
        <w:r w:rsidR="50A16846" w:rsidRPr="006205AE">
          <w:rPr>
            <w:rStyle w:val="Hyperlink"/>
            <w:rFonts w:cs="Calibri"/>
            <w:sz w:val="18"/>
            <w:szCs w:val="18"/>
          </w:rPr>
          <w:t xml:space="preserve">European 5G Observatory </w:t>
        </w:r>
        <w:r w:rsidR="5FCDC78E" w:rsidRPr="006205AE">
          <w:rPr>
            <w:rStyle w:val="Hyperlink"/>
            <w:rFonts w:cs="Calibri"/>
            <w:sz w:val="18"/>
            <w:szCs w:val="18"/>
          </w:rPr>
          <w:t>2026</w:t>
        </w:r>
      </w:hyperlink>
      <w:r w:rsidR="50A16846" w:rsidRPr="006205AE">
        <w:rPr>
          <w:rFonts w:cs="Calibri"/>
          <w:sz w:val="18"/>
          <w:szCs w:val="18"/>
        </w:rPr>
        <w:t xml:space="preserve">, </w:t>
      </w:r>
      <w:r w:rsidR="5FCDC78E" w:rsidRPr="006205AE">
        <w:rPr>
          <w:rFonts w:cs="Calibri"/>
          <w:sz w:val="18"/>
          <w:szCs w:val="18"/>
        </w:rPr>
        <w:t>2026</w:t>
      </w:r>
      <w:r w:rsidR="00283EF8" w:rsidRPr="006205AE">
        <w:rPr>
          <w:rFonts w:cs="Calibri"/>
          <w:sz w:val="18"/>
          <w:szCs w:val="18"/>
        </w:rPr>
        <w:t>.</w:t>
      </w:r>
    </w:p>
  </w:footnote>
  <w:footnote w:id="49">
    <w:p w14:paraId="7F478A47" w14:textId="03C15015" w:rsidR="000E34FA" w:rsidRDefault="000E34FA" w:rsidP="000E34FA">
      <w:pPr>
        <w:pStyle w:val="FootnoteText"/>
      </w:pPr>
      <w:r w:rsidRPr="00E14FD8">
        <w:rPr>
          <w:rFonts w:ascii="Calibri" w:hAnsi="Calibri" w:cs="Calibri"/>
          <w:sz w:val="18"/>
          <w:szCs w:val="18"/>
          <w:lang w:eastAsia="ja-JP"/>
        </w:rPr>
        <w:footnoteRef/>
      </w:r>
      <w:r w:rsidRPr="00E14FD8">
        <w:rPr>
          <w:rFonts w:ascii="Calibri" w:hAnsi="Calibri" w:cs="Calibri"/>
          <w:sz w:val="18"/>
          <w:szCs w:val="18"/>
          <w:lang w:eastAsia="ja-JP"/>
        </w:rPr>
        <w:t xml:space="preserve"> </w:t>
      </w:r>
      <w:r w:rsidR="00E14FD8" w:rsidRPr="00E14FD8">
        <w:rPr>
          <w:rFonts w:ascii="Calibri" w:hAnsi="Calibri" w:cs="Calibri"/>
          <w:sz w:val="18"/>
          <w:szCs w:val="18"/>
          <w:lang w:eastAsia="ja-JP"/>
        </w:rPr>
        <w:t xml:space="preserve">European Commission, </w:t>
      </w:r>
      <w:hyperlink r:id="rId51" w:history="1">
        <w:r w:rsidR="00E14FD8" w:rsidRPr="00731FCD">
          <w:rPr>
            <w:rStyle w:val="Hyperlink"/>
            <w:rFonts w:ascii="Calibri" w:hAnsi="Calibri" w:cs="Calibri"/>
            <w:sz w:val="18"/>
            <w:szCs w:val="18"/>
            <w:lang w:eastAsia="ja-JP"/>
          </w:rPr>
          <w:t>European 5G Observatory 2026</w:t>
        </w:r>
      </w:hyperlink>
      <w:r w:rsidR="00E14FD8" w:rsidRPr="00E14FD8">
        <w:rPr>
          <w:rFonts w:ascii="Calibri" w:hAnsi="Calibri" w:cs="Calibri"/>
          <w:sz w:val="18"/>
          <w:szCs w:val="18"/>
          <w:lang w:eastAsia="ja-JP"/>
        </w:rPr>
        <w:t>, 2026.</w:t>
      </w:r>
      <w:r w:rsidR="00E14FD8">
        <w:t xml:space="preserve"> </w:t>
      </w:r>
    </w:p>
  </w:footnote>
  <w:footnote w:id="50">
    <w:p w14:paraId="6F311430" w14:textId="2C815532" w:rsidR="00095027" w:rsidRPr="006205AE" w:rsidRDefault="00095027"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w:t>
      </w:r>
      <w:r w:rsidR="006D4910" w:rsidRPr="006205AE">
        <w:rPr>
          <w:rFonts w:ascii="Calibri" w:hAnsi="Calibri" w:cs="Calibri"/>
          <w:sz w:val="18"/>
          <w:szCs w:val="18"/>
        </w:rPr>
        <w:t>Analys</w:t>
      </w:r>
      <w:r w:rsidR="006205AE" w:rsidRPr="006205AE">
        <w:rPr>
          <w:rFonts w:ascii="Calibri" w:hAnsi="Calibri" w:cs="Calibri"/>
          <w:sz w:val="18"/>
          <w:szCs w:val="18"/>
        </w:rPr>
        <w:t>y</w:t>
      </w:r>
      <w:r w:rsidR="006D4910" w:rsidRPr="006205AE">
        <w:rPr>
          <w:rFonts w:ascii="Calibri" w:hAnsi="Calibri" w:cs="Calibri"/>
          <w:sz w:val="18"/>
          <w:szCs w:val="18"/>
        </w:rPr>
        <w:t>s</w:t>
      </w:r>
      <w:r w:rsidR="0C856F1D" w:rsidRPr="006205AE">
        <w:rPr>
          <w:rFonts w:ascii="Calibri" w:hAnsi="Calibri" w:cs="Calibri"/>
          <w:sz w:val="18"/>
          <w:szCs w:val="18"/>
        </w:rPr>
        <w:t xml:space="preserve"> Mason, </w:t>
      </w:r>
      <w:hyperlink r:id="rId52">
        <w:r w:rsidR="0C856F1D" w:rsidRPr="006205AE">
          <w:rPr>
            <w:rStyle w:val="Hyperlink"/>
            <w:rFonts w:ascii="Calibri" w:hAnsi="Calibri" w:cs="Calibri"/>
            <w:sz w:val="18"/>
            <w:szCs w:val="18"/>
          </w:rPr>
          <w:t>MNOs and OEMs need to adapt D2D now</w:t>
        </w:r>
      </w:hyperlink>
      <w:r w:rsidR="0C856F1D" w:rsidRPr="006205AE">
        <w:rPr>
          <w:rFonts w:ascii="Calibri" w:hAnsi="Calibri" w:cs="Calibri"/>
          <w:sz w:val="18"/>
          <w:szCs w:val="18"/>
        </w:rPr>
        <w:t>, June 2025.</w:t>
      </w:r>
    </w:p>
  </w:footnote>
  <w:footnote w:id="51">
    <w:p w14:paraId="29D65484" w14:textId="45A9E990" w:rsidR="00583458" w:rsidRPr="006205AE" w:rsidRDefault="00583458">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80110E" w:rsidRPr="006205AE">
        <w:rPr>
          <w:rFonts w:ascii="Calibri" w:hAnsi="Calibri" w:cs="Calibri"/>
          <w:sz w:val="18"/>
          <w:szCs w:val="18"/>
        </w:rPr>
        <w:t xml:space="preserve">Detecon International GmbH, </w:t>
      </w:r>
      <w:hyperlink r:id="rId53" w:history="1">
        <w:r w:rsidR="0080110E" w:rsidRPr="006205AE">
          <w:rPr>
            <w:rStyle w:val="Hyperlink"/>
            <w:rFonts w:ascii="Calibri" w:hAnsi="Calibri" w:cs="Calibri"/>
            <w:sz w:val="18"/>
            <w:szCs w:val="18"/>
          </w:rPr>
          <w:t>Study on Mobile Satellite Services (MSS) in the 2 GHz Band in the EU – Implementation of the Current Regulatory Framework and an Overview of the Satellite Connectivity Market</w:t>
        </w:r>
      </w:hyperlink>
      <w:r w:rsidR="0080110E" w:rsidRPr="006205AE">
        <w:rPr>
          <w:rFonts w:ascii="Calibri" w:hAnsi="Calibri" w:cs="Calibri"/>
          <w:sz w:val="18"/>
          <w:szCs w:val="18"/>
        </w:rPr>
        <w:t>, European Commission, 2025.</w:t>
      </w:r>
    </w:p>
  </w:footnote>
  <w:footnote w:id="52">
    <w:p w14:paraId="13653C24" w14:textId="5EA8422A" w:rsidR="00D40ED7" w:rsidRPr="00967EE0" w:rsidRDefault="00D40ED7" w:rsidP="00D40ED7">
      <w:pPr>
        <w:pStyle w:val="FootnoteText"/>
        <w:rPr>
          <w:lang w:val="en-IE"/>
        </w:rPr>
      </w:pPr>
      <w:r w:rsidRPr="000B3619">
        <w:rPr>
          <w:rStyle w:val="FootnoteReference"/>
        </w:rPr>
        <w:footnoteRef/>
      </w:r>
      <w:r w:rsidRPr="000B3619">
        <w:t xml:space="preserve"> </w:t>
      </w:r>
      <w:r w:rsidRPr="005A0E0B">
        <w:rPr>
          <w:rStyle w:val="Hyperlink"/>
          <w:rFonts w:ascii="Calibri" w:hAnsi="Calibri" w:cs="Calibri"/>
          <w:sz w:val="18"/>
          <w:szCs w:val="18"/>
        </w:rPr>
        <w:t>COM(2026) 311 final</w:t>
      </w:r>
    </w:p>
  </w:footnote>
  <w:footnote w:id="53">
    <w:p w14:paraId="3A6FF503" w14:textId="163FAA9D" w:rsidR="27D5DE31" w:rsidRPr="006205AE" w:rsidRDefault="27D5DE31"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Style w:val="FootnoteReference"/>
          <w:rFonts w:ascii="Calibri" w:hAnsi="Calibri" w:cs="Calibri"/>
          <w:sz w:val="18"/>
          <w:szCs w:val="18"/>
        </w:rPr>
        <w:t xml:space="preserve"> </w:t>
      </w:r>
      <w:r w:rsidR="0C856F1D" w:rsidRPr="006205AE">
        <w:rPr>
          <w:rFonts w:ascii="Calibri" w:hAnsi="Calibri" w:cs="Calibri"/>
          <w:sz w:val="18"/>
          <w:szCs w:val="18"/>
        </w:rPr>
        <w:t xml:space="preserve">FSISAC, </w:t>
      </w:r>
      <w:hyperlink r:id="rId54">
        <w:r w:rsidR="0C856F1D" w:rsidRPr="006205AE">
          <w:rPr>
            <w:rStyle w:val="Hyperlink"/>
            <w:rFonts w:ascii="Calibri" w:hAnsi="Calibri" w:cs="Calibri"/>
            <w:sz w:val="18"/>
            <w:szCs w:val="18"/>
          </w:rPr>
          <w:t>Critical Guidance report on Subsea Cable Risks for Financial Firms</w:t>
        </w:r>
      </w:hyperlink>
      <w:r w:rsidR="0C856F1D" w:rsidRPr="006205AE">
        <w:rPr>
          <w:rFonts w:ascii="Calibri" w:hAnsi="Calibri" w:cs="Calibri"/>
          <w:sz w:val="18"/>
          <w:szCs w:val="18"/>
        </w:rPr>
        <w:t>, 2024.</w:t>
      </w:r>
    </w:p>
  </w:footnote>
  <w:footnote w:id="54">
    <w:p w14:paraId="25584B2C" w14:textId="4111B84A" w:rsidR="00C86E16" w:rsidRPr="006205AE" w:rsidRDefault="00C86E16" w:rsidP="00503F4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Future Market Insights report, </w:t>
      </w:r>
      <w:hyperlink r:id="rId55">
        <w:r w:rsidR="0C856F1D" w:rsidRPr="006205AE">
          <w:rPr>
            <w:rFonts w:ascii="Calibri" w:hAnsi="Calibri" w:cs="Calibri"/>
            <w:sz w:val="18"/>
            <w:szCs w:val="18"/>
          </w:rPr>
          <w:t>Submarine Communication Cables Market Size &amp; Growth 2034</w:t>
        </w:r>
      </w:hyperlink>
    </w:p>
  </w:footnote>
  <w:footnote w:id="55">
    <w:p w14:paraId="1DD0672B" w14:textId="3D8C1C59" w:rsidR="3EFC030B" w:rsidRPr="006205AE" w:rsidRDefault="3EFC030B">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0080110E" w:rsidRPr="006205AE">
        <w:rPr>
          <w:rFonts w:ascii="Calibri" w:hAnsi="Calibri" w:cs="Calibri"/>
          <w:sz w:val="18"/>
          <w:szCs w:val="18"/>
        </w:rPr>
        <w:t xml:space="preserve"> European Commission, </w:t>
      </w:r>
      <w:hyperlink r:id="rId56">
        <w:r w:rsidR="0080110E" w:rsidRPr="006205AE">
          <w:rPr>
            <w:rStyle w:val="Hyperlink"/>
            <w:rFonts w:ascii="Calibri" w:hAnsi="Calibri" w:cs="Calibri"/>
            <w:sz w:val="18"/>
            <w:szCs w:val="18"/>
          </w:rPr>
          <w:t>Security of Cables: Commission publishes landmark report and funding for Cable Hubs</w:t>
        </w:r>
      </w:hyperlink>
      <w:r w:rsidR="0080110E" w:rsidRPr="006205AE">
        <w:rPr>
          <w:rFonts w:ascii="Calibri" w:hAnsi="Calibri" w:cs="Calibri"/>
          <w:sz w:val="18"/>
          <w:szCs w:val="18"/>
        </w:rPr>
        <w:t>, October 2025.</w:t>
      </w:r>
    </w:p>
  </w:footnote>
  <w:footnote w:id="56">
    <w:p w14:paraId="0A97CE63" w14:textId="01F0CC06" w:rsidR="5FCDC78E" w:rsidRPr="006205AE" w:rsidRDefault="5FCDC78E" w:rsidP="5FCDC78E">
      <w:pPr>
        <w:rPr>
          <w:rFonts w:eastAsia="Calibri" w:cs="Calibri"/>
          <w:sz w:val="18"/>
          <w:szCs w:val="18"/>
        </w:rPr>
      </w:pPr>
      <w:r w:rsidRPr="5FCDC78E">
        <w:rPr>
          <w:sz w:val="18"/>
          <w:szCs w:val="18"/>
          <w:vertAlign w:val="superscript"/>
        </w:rPr>
        <w:footnoteRef/>
      </w:r>
      <w:r w:rsidRPr="00FD5DEA">
        <w:rPr>
          <w:sz w:val="18"/>
          <w:szCs w:val="18"/>
        </w:rPr>
        <w:t xml:space="preserve"> </w:t>
      </w:r>
      <w:r w:rsidR="00B8514A" w:rsidRPr="006205AE">
        <w:rPr>
          <w:rFonts w:eastAsia="Calibri" w:cs="Calibri"/>
          <w:color w:val="333333"/>
          <w:sz w:val="18"/>
          <w:szCs w:val="18"/>
        </w:rPr>
        <w:t xml:space="preserve">European Commission and High Representative of the Union for Foreign Affairs and Security Policy, </w:t>
      </w:r>
      <w:hyperlink r:id="rId57" w:history="1">
        <w:r w:rsidR="00B8514A" w:rsidRPr="006205AE">
          <w:rPr>
            <w:rStyle w:val="Hyperlink"/>
            <w:rFonts w:eastAsia="Calibri" w:cs="Calibri"/>
            <w:sz w:val="18"/>
            <w:szCs w:val="18"/>
          </w:rPr>
          <w:t>Joint Communication to Strengthen the Security and Resilience of Submarine Cables</w:t>
        </w:r>
      </w:hyperlink>
      <w:r w:rsidR="00B8514A" w:rsidRPr="006205AE">
        <w:rPr>
          <w:rFonts w:eastAsia="Calibri" w:cs="Calibri"/>
          <w:color w:val="333333"/>
          <w:sz w:val="18"/>
          <w:szCs w:val="18"/>
        </w:rPr>
        <w:t>, JOIN(2025) 9 final, 2025.</w:t>
      </w:r>
    </w:p>
  </w:footnote>
  <w:footnote w:id="57">
    <w:p w14:paraId="06D21996" w14:textId="43110467" w:rsidR="00B8514A" w:rsidRPr="006205AE" w:rsidRDefault="00B8514A">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824C15" w:rsidRPr="006205AE">
        <w:rPr>
          <w:rFonts w:ascii="Calibri" w:hAnsi="Calibri" w:cs="Calibri"/>
          <w:sz w:val="18"/>
          <w:szCs w:val="18"/>
        </w:rPr>
        <w:t xml:space="preserve">European Commission, Commission Recommendation (EU) 2024/779 of 26 February 2024 on </w:t>
      </w:r>
      <w:hyperlink r:id="rId58" w:history="1">
        <w:r w:rsidR="00824C15" w:rsidRPr="006205AE">
          <w:rPr>
            <w:rStyle w:val="Hyperlink"/>
            <w:rFonts w:ascii="Calibri" w:hAnsi="Calibri" w:cs="Calibri"/>
            <w:sz w:val="18"/>
            <w:szCs w:val="18"/>
          </w:rPr>
          <w:t>Secure and Resilient Submarine Cable Infrastructures</w:t>
        </w:r>
      </w:hyperlink>
      <w:r w:rsidR="00824C15" w:rsidRPr="006205AE">
        <w:rPr>
          <w:rFonts w:ascii="Calibri" w:hAnsi="Calibri" w:cs="Calibri"/>
          <w:sz w:val="18"/>
          <w:szCs w:val="18"/>
        </w:rPr>
        <w:t>, 26 February 2024</w:t>
      </w:r>
      <w:r w:rsidRPr="006205AE">
        <w:rPr>
          <w:rFonts w:ascii="Calibri" w:hAnsi="Calibri" w:cs="Calibri"/>
          <w:sz w:val="18"/>
          <w:szCs w:val="18"/>
        </w:rPr>
        <w:t>.</w:t>
      </w:r>
    </w:p>
  </w:footnote>
  <w:footnote w:id="58">
    <w:p w14:paraId="3F791287" w14:textId="683DDF39" w:rsidR="00824C15" w:rsidRPr="006205AE" w:rsidRDefault="00824C15">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59" w:history="1">
        <w:r w:rsidRPr="006205AE">
          <w:rPr>
            <w:rStyle w:val="Hyperlink"/>
            <w:rFonts w:ascii="Calibri" w:hAnsi="Calibri" w:cs="Calibri"/>
            <w:sz w:val="18"/>
            <w:szCs w:val="18"/>
          </w:rPr>
          <w:t>Security of Cables: Commission publishes landmark report and funding for Cable Hubs</w:t>
        </w:r>
      </w:hyperlink>
      <w:r w:rsidRPr="006205AE">
        <w:rPr>
          <w:rFonts w:ascii="Calibri" w:hAnsi="Calibri" w:cs="Calibri"/>
          <w:sz w:val="18"/>
          <w:szCs w:val="18"/>
        </w:rPr>
        <w:t>, October 2025.</w:t>
      </w:r>
    </w:p>
  </w:footnote>
  <w:footnote w:id="59">
    <w:p w14:paraId="27B52259" w14:textId="18FB4A26" w:rsidR="00B96978" w:rsidRPr="006205AE" w:rsidRDefault="00824C15">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60">
        <w:r w:rsidRPr="006205AE">
          <w:rPr>
            <w:rStyle w:val="Hyperlink"/>
            <w:rFonts w:ascii="Calibri" w:hAnsi="Calibri" w:cs="Calibri"/>
            <w:sz w:val="18"/>
            <w:szCs w:val="18"/>
          </w:rPr>
          <w:t>Submarine Cable Security Toolbox and Cable Projects of European Interest</w:t>
        </w:r>
      </w:hyperlink>
      <w:r w:rsidRPr="006205AE">
        <w:rPr>
          <w:rFonts w:ascii="Calibri" w:hAnsi="Calibri" w:cs="Calibri"/>
          <w:sz w:val="18"/>
          <w:szCs w:val="18"/>
        </w:rPr>
        <w:t>, February 2026.</w:t>
      </w:r>
    </w:p>
  </w:footnote>
  <w:footnote w:id="60">
    <w:p w14:paraId="29A9CCC8" w14:textId="6BF9E671" w:rsidR="00DC6914" w:rsidRPr="006205AE" w:rsidRDefault="00DC6914">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88747A" w:rsidRPr="006205AE">
        <w:rPr>
          <w:rFonts w:ascii="Calibri" w:hAnsi="Calibri" w:cs="Calibri"/>
          <w:sz w:val="18"/>
          <w:szCs w:val="18"/>
        </w:rPr>
        <w:t xml:space="preserve">European Commission, </w:t>
      </w:r>
      <w:hyperlink r:id="rId61" w:history="1">
        <w:r w:rsidR="0088747A" w:rsidRPr="006205AE">
          <w:rPr>
            <w:rStyle w:val="Hyperlink"/>
            <w:rFonts w:ascii="Calibri" w:hAnsi="Calibri" w:cs="Calibri"/>
            <w:sz w:val="18"/>
            <w:szCs w:val="18"/>
          </w:rPr>
          <w:t>Commission increases submarine cable security with €347 million investment and new toolbox</w:t>
        </w:r>
      </w:hyperlink>
      <w:r w:rsidR="0088747A" w:rsidRPr="006205AE">
        <w:rPr>
          <w:rFonts w:ascii="Calibri" w:hAnsi="Calibri" w:cs="Calibri"/>
          <w:sz w:val="18"/>
          <w:szCs w:val="18"/>
        </w:rPr>
        <w:t>, 2025.</w:t>
      </w:r>
    </w:p>
  </w:footnote>
  <w:footnote w:id="61">
    <w:p w14:paraId="172D497F" w14:textId="350A1CFA" w:rsidR="00E44D79" w:rsidRPr="006205AE" w:rsidRDefault="00E44D79" w:rsidP="00E35CD4">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4E5D92" w:rsidRPr="006205AE">
        <w:rPr>
          <w:rFonts w:ascii="Calibri" w:hAnsi="Calibri" w:cs="Calibri"/>
          <w:sz w:val="18"/>
          <w:szCs w:val="18"/>
        </w:rPr>
        <w:t xml:space="preserve">European Commission, </w:t>
      </w:r>
      <w:hyperlink r:id="rId62" w:history="1">
        <w:r w:rsidR="004E5D92" w:rsidRPr="006205AE">
          <w:rPr>
            <w:rStyle w:val="Hyperlink"/>
            <w:rFonts w:ascii="Calibri" w:hAnsi="Calibri" w:cs="Calibri"/>
            <w:sz w:val="18"/>
            <w:szCs w:val="18"/>
          </w:rPr>
          <w:t>Progress Report on the Implementation of the 2021–2027 Connecting Europe Facility for the Years 2021–2024</w:t>
        </w:r>
      </w:hyperlink>
      <w:r w:rsidR="004E5D92" w:rsidRPr="006205AE">
        <w:rPr>
          <w:rFonts w:ascii="Calibri" w:hAnsi="Calibri" w:cs="Calibri"/>
          <w:sz w:val="18"/>
          <w:szCs w:val="18"/>
        </w:rPr>
        <w:t>, COM(2025) 516 final, 24 September 2025.</w:t>
      </w:r>
    </w:p>
  </w:footnote>
  <w:footnote w:id="62">
    <w:p w14:paraId="0582FBB2" w14:textId="5329B1FC" w:rsidR="00621700" w:rsidRDefault="00621700" w:rsidP="5FCDC78E">
      <w:pPr>
        <w:rPr>
          <w:sz w:val="18"/>
          <w:szCs w:val="18"/>
        </w:rPr>
      </w:pPr>
      <w:r w:rsidRPr="006205AE">
        <w:rPr>
          <w:rStyle w:val="FootnoteReference"/>
          <w:rFonts w:cs="Calibri"/>
          <w:sz w:val="18"/>
          <w:szCs w:val="18"/>
          <w:lang w:eastAsia="en-US"/>
        </w:rPr>
        <w:footnoteRef/>
      </w:r>
      <w:r w:rsidR="5FCDC78E" w:rsidRPr="006205AE">
        <w:rPr>
          <w:rStyle w:val="FootnoteReference"/>
          <w:rFonts w:cs="Calibri"/>
          <w:sz w:val="18"/>
          <w:szCs w:val="18"/>
          <w:lang w:eastAsia="en-US"/>
        </w:rPr>
        <w:t xml:space="preserve"> </w:t>
      </w:r>
      <w:r w:rsidR="5FCDC78E" w:rsidRPr="5FCDC78E">
        <w:rPr>
          <w:sz w:val="18"/>
          <w:szCs w:val="18"/>
        </w:rPr>
        <w:t xml:space="preserve">European Commission, </w:t>
      </w:r>
      <w:hyperlink r:id="rId63" w:history="1">
        <w:r w:rsidR="5FCDC78E" w:rsidRPr="5FCDC78E">
          <w:rPr>
            <w:rStyle w:val="Hyperlink"/>
            <w:sz w:val="18"/>
            <w:szCs w:val="18"/>
          </w:rPr>
          <w:t>Submarine Cable Security Toolbox and Cable Projects of European Interest</w:t>
        </w:r>
      </w:hyperlink>
      <w:r w:rsidR="5FCDC78E" w:rsidRPr="5FCDC78E">
        <w:rPr>
          <w:sz w:val="18"/>
          <w:szCs w:val="18"/>
        </w:rPr>
        <w:t>, February 2026.</w:t>
      </w:r>
    </w:p>
  </w:footnote>
  <w:footnote w:id="63">
    <w:p w14:paraId="47C4E531" w14:textId="7B03327F" w:rsidR="002F5D85" w:rsidRPr="002F5D85" w:rsidRDefault="002F5D85">
      <w:pPr>
        <w:pStyle w:val="FootnoteText"/>
        <w:rPr>
          <w:rFonts w:ascii="Calibri" w:hAnsi="Calibri" w:cs="Calibri"/>
          <w:sz w:val="18"/>
          <w:szCs w:val="18"/>
        </w:rPr>
      </w:pPr>
      <w:r w:rsidRPr="002F5D85">
        <w:rPr>
          <w:rStyle w:val="FootnoteReference"/>
          <w:rFonts w:ascii="Calibri" w:hAnsi="Calibri" w:cs="Calibri"/>
          <w:sz w:val="18"/>
          <w:szCs w:val="18"/>
        </w:rPr>
        <w:footnoteRef/>
      </w:r>
      <w:r w:rsidRPr="002F5D85">
        <w:rPr>
          <w:rFonts w:ascii="Calibri" w:hAnsi="Calibri" w:cs="Calibri"/>
          <w:sz w:val="18"/>
          <w:szCs w:val="18"/>
        </w:rPr>
        <w:t xml:space="preserve"> </w:t>
      </w:r>
      <w:r w:rsidRPr="002F5D85">
        <w:rPr>
          <w:rFonts w:ascii="Calibri" w:eastAsia="Calibri" w:hAnsi="Calibri" w:cs="Calibri"/>
          <w:sz w:val="18"/>
          <w:szCs w:val="18"/>
        </w:rPr>
        <w:t xml:space="preserve">OECD Study - </w:t>
      </w:r>
      <w:r w:rsidRPr="002F5D85">
        <w:rPr>
          <w:rFonts w:ascii="Calibri" w:eastAsia="Calibri" w:hAnsi="Calibri" w:cs="Calibri"/>
          <w:color w:val="101D40"/>
          <w:sz w:val="18"/>
          <w:szCs w:val="18"/>
        </w:rPr>
        <w:t>Progress in Implementing the European Union Coordinated Plan on Artificial Intelligence. Uptake in high-impact sectors / volume 2</w:t>
      </w:r>
    </w:p>
  </w:footnote>
  <w:footnote w:id="64">
    <w:p w14:paraId="2DB2921E" w14:textId="6440F30A" w:rsidR="00AE13A3" w:rsidRPr="00AE13A3" w:rsidRDefault="00AE13A3">
      <w:pPr>
        <w:pStyle w:val="FootnoteText"/>
        <w:rPr>
          <w:rFonts w:ascii="Calibri" w:hAnsi="Calibri" w:cs="Calibri"/>
          <w:sz w:val="18"/>
          <w:szCs w:val="18"/>
          <w:lang w:val="en-US"/>
        </w:rPr>
      </w:pPr>
      <w:r w:rsidRPr="00AE13A3">
        <w:rPr>
          <w:rStyle w:val="FootnoteReference"/>
          <w:rFonts w:ascii="Calibri" w:hAnsi="Calibri" w:cs="Calibri"/>
          <w:sz w:val="18"/>
          <w:szCs w:val="18"/>
        </w:rPr>
        <w:footnoteRef/>
      </w:r>
      <w:r w:rsidRPr="00AE13A3">
        <w:rPr>
          <w:rFonts w:ascii="Calibri" w:hAnsi="Calibri" w:cs="Calibri"/>
          <w:sz w:val="18"/>
          <w:szCs w:val="18"/>
        </w:rPr>
        <w:t xml:space="preserve"> </w:t>
      </w:r>
      <w:r w:rsidRPr="00AE13A3">
        <w:rPr>
          <w:rFonts w:ascii="Calibri" w:hAnsi="Calibri" w:cs="Calibri"/>
          <w:sz w:val="18"/>
          <w:szCs w:val="18"/>
          <w:lang w:val="en-US"/>
        </w:rPr>
        <w:t>Cut-off date 27 April 2026.</w:t>
      </w:r>
    </w:p>
  </w:footnote>
  <w:footnote w:id="65">
    <w:p w14:paraId="7A5588AD" w14:textId="1B4537F2" w:rsidR="00984199" w:rsidRPr="006205AE" w:rsidRDefault="00984199">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93009C" w:rsidRPr="006205AE">
        <w:rPr>
          <w:rFonts w:ascii="Calibri" w:hAnsi="Calibri" w:cs="Calibri"/>
          <w:sz w:val="18"/>
          <w:szCs w:val="18"/>
        </w:rPr>
        <w:t xml:space="preserve">Eurostat, </w:t>
      </w:r>
      <w:hyperlink r:id="rId64" w:history="1">
        <w:r w:rsidR="0093009C" w:rsidRPr="006205AE">
          <w:rPr>
            <w:rStyle w:val="Hyperlink"/>
            <w:rFonts w:ascii="Calibri" w:hAnsi="Calibri" w:cs="Calibri"/>
            <w:sz w:val="18"/>
            <w:szCs w:val="18"/>
          </w:rPr>
          <w:t>Cloud Computing Statistics – Enterprises</w:t>
        </w:r>
      </w:hyperlink>
      <w:r w:rsidR="0093009C" w:rsidRPr="006205AE">
        <w:rPr>
          <w:rFonts w:ascii="Calibri" w:hAnsi="Calibri" w:cs="Calibri"/>
          <w:sz w:val="18"/>
          <w:szCs w:val="18"/>
        </w:rPr>
        <w:t>, 2026.</w:t>
      </w:r>
    </w:p>
  </w:footnote>
  <w:footnote w:id="66">
    <w:p w14:paraId="21DFD0FA" w14:textId="6573F047" w:rsidR="00180434" w:rsidRPr="006205AE" w:rsidRDefault="00180434" w:rsidP="00660969">
      <w:pPr>
        <w:pStyle w:val="FootnoteText"/>
        <w:spacing w:line="278" w:lineRule="auto"/>
        <w:rPr>
          <w:rFonts w:ascii="Calibri" w:hAnsi="Calibri" w:cs="Calibri"/>
          <w:sz w:val="18"/>
          <w:szCs w:val="18"/>
          <w:lang w:val="en-IE"/>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B84FA3" w:rsidRPr="006205AE">
        <w:rPr>
          <w:rFonts w:ascii="Calibri" w:hAnsi="Calibri" w:cs="Calibri"/>
          <w:sz w:val="18"/>
          <w:szCs w:val="18"/>
          <w:lang w:val="en-IE"/>
        </w:rPr>
        <w:t xml:space="preserve">Synopsys, </w:t>
      </w:r>
      <w:hyperlink r:id="rId65" w:history="1">
        <w:r w:rsidR="00B84FA3" w:rsidRPr="006205AE">
          <w:rPr>
            <w:rStyle w:val="Hyperlink"/>
            <w:rFonts w:ascii="Calibri" w:hAnsi="Calibri" w:cs="Calibri"/>
            <w:sz w:val="18"/>
            <w:szCs w:val="18"/>
            <w:lang w:val="en-IE"/>
          </w:rPr>
          <w:t>Open Source Security and Risk Analysis (OSSRA) Report</w:t>
        </w:r>
      </w:hyperlink>
      <w:r w:rsidR="00B84FA3" w:rsidRPr="006205AE">
        <w:rPr>
          <w:rFonts w:ascii="Calibri" w:hAnsi="Calibri" w:cs="Calibri"/>
          <w:sz w:val="18"/>
          <w:szCs w:val="18"/>
          <w:lang w:val="en-IE"/>
        </w:rPr>
        <w:t>, 2024; Hoffmann, M., Nagle, F., and Zhou, Y.</w:t>
      </w:r>
    </w:p>
  </w:footnote>
  <w:footnote w:id="67">
    <w:p w14:paraId="3001F782" w14:textId="481D5D8D" w:rsidR="00863027" w:rsidRPr="00967EE0" w:rsidRDefault="00863027">
      <w:pPr>
        <w:pStyle w:val="FootnoteText"/>
        <w:rPr>
          <w:lang w:val="en-IE"/>
        </w:rPr>
      </w:pPr>
      <w:r>
        <w:rPr>
          <w:rStyle w:val="FootnoteReference"/>
        </w:rPr>
        <w:footnoteRef/>
      </w:r>
      <w:r>
        <w:rPr>
          <w:lang w:val="en-IE"/>
        </w:rPr>
        <w:t xml:space="preserve"> </w:t>
      </w:r>
      <w:r w:rsidRPr="006205AE">
        <w:rPr>
          <w:rFonts w:ascii="Calibri" w:hAnsi="Calibri" w:cs="Calibri"/>
          <w:sz w:val="18"/>
          <w:szCs w:val="18"/>
          <w:lang w:val="en-IE"/>
        </w:rPr>
        <w:t>"</w:t>
      </w:r>
      <w:hyperlink r:id="rId66" w:history="1">
        <w:r w:rsidRPr="006205AE">
          <w:rPr>
            <w:rStyle w:val="Hyperlink"/>
            <w:rFonts w:ascii="Calibri" w:hAnsi="Calibri" w:cs="Calibri"/>
            <w:sz w:val="18"/>
            <w:szCs w:val="18"/>
            <w:lang w:val="en-IE"/>
          </w:rPr>
          <w:t>The Value of Open</w:t>
        </w:r>
        <w:r w:rsidR="003014CD" w:rsidRPr="006205AE">
          <w:rPr>
            <w:rStyle w:val="Hyperlink"/>
            <w:rFonts w:ascii="Calibri" w:hAnsi="Calibri" w:cs="Calibri"/>
            <w:sz w:val="18"/>
            <w:szCs w:val="18"/>
            <w:lang w:val="en-IE"/>
          </w:rPr>
          <w:t>-</w:t>
        </w:r>
        <w:r w:rsidRPr="006205AE">
          <w:rPr>
            <w:rStyle w:val="Hyperlink"/>
            <w:rFonts w:ascii="Calibri" w:hAnsi="Calibri" w:cs="Calibri"/>
            <w:sz w:val="18"/>
            <w:szCs w:val="18"/>
            <w:lang w:val="en-IE"/>
          </w:rPr>
          <w:t>Source Software</w:t>
        </w:r>
      </w:hyperlink>
      <w:r w:rsidRPr="006205AE">
        <w:rPr>
          <w:rFonts w:ascii="Calibri" w:hAnsi="Calibri" w:cs="Calibri"/>
          <w:sz w:val="18"/>
          <w:szCs w:val="18"/>
          <w:lang w:val="en-IE"/>
        </w:rPr>
        <w:t>," Harvard Business School Working Paper No. 24-038, 2024.</w:t>
      </w:r>
    </w:p>
  </w:footnote>
  <w:footnote w:id="68">
    <w:p w14:paraId="06E08E94" w14:textId="112D3931" w:rsidR="4D23A098" w:rsidRDefault="4D23A098" w:rsidP="005A0E0B">
      <w:pPr>
        <w:pStyle w:val="FootnoteText"/>
        <w:spacing w:line="278" w:lineRule="auto"/>
        <w:rPr>
          <w:rFonts w:eastAsia="Calibri" w:cs="Calibri"/>
        </w:rPr>
      </w:pPr>
      <w:r w:rsidRPr="005A0E0B">
        <w:rPr>
          <w:rFonts w:ascii="Calibri" w:hAnsi="Calibri" w:cs="Calibri"/>
          <w:sz w:val="18"/>
          <w:szCs w:val="18"/>
        </w:rPr>
        <w:footnoteRef/>
      </w:r>
      <w:r w:rsidRPr="005A0E0B">
        <w:rPr>
          <w:rFonts w:ascii="Calibri" w:hAnsi="Calibri" w:cs="Calibri"/>
          <w:sz w:val="18"/>
          <w:szCs w:val="18"/>
        </w:rPr>
        <w:t xml:space="preserve"> </w:t>
      </w:r>
      <w:hyperlink r:id="rId67" w:history="1">
        <w:r w:rsidRPr="005A0E0B">
          <w:rPr>
            <w:rFonts w:ascii="Calibri" w:hAnsi="Calibri" w:cs="Calibri"/>
            <w:sz w:val="18"/>
            <w:szCs w:val="18"/>
          </w:rPr>
          <w:t>A Coordinated Implementation Roadmap for the Transition to Post-Quantum Cryptography | Shaping Europe’s digital future</w:t>
        </w:r>
      </w:hyperlink>
    </w:p>
  </w:footnote>
  <w:footnote w:id="69">
    <w:p w14:paraId="7572856C" w14:textId="38D9B4E3" w:rsidR="002B1890" w:rsidRPr="006205AE" w:rsidRDefault="002B1890" w:rsidP="00BE6A90">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w:t>
      </w:r>
      <w:r w:rsidR="005B162E" w:rsidRPr="006205AE">
        <w:rPr>
          <w:rFonts w:ascii="Calibri" w:hAnsi="Calibri" w:cs="Calibri"/>
          <w:sz w:val="18"/>
          <w:szCs w:val="18"/>
        </w:rPr>
        <w:t xml:space="preserve">European Union, </w:t>
      </w:r>
      <w:hyperlink r:id="rId68" w:history="1">
        <w:r w:rsidR="005B162E" w:rsidRPr="006205AE">
          <w:rPr>
            <w:rStyle w:val="Hyperlink"/>
            <w:rFonts w:ascii="Calibri" w:hAnsi="Calibri" w:cs="Calibri"/>
            <w:sz w:val="18"/>
            <w:szCs w:val="18"/>
          </w:rPr>
          <w:t>Future Needs in Digital Education</w:t>
        </w:r>
      </w:hyperlink>
      <w:r w:rsidR="005B162E" w:rsidRPr="006205AE">
        <w:rPr>
          <w:rFonts w:ascii="Calibri" w:hAnsi="Calibri" w:cs="Calibri"/>
          <w:sz w:val="18"/>
          <w:szCs w:val="18"/>
        </w:rPr>
        <w:t>, Eurobarometer Survey, 2024.</w:t>
      </w:r>
    </w:p>
  </w:footnote>
  <w:footnote w:id="70">
    <w:p w14:paraId="4EB60C18" w14:textId="23C098CB" w:rsidR="00810EE0" w:rsidRPr="006205AE" w:rsidRDefault="00810EE0" w:rsidP="00BE6A90">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w:t>
      </w:r>
      <w:r w:rsidR="00526C0F" w:rsidRPr="006205AE">
        <w:rPr>
          <w:rFonts w:ascii="Calibri" w:hAnsi="Calibri" w:cs="Calibri"/>
          <w:sz w:val="18"/>
          <w:szCs w:val="18"/>
        </w:rPr>
        <w:t xml:space="preserve">European Commission, </w:t>
      </w:r>
      <w:hyperlink r:id="rId69" w:history="1">
        <w:r w:rsidR="00526C0F" w:rsidRPr="006205AE">
          <w:rPr>
            <w:rStyle w:val="Hyperlink"/>
            <w:rFonts w:ascii="Calibri" w:hAnsi="Calibri" w:cs="Calibri"/>
            <w:sz w:val="18"/>
            <w:szCs w:val="18"/>
          </w:rPr>
          <w:t>A STEM Education Strategic Plan: Skills for Competitiveness and Innovation</w:t>
        </w:r>
      </w:hyperlink>
      <w:r w:rsidR="00526C0F" w:rsidRPr="006205AE">
        <w:rPr>
          <w:rFonts w:ascii="Calibri" w:hAnsi="Calibri" w:cs="Calibri"/>
          <w:sz w:val="18"/>
          <w:szCs w:val="18"/>
        </w:rPr>
        <w:t>, COM(2025) 89 final, 5 March 2025.</w:t>
      </w:r>
    </w:p>
  </w:footnote>
  <w:footnote w:id="71">
    <w:p w14:paraId="664D768A" w14:textId="6787409B" w:rsidR="000A2427" w:rsidRPr="006205AE" w:rsidRDefault="000A2427" w:rsidP="00BE6A90">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3E0C99" w:rsidRPr="006205AE">
        <w:rPr>
          <w:rFonts w:ascii="Calibri" w:hAnsi="Calibri" w:cs="Calibri"/>
          <w:sz w:val="18"/>
          <w:szCs w:val="18"/>
        </w:rPr>
        <w:t xml:space="preserve">Council of the European Union, </w:t>
      </w:r>
      <w:hyperlink r:id="rId70" w:history="1">
        <w:r w:rsidR="003E0C99" w:rsidRPr="006205AE">
          <w:rPr>
            <w:rStyle w:val="Hyperlink"/>
            <w:rFonts w:ascii="Calibri" w:hAnsi="Calibri" w:cs="Calibri"/>
            <w:sz w:val="18"/>
            <w:szCs w:val="18"/>
          </w:rPr>
          <w:t>Council Recommendation of 9 March 2026 on Human Capital in the European Union</w:t>
        </w:r>
      </w:hyperlink>
      <w:r w:rsidR="003E0C99" w:rsidRPr="006205AE">
        <w:rPr>
          <w:rFonts w:ascii="Calibri" w:hAnsi="Calibri" w:cs="Calibri"/>
          <w:sz w:val="18"/>
          <w:szCs w:val="18"/>
        </w:rPr>
        <w:t>, 9 March 2026;</w:t>
      </w:r>
      <w:r w:rsidR="007743E6" w:rsidRPr="006205AE">
        <w:rPr>
          <w:rFonts w:ascii="Calibri" w:hAnsi="Calibri" w:cs="Calibri"/>
          <w:sz w:val="18"/>
          <w:szCs w:val="18"/>
        </w:rPr>
        <w:t xml:space="preserve"> </w:t>
      </w:r>
      <w:r w:rsidR="00E7566C" w:rsidRPr="006205AE">
        <w:rPr>
          <w:rFonts w:ascii="Calibri" w:hAnsi="Calibri" w:cs="Calibri"/>
          <w:sz w:val="18"/>
          <w:szCs w:val="18"/>
        </w:rPr>
        <w:t xml:space="preserve">Commission Regulation (EU) 2022/720 of 10 May 2022 on the </w:t>
      </w:r>
      <w:hyperlink r:id="rId71" w:history="1">
        <w:r w:rsidR="00E7566C" w:rsidRPr="006205AE">
          <w:rPr>
            <w:rStyle w:val="Hyperlink"/>
            <w:rFonts w:ascii="Calibri" w:hAnsi="Calibri" w:cs="Calibri"/>
            <w:sz w:val="18"/>
            <w:szCs w:val="18"/>
          </w:rPr>
          <w:t>Application of Article 101(3) of the Treaty on the Functioning of the European Union to Categories of Vertical Agreements and Concerted Practices</w:t>
        </w:r>
      </w:hyperlink>
      <w:r w:rsidR="00E7566C" w:rsidRPr="006205AE">
        <w:rPr>
          <w:rFonts w:ascii="Calibri" w:hAnsi="Calibri" w:cs="Calibri"/>
          <w:sz w:val="18"/>
          <w:szCs w:val="18"/>
        </w:rPr>
        <w:t>.</w:t>
      </w:r>
    </w:p>
  </w:footnote>
  <w:footnote w:id="72">
    <w:p w14:paraId="0B10ACDF" w14:textId="325B8406" w:rsidR="00FC1096" w:rsidRPr="006205AE" w:rsidRDefault="00FC1096" w:rsidP="00BE6A90">
      <w:pPr>
        <w:pStyle w:val="FootnoteText"/>
        <w:spacing w:line="278" w:lineRule="auto"/>
        <w:jc w:val="both"/>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Eurobarometer on future needs in digital education (2025): the vast majority of respondents (85%) believe</w:t>
      </w:r>
      <w:r w:rsidR="007B1122" w:rsidRPr="006205AE">
        <w:rPr>
          <w:rFonts w:ascii="Calibri" w:hAnsi="Calibri" w:cs="Calibri"/>
          <w:sz w:val="18"/>
          <w:szCs w:val="18"/>
        </w:rPr>
        <w:t>s</w:t>
      </w:r>
      <w:r w:rsidRPr="006205AE">
        <w:rPr>
          <w:rFonts w:ascii="Calibri" w:hAnsi="Calibri" w:cs="Calibri"/>
          <w:sz w:val="18"/>
          <w:szCs w:val="18"/>
        </w:rPr>
        <w:t xml:space="preserve"> that digital skills are necessary to use generative AI tools safely and responsibly. A bit less than two-thirds (63%) of Europeans agree that everyone will need to be AI literate in 2030. This is particularly noticeable among younger people (66%-67% of aged 15-24 or 25-39 vs 62% of older age groups) and those still in education (75%).</w:t>
      </w:r>
    </w:p>
  </w:footnote>
  <w:footnote w:id="73">
    <w:p w14:paraId="695DF8DC" w14:textId="60F16010" w:rsidR="003E1198" w:rsidRPr="006205AE" w:rsidRDefault="003E1198" w:rsidP="003E1198">
      <w:pPr>
        <w:pStyle w:val="FootnoteText"/>
        <w:rPr>
          <w:rFonts w:ascii="Calibri" w:eastAsia="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ZENODO</w:t>
      </w:r>
      <w:hyperlink r:id="rId72">
        <w:r w:rsidR="0C856F1D" w:rsidRPr="006205AE">
          <w:rPr>
            <w:rStyle w:val="Hyperlink"/>
            <w:rFonts w:ascii="Calibri" w:hAnsi="Calibri" w:cs="Calibri"/>
            <w:sz w:val="18"/>
            <w:szCs w:val="18"/>
          </w:rPr>
          <w:t>, LEADSx2030 Advanced Digital Skills</w:t>
        </w:r>
        <w:r w:rsidR="0C856F1D" w:rsidRPr="006205AE">
          <w:rPr>
            <w:rStyle w:val="Hyperlink"/>
            <w:rFonts w:ascii="Calibri" w:eastAsia="Calibri" w:hAnsi="Calibri" w:cs="Calibri"/>
            <w:sz w:val="18"/>
            <w:szCs w:val="18"/>
          </w:rPr>
          <w:t xml:space="preserve"> State-of-Play report</w:t>
        </w:r>
      </w:hyperlink>
      <w:r w:rsidR="0C856F1D" w:rsidRPr="006205AE">
        <w:rPr>
          <w:rFonts w:ascii="Calibri" w:hAnsi="Calibri" w:cs="Calibri"/>
          <w:sz w:val="18"/>
          <w:szCs w:val="18"/>
        </w:rPr>
        <w:t>, November 2025.</w:t>
      </w:r>
    </w:p>
  </w:footnote>
  <w:footnote w:id="74">
    <w:p w14:paraId="407A0EE9" w14:textId="0E013C98" w:rsidR="007C583A" w:rsidRPr="006205AE" w:rsidRDefault="007C583A" w:rsidP="00FD5F1C">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Authority for Consumers and Markets, </w:t>
      </w:r>
      <w:hyperlink r:id="rId73">
        <w:r w:rsidR="0C856F1D" w:rsidRPr="006205AE">
          <w:rPr>
            <w:rStyle w:val="Hyperlink"/>
            <w:rFonts w:ascii="Calibri" w:hAnsi="Calibri" w:cs="Calibri"/>
            <w:sz w:val="18"/>
            <w:szCs w:val="18"/>
          </w:rPr>
          <w:t>ACM launces DSA investigation into Snapchat in connection with illegal sale of vaping products to minors</w:t>
        </w:r>
      </w:hyperlink>
      <w:r w:rsidR="0C856F1D" w:rsidRPr="006205AE">
        <w:rPr>
          <w:rFonts w:ascii="Calibri" w:hAnsi="Calibri" w:cs="Calibri"/>
          <w:sz w:val="18"/>
          <w:szCs w:val="18"/>
        </w:rPr>
        <w:t xml:space="preserve">, September 2025, and, Authority for Consumers and Markets, </w:t>
      </w:r>
      <w:hyperlink r:id="rId74">
        <w:r w:rsidR="0C856F1D" w:rsidRPr="006205AE">
          <w:rPr>
            <w:rStyle w:val="Hyperlink"/>
            <w:rFonts w:ascii="Calibri" w:hAnsi="Calibri" w:cs="Calibri"/>
            <w:sz w:val="18"/>
            <w:szCs w:val="18"/>
          </w:rPr>
          <w:t>ACM launches investigation into Roblox in connection with risks that minors are facing</w:t>
        </w:r>
      </w:hyperlink>
      <w:r w:rsidR="0C856F1D" w:rsidRPr="006205AE">
        <w:rPr>
          <w:rFonts w:ascii="Calibri" w:hAnsi="Calibri" w:cs="Calibri"/>
          <w:sz w:val="18"/>
          <w:szCs w:val="18"/>
        </w:rPr>
        <w:t>, January 2026.</w:t>
      </w:r>
    </w:p>
  </w:footnote>
  <w:footnote w:id="75">
    <w:p w14:paraId="460A2E21" w14:textId="00F486B7" w:rsidR="00126C92" w:rsidRPr="006205AE" w:rsidRDefault="00126C92">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6C613D" w:rsidRPr="006205AE">
        <w:rPr>
          <w:rFonts w:ascii="Calibri" w:hAnsi="Calibri" w:cs="Calibri"/>
          <w:sz w:val="18"/>
          <w:szCs w:val="18"/>
        </w:rPr>
        <w:t xml:space="preserve">Joint Research Centre, </w:t>
      </w:r>
      <w:hyperlink r:id="rId75">
        <w:r w:rsidRPr="006205AE">
          <w:rPr>
            <w:rStyle w:val="Hyperlink"/>
            <w:rFonts w:ascii="Calibri" w:hAnsi="Calibri" w:cs="Calibri"/>
            <w:sz w:val="18"/>
            <w:szCs w:val="18"/>
          </w:rPr>
          <w:t>Cyberbullying: Insights from science, policy and legislation - Publications Office of the EU</w:t>
        </w:r>
      </w:hyperlink>
      <w:r w:rsidR="006C613D" w:rsidRPr="006205AE">
        <w:rPr>
          <w:rFonts w:ascii="Calibri" w:hAnsi="Calibri" w:cs="Calibri"/>
          <w:sz w:val="18"/>
          <w:szCs w:val="18"/>
        </w:rPr>
        <w:t>, 2025.</w:t>
      </w:r>
    </w:p>
  </w:footnote>
  <w:footnote w:id="76">
    <w:p w14:paraId="387C26BA" w14:textId="77777777" w:rsidR="00623F5C" w:rsidRPr="006205AE" w:rsidRDefault="00623F5C" w:rsidP="00623F5C">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76">
        <w:r w:rsidRPr="006205AE">
          <w:rPr>
            <w:rStyle w:val="Hyperlink"/>
            <w:rFonts w:ascii="Calibri" w:hAnsi="Calibri" w:cs="Calibri"/>
            <w:sz w:val="18"/>
            <w:szCs w:val="18"/>
          </w:rPr>
          <w:t>Action Plan against cyberbullying</w:t>
        </w:r>
      </w:hyperlink>
      <w:r w:rsidRPr="006205AE">
        <w:rPr>
          <w:rFonts w:ascii="Calibri" w:hAnsi="Calibri" w:cs="Calibri"/>
          <w:sz w:val="18"/>
          <w:szCs w:val="18"/>
        </w:rPr>
        <w:t>, February 2026.</w:t>
      </w:r>
    </w:p>
    <w:p w14:paraId="0DE682EB" w14:textId="77777777" w:rsidR="00623F5C" w:rsidRPr="006205AE" w:rsidRDefault="00623F5C" w:rsidP="00623F5C">
      <w:pPr>
        <w:pStyle w:val="FootnoteText"/>
        <w:rPr>
          <w:rFonts w:ascii="Calibri" w:hAnsi="Calibri" w:cs="Calibri"/>
          <w:sz w:val="18"/>
          <w:szCs w:val="18"/>
        </w:rPr>
      </w:pPr>
    </w:p>
  </w:footnote>
  <w:footnote w:id="77">
    <w:p w14:paraId="5BB68BAC" w14:textId="4762B4AB" w:rsidR="528C44BB" w:rsidRPr="006205AE" w:rsidRDefault="528C44BB">
      <w:pPr>
        <w:rPr>
          <w:rFonts w:cs="Calibri"/>
          <w:sz w:val="18"/>
          <w:szCs w:val="18"/>
          <w:lang w:val="en-IE"/>
        </w:rPr>
      </w:pPr>
      <w:r w:rsidRPr="006205AE">
        <w:rPr>
          <w:rStyle w:val="FootnoteReference"/>
          <w:rFonts w:cs="Calibri"/>
          <w:sz w:val="18"/>
          <w:szCs w:val="18"/>
          <w:lang w:eastAsia="en-US"/>
        </w:rPr>
        <w:footnoteRef/>
      </w:r>
      <w:r w:rsidR="0C856F1D" w:rsidRPr="006205AE">
        <w:rPr>
          <w:rStyle w:val="FootnoteReference"/>
          <w:rFonts w:cs="Calibri"/>
          <w:sz w:val="18"/>
          <w:szCs w:val="18"/>
          <w:lang w:eastAsia="en-US"/>
        </w:rPr>
        <w:t xml:space="preserve"> </w:t>
      </w:r>
      <w:r w:rsidR="00F14743" w:rsidRPr="006205AE">
        <w:rPr>
          <w:rFonts w:cs="Calibri"/>
          <w:sz w:val="18"/>
          <w:szCs w:val="18"/>
        </w:rPr>
        <w:t xml:space="preserve">Eurostat, </w:t>
      </w:r>
      <w:hyperlink r:id="rId77" w:history="1">
        <w:r w:rsidR="00F14743" w:rsidRPr="006205AE">
          <w:rPr>
            <w:rStyle w:val="Hyperlink"/>
            <w:rFonts w:cs="Calibri"/>
            <w:sz w:val="18"/>
            <w:szCs w:val="18"/>
          </w:rPr>
          <w:t>Digitalisation Dashboard</w:t>
        </w:r>
      </w:hyperlink>
      <w:r w:rsidR="00F14743" w:rsidRPr="006205AE">
        <w:rPr>
          <w:rFonts w:cs="Calibri"/>
          <w:sz w:val="18"/>
          <w:szCs w:val="18"/>
        </w:rPr>
        <w:t>, accessed in May 2026.</w:t>
      </w:r>
    </w:p>
  </w:footnote>
  <w:footnote w:id="78">
    <w:p w14:paraId="5A083593" w14:textId="77777777" w:rsidR="002134F1" w:rsidRPr="006205AE" w:rsidRDefault="002134F1" w:rsidP="002134F1">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Pr="006205AE">
        <w:rPr>
          <w:rFonts w:ascii="Calibri" w:hAnsi="Calibri" w:cs="Calibri"/>
          <w:sz w:val="18"/>
          <w:szCs w:val="18"/>
          <w:lang w:val="en-IE"/>
        </w:rPr>
        <w:t xml:space="preserve"> </w:t>
      </w:r>
      <w:r w:rsidRPr="006205AE">
        <w:rPr>
          <w:rFonts w:ascii="Calibri" w:hAnsi="Calibri" w:cs="Calibri"/>
          <w:sz w:val="18"/>
          <w:szCs w:val="18"/>
        </w:rPr>
        <w:t xml:space="preserve">ESPON, </w:t>
      </w:r>
      <w:hyperlink r:id="rId78" w:history="1">
        <w:r w:rsidRPr="006205AE">
          <w:rPr>
            <w:rStyle w:val="Hyperlink"/>
            <w:rFonts w:ascii="Calibri" w:hAnsi="Calibri" w:cs="Calibri"/>
            <w:sz w:val="18"/>
            <w:szCs w:val="18"/>
          </w:rPr>
          <w:t>DigiReg – Territorial Perspectives of Digital Transition in European Regions</w:t>
        </w:r>
      </w:hyperlink>
      <w:r w:rsidRPr="006205AE">
        <w:rPr>
          <w:rFonts w:ascii="Calibri" w:hAnsi="Calibri" w:cs="Calibri"/>
          <w:sz w:val="18"/>
          <w:szCs w:val="18"/>
        </w:rPr>
        <w:t>, 2024.</w:t>
      </w:r>
    </w:p>
  </w:footnote>
  <w:footnote w:id="79">
    <w:p w14:paraId="23877F5C" w14:textId="556FAA5D" w:rsidR="00F02958" w:rsidRPr="00967EE0" w:rsidRDefault="00F02958">
      <w:pPr>
        <w:pStyle w:val="FootnoteText"/>
        <w:rPr>
          <w:lang w:val="en-IE"/>
        </w:rPr>
      </w:pPr>
      <w:r>
        <w:rPr>
          <w:rStyle w:val="FootnoteReference"/>
        </w:rPr>
        <w:footnoteRef/>
      </w:r>
      <w:r>
        <w:t xml:space="preserve"> Eurofound (2025), </w:t>
      </w:r>
      <w:r w:rsidRPr="00FD53CE">
        <w:t>https://www.eurofound.europa.eu/en/publications/all/digitalisation-social-protection</w:t>
      </w:r>
    </w:p>
  </w:footnote>
  <w:footnote w:id="80">
    <w:p w14:paraId="6B8BB6C1" w14:textId="4F04AAEC" w:rsidR="00987F71" w:rsidRPr="00967EE0" w:rsidRDefault="00987F71">
      <w:pPr>
        <w:pStyle w:val="FootnoteText"/>
        <w:rPr>
          <w:lang w:val="en-IE"/>
        </w:rPr>
      </w:pPr>
      <w:r>
        <w:rPr>
          <w:rStyle w:val="FootnoteReference"/>
        </w:rPr>
        <w:footnoteRef/>
      </w:r>
      <w:r>
        <w:t xml:space="preserve"> </w:t>
      </w:r>
      <w:r w:rsidRPr="00BE387B">
        <w:t>https://op.europa.eu/en/publication-detail/-/publication/56969910-beba-11f0-a612-01aa75ed71a1/language-en</w:t>
      </w:r>
    </w:p>
  </w:footnote>
  <w:footnote w:id="81">
    <w:p w14:paraId="7B1EE00D" w14:textId="19ED94A1" w:rsidR="16FBFCDA" w:rsidRPr="006205AE" w:rsidRDefault="16FBFCDA" w:rsidP="16FBFCDA">
      <w:pPr>
        <w:pStyle w:val="FootnoteText"/>
        <w:rPr>
          <w:rFonts w:ascii="Calibri" w:eastAsia="Aptos"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European Commission,</w:t>
      </w:r>
      <w:r w:rsidR="0C856F1D" w:rsidRPr="006205AE">
        <w:rPr>
          <w:rFonts w:ascii="Calibri" w:eastAsia="Aptos" w:hAnsi="Calibri" w:cs="Calibri"/>
          <w:sz w:val="18"/>
          <w:szCs w:val="18"/>
        </w:rPr>
        <w:t xml:space="preserve"> </w:t>
      </w:r>
      <w:hyperlink r:id="rId79">
        <w:r w:rsidR="0C856F1D" w:rsidRPr="006205AE">
          <w:rPr>
            <w:rStyle w:val="Hyperlink"/>
            <w:rFonts w:ascii="Calibri" w:eastAsia="Aptos" w:hAnsi="Calibri" w:cs="Calibri"/>
            <w:sz w:val="18"/>
            <w:szCs w:val="18"/>
          </w:rPr>
          <w:t>The future of European competitiveness: Report by Mario Draghi</w:t>
        </w:r>
      </w:hyperlink>
      <w:r w:rsidR="0C856F1D" w:rsidRPr="006205AE">
        <w:rPr>
          <w:rFonts w:ascii="Calibri" w:eastAsia="Aptos" w:hAnsi="Calibri" w:cs="Calibri"/>
          <w:sz w:val="18"/>
          <w:szCs w:val="18"/>
        </w:rPr>
        <w:t xml:space="preserve">, September 2024, </w:t>
      </w:r>
    </w:p>
  </w:footnote>
  <w:footnote w:id="82">
    <w:p w14:paraId="5A84DB2F" w14:textId="39ED765D" w:rsidR="16FBFCDA" w:rsidRPr="006205AE" w:rsidRDefault="16FBFCDA" w:rsidP="16FBFCDA">
      <w:pPr>
        <w:pStyle w:val="FootnoteText"/>
        <w:rPr>
          <w:rFonts w:ascii="Calibri" w:hAnsi="Calibri" w:cs="Calibri"/>
          <w:sz w:val="18"/>
          <w:szCs w:val="18"/>
        </w:rPr>
      </w:pPr>
      <w:r w:rsidRPr="006205AE">
        <w:rPr>
          <w:rStyle w:val="FootnoteReference"/>
          <w:rFonts w:ascii="Calibri" w:hAnsi="Calibri" w:cs="Calibri"/>
          <w:sz w:val="18"/>
          <w:szCs w:val="18"/>
        </w:rPr>
        <w:footnoteRef/>
      </w:r>
      <w:r w:rsidR="4F7029EF" w:rsidRPr="006205AE">
        <w:rPr>
          <w:rFonts w:ascii="Calibri" w:hAnsi="Calibri" w:cs="Calibri"/>
          <w:sz w:val="18"/>
          <w:szCs w:val="18"/>
        </w:rPr>
        <w:t xml:space="preserve"> </w:t>
      </w:r>
      <w:r w:rsidR="00030A18" w:rsidRPr="006205AE">
        <w:rPr>
          <w:rFonts w:ascii="Calibri" w:hAnsi="Calibri" w:cs="Calibri"/>
          <w:sz w:val="18"/>
          <w:szCs w:val="18"/>
        </w:rPr>
        <w:t>European Commission</w:t>
      </w:r>
      <w:r w:rsidR="4F7029EF" w:rsidRPr="006205AE">
        <w:rPr>
          <w:rFonts w:ascii="Calibri" w:hAnsi="Calibri" w:cs="Calibri"/>
          <w:sz w:val="18"/>
          <w:szCs w:val="18"/>
        </w:rPr>
        <w:t>, PwC, EEIG, Open Evidence,</w:t>
      </w:r>
      <w:r w:rsidRPr="006205AE">
        <w:rPr>
          <w:rFonts w:ascii="Calibri" w:hAnsi="Calibri" w:cs="Calibri"/>
          <w:sz w:val="18"/>
          <w:szCs w:val="18"/>
        </w:rPr>
        <w:t xml:space="preserve"> </w:t>
      </w:r>
      <w:hyperlink r:id="rId80">
        <w:r w:rsidR="00811972" w:rsidRPr="006205AE">
          <w:rPr>
            <w:rStyle w:val="Hyperlink"/>
            <w:rFonts w:ascii="Calibri" w:hAnsi="Calibri" w:cs="Calibri"/>
            <w:color w:val="467886"/>
            <w:sz w:val="18"/>
            <w:szCs w:val="18"/>
          </w:rPr>
          <w:t>Study on the deployment of AI in healthcare</w:t>
        </w:r>
      </w:hyperlink>
      <w:r w:rsidR="00583385" w:rsidRPr="006205AE">
        <w:rPr>
          <w:rFonts w:ascii="Calibri" w:hAnsi="Calibri" w:cs="Calibri"/>
          <w:sz w:val="18"/>
          <w:szCs w:val="18"/>
        </w:rPr>
        <w:t>, 2025.</w:t>
      </w:r>
    </w:p>
  </w:footnote>
  <w:footnote w:id="83">
    <w:p w14:paraId="394D38F2" w14:textId="05F18CE0" w:rsidR="00FF30F7" w:rsidRPr="006205AE" w:rsidRDefault="00FF30F7" w:rsidP="00FF30F7">
      <w:pPr>
        <w:rPr>
          <w:rFonts w:cs="Calibri"/>
          <w:sz w:val="18"/>
          <w:szCs w:val="18"/>
        </w:rPr>
      </w:pPr>
      <w:r w:rsidRPr="006205AE">
        <w:rPr>
          <w:rStyle w:val="FootnoteReference"/>
          <w:rFonts w:cs="Calibri"/>
          <w:sz w:val="18"/>
          <w:szCs w:val="18"/>
          <w:lang w:eastAsia="en-US"/>
        </w:rPr>
        <w:footnoteRef/>
      </w:r>
      <w:r w:rsidRPr="006205AE">
        <w:rPr>
          <w:rStyle w:val="FootnoteReference"/>
          <w:rFonts w:cs="Calibri"/>
          <w:sz w:val="18"/>
          <w:szCs w:val="18"/>
          <w:lang w:eastAsia="en-US"/>
        </w:rPr>
        <w:t xml:space="preserve"> </w:t>
      </w:r>
      <w:r w:rsidRPr="006205AE">
        <w:rPr>
          <w:rFonts w:cs="Calibri"/>
          <w:sz w:val="18"/>
          <w:szCs w:val="18"/>
          <w:lang w:eastAsia="en-US"/>
        </w:rPr>
        <w:t>Primary use of data means using electronic health data, to treat or rehabilitate patients, prescribe or dispense medical products and deliver associated social, administrative, or reimbursement services. In contrast, ‘secondary’ use refers to reusing existing data that was collected during primary use for scientific research purposes, public interest, policy support.</w:t>
      </w:r>
    </w:p>
  </w:footnote>
  <w:footnote w:id="84">
    <w:p w14:paraId="0407ED81" w14:textId="513BABB4" w:rsidR="00FF30F7" w:rsidRPr="006205AE" w:rsidRDefault="00FF30F7" w:rsidP="00FF30F7">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There is no single internationally agreed definition of green technology. The UN broadly defines it as technology with "the potential to significantly improve environmental performance relative to other technologies." For the purposes of this report, green technology (or "greentech") refers to technologies, products, and systems that measurably reduce environmental harm, improve resource efficiency, and support a more sustainable economy </w:t>
      </w:r>
      <w:r w:rsidR="009B66E7">
        <w:rPr>
          <w:rFonts w:ascii="Calibri" w:hAnsi="Calibri" w:cs="Calibri"/>
          <w:sz w:val="18"/>
          <w:szCs w:val="18"/>
        </w:rPr>
        <w:t xml:space="preserve"> -</w:t>
      </w:r>
      <w:r w:rsidRPr="006205AE">
        <w:rPr>
          <w:rFonts w:ascii="Calibri" w:hAnsi="Calibri" w:cs="Calibri"/>
          <w:sz w:val="18"/>
          <w:szCs w:val="18"/>
        </w:rPr>
        <w:t xml:space="preserve"> spanning both hardware (e.g. batteries, heat pumps, solar modules) and software (e.g. grid optimisation, climate analytics). The term lacks an officially adopted European Commission definition; the closest legislative equivalents at EU level are the </w:t>
      </w:r>
      <w:hyperlink r:id="rId81" w:history="1">
        <w:r w:rsidRPr="006205AE">
          <w:rPr>
            <w:rStyle w:val="Hyperlink"/>
            <w:rFonts w:ascii="Calibri" w:hAnsi="Calibri" w:cs="Calibri"/>
            <w:sz w:val="18"/>
            <w:szCs w:val="18"/>
          </w:rPr>
          <w:t>EU Taxonomy for Sustainable Activities</w:t>
        </w:r>
      </w:hyperlink>
      <w:r w:rsidRPr="006205AE">
        <w:rPr>
          <w:rFonts w:ascii="Calibri" w:hAnsi="Calibri" w:cs="Calibri"/>
          <w:sz w:val="18"/>
          <w:szCs w:val="18"/>
        </w:rPr>
        <w:t xml:space="preserve"> and the list of net-zero technologies under the </w:t>
      </w:r>
      <w:hyperlink r:id="rId82" w:history="1">
        <w:r w:rsidRPr="006205AE">
          <w:rPr>
            <w:rStyle w:val="Hyperlink"/>
            <w:rFonts w:ascii="Calibri" w:hAnsi="Calibri" w:cs="Calibri"/>
            <w:sz w:val="18"/>
            <w:szCs w:val="18"/>
          </w:rPr>
          <w:t>Net-Zero Industry Act</w:t>
        </w:r>
      </w:hyperlink>
      <w:r w:rsidRPr="006205AE">
        <w:rPr>
          <w:rFonts w:ascii="Calibri" w:hAnsi="Calibri" w:cs="Calibri"/>
          <w:sz w:val="18"/>
          <w:szCs w:val="18"/>
        </w:rPr>
        <w:t xml:space="preserve"> (Regulation (EU) 2024/1735 of 13 June 2024).</w:t>
      </w:r>
    </w:p>
  </w:footnote>
  <w:footnote w:id="85">
    <w:p w14:paraId="187D5C5A" w14:textId="4D1A56F2" w:rsidR="3565307B" w:rsidRPr="006205AE" w:rsidRDefault="3565307B" w:rsidP="004B259F">
      <w:pPr>
        <w:spacing w:before="0" w:after="0" w:line="278" w:lineRule="auto"/>
        <w:rPr>
          <w:rFonts w:eastAsia="Calibri" w:cs="Calibri"/>
          <w:sz w:val="18"/>
          <w:szCs w:val="18"/>
        </w:rPr>
      </w:pPr>
      <w:r w:rsidRPr="006205AE">
        <w:rPr>
          <w:rStyle w:val="FootnoteReference"/>
          <w:rFonts w:cs="Calibri"/>
          <w:sz w:val="18"/>
          <w:szCs w:val="18"/>
          <w:lang w:eastAsia="en-US"/>
        </w:rPr>
        <w:footnoteRef/>
      </w:r>
      <w:r w:rsidRPr="006205AE">
        <w:rPr>
          <w:rFonts w:cs="Calibri"/>
          <w:sz w:val="18"/>
          <w:szCs w:val="18"/>
        </w:rPr>
        <w:t xml:space="preserve"> </w:t>
      </w:r>
      <w:r w:rsidR="00167DAF" w:rsidRPr="006205AE">
        <w:rPr>
          <w:rFonts w:cs="Calibri"/>
          <w:sz w:val="18"/>
          <w:szCs w:val="18"/>
        </w:rPr>
        <w:t>IEA</w:t>
      </w:r>
      <w:r w:rsidR="00B02B04" w:rsidRPr="006205AE">
        <w:rPr>
          <w:rFonts w:cs="Calibri"/>
          <w:sz w:val="18"/>
          <w:szCs w:val="18"/>
        </w:rPr>
        <w:t>,</w:t>
      </w:r>
      <w:r w:rsidR="00167DAF" w:rsidRPr="006205AE">
        <w:rPr>
          <w:rFonts w:cs="Calibri"/>
          <w:sz w:val="18"/>
          <w:szCs w:val="18"/>
        </w:rPr>
        <w:t xml:space="preserve"> </w:t>
      </w:r>
      <w:hyperlink r:id="rId83" w:history="1">
        <w:r w:rsidR="00B02B04" w:rsidRPr="006205AE">
          <w:rPr>
            <w:rStyle w:val="Hyperlink"/>
            <w:rFonts w:cs="Calibri"/>
            <w:sz w:val="18"/>
            <w:szCs w:val="18"/>
          </w:rPr>
          <w:t>Energy and AI</w:t>
        </w:r>
      </w:hyperlink>
      <w:r w:rsidR="00B02B04" w:rsidRPr="006205AE">
        <w:rPr>
          <w:rFonts w:cs="Calibri"/>
          <w:sz w:val="18"/>
          <w:szCs w:val="18"/>
        </w:rPr>
        <w:t>, International Energy Agency, 2025.</w:t>
      </w:r>
    </w:p>
  </w:footnote>
  <w:footnote w:id="86">
    <w:p w14:paraId="3F3AD1E2" w14:textId="7ECAFB88" w:rsidR="7425F46C" w:rsidRPr="006205AE" w:rsidRDefault="7425F46C" w:rsidP="004B259F">
      <w:pPr>
        <w:spacing w:before="0" w:after="0" w:line="278" w:lineRule="auto"/>
        <w:rPr>
          <w:rFonts w:eastAsia="Calibri" w:cs="Calibri"/>
          <w:sz w:val="18"/>
          <w:szCs w:val="18"/>
        </w:rPr>
      </w:pPr>
      <w:r w:rsidRPr="006205AE">
        <w:rPr>
          <w:rStyle w:val="FootnoteReference"/>
          <w:rFonts w:cs="Calibri"/>
          <w:sz w:val="18"/>
          <w:szCs w:val="18"/>
          <w:lang w:eastAsia="en-US"/>
        </w:rPr>
        <w:footnoteRef/>
      </w:r>
      <w:r w:rsidR="0C856F1D" w:rsidRPr="006205AE">
        <w:rPr>
          <w:rStyle w:val="FootnoteReference"/>
          <w:rFonts w:cs="Calibri"/>
          <w:sz w:val="18"/>
          <w:szCs w:val="18"/>
          <w:lang w:eastAsia="en-US"/>
        </w:rPr>
        <w:t xml:space="preserve"> </w:t>
      </w:r>
      <w:r w:rsidR="0055469C" w:rsidRPr="006205AE">
        <w:rPr>
          <w:rFonts w:cs="Calibri"/>
          <w:sz w:val="18"/>
          <w:szCs w:val="18"/>
        </w:rPr>
        <w:t>Ibid.</w:t>
      </w:r>
    </w:p>
  </w:footnote>
  <w:footnote w:id="87">
    <w:p w14:paraId="691CE19E" w14:textId="76E57153" w:rsidR="00DC4F4E" w:rsidRPr="006205AE" w:rsidRDefault="00DC4F4E" w:rsidP="004B259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8F707C" w:rsidRPr="006205AE">
        <w:rPr>
          <w:rFonts w:ascii="Calibri" w:hAnsi="Calibri" w:cs="Calibri"/>
          <w:sz w:val="18"/>
          <w:szCs w:val="18"/>
        </w:rPr>
        <w:t xml:space="preserve">IEA, Table A.4: Data Centres Electricity Consumption by Region, p. 110, </w:t>
      </w:r>
      <w:hyperlink r:id="rId84" w:history="1">
        <w:r w:rsidR="008F707C" w:rsidRPr="006205AE">
          <w:rPr>
            <w:rStyle w:val="Hyperlink"/>
            <w:rFonts w:ascii="Calibri" w:hAnsi="Calibri" w:cs="Calibri"/>
            <w:sz w:val="18"/>
            <w:szCs w:val="18"/>
          </w:rPr>
          <w:t>Key Questions on Energy and AI</w:t>
        </w:r>
      </w:hyperlink>
      <w:r w:rsidR="008F707C" w:rsidRPr="006205AE">
        <w:rPr>
          <w:rFonts w:ascii="Calibri" w:hAnsi="Calibri" w:cs="Calibri"/>
          <w:sz w:val="18"/>
          <w:szCs w:val="18"/>
        </w:rPr>
        <w:t>, International Energy Agency, April 2026.</w:t>
      </w:r>
    </w:p>
  </w:footnote>
  <w:footnote w:id="88">
    <w:p w14:paraId="3A31C5F0" w14:textId="22A5F7F0" w:rsidR="62C1AF40" w:rsidRPr="006205AE" w:rsidRDefault="62C1AF40" w:rsidP="004B259F">
      <w:pPr>
        <w:spacing w:before="0" w:after="0" w:line="278" w:lineRule="auto"/>
        <w:rPr>
          <w:rFonts w:eastAsia="Calibri" w:cs="Calibri"/>
          <w:color w:val="467886" w:themeColor="hyperlink"/>
          <w:sz w:val="18"/>
          <w:szCs w:val="18"/>
          <w:u w:val="single"/>
        </w:rPr>
      </w:pPr>
      <w:r w:rsidRPr="006205AE">
        <w:rPr>
          <w:rStyle w:val="FootnoteReference"/>
          <w:rFonts w:cs="Calibri"/>
          <w:sz w:val="18"/>
          <w:szCs w:val="18"/>
          <w:lang w:eastAsia="en-US"/>
        </w:rPr>
        <w:footnoteRef/>
      </w:r>
      <w:r w:rsidR="00F94475" w:rsidRPr="006205AE">
        <w:rPr>
          <w:rStyle w:val="FootnoteReference"/>
          <w:rFonts w:cs="Calibri"/>
          <w:sz w:val="18"/>
          <w:szCs w:val="18"/>
          <w:lang w:eastAsia="en-US"/>
        </w:rPr>
        <w:t xml:space="preserve"> </w:t>
      </w:r>
      <w:r w:rsidR="00F94475" w:rsidRPr="006205AE">
        <w:rPr>
          <w:rFonts w:cs="Calibri"/>
          <w:sz w:val="18"/>
          <w:szCs w:val="18"/>
        </w:rPr>
        <w:t>Euronews,</w:t>
      </w:r>
      <w:r w:rsidRPr="006205AE">
        <w:rPr>
          <w:rFonts w:cs="Calibri"/>
          <w:sz w:val="18"/>
          <w:szCs w:val="18"/>
        </w:rPr>
        <w:t xml:space="preserve"> </w:t>
      </w:r>
      <w:hyperlink r:id="rId85" w:history="1">
        <w:r w:rsidR="005567FF" w:rsidRPr="006205AE">
          <w:rPr>
            <w:rStyle w:val="Hyperlink"/>
            <w:rFonts w:cs="Calibri"/>
            <w:sz w:val="18"/>
            <w:szCs w:val="18"/>
          </w:rPr>
          <w:t>Is Europe Losing the Race to Secure Rare Earth Materials?</w:t>
        </w:r>
      </w:hyperlink>
      <w:r w:rsidR="005567FF" w:rsidRPr="006205AE">
        <w:rPr>
          <w:rFonts w:cs="Calibri"/>
          <w:sz w:val="18"/>
          <w:szCs w:val="18"/>
        </w:rPr>
        <w:t>, January 2026</w:t>
      </w:r>
      <w:r w:rsidR="00A963F9" w:rsidRPr="006205AE">
        <w:rPr>
          <w:rFonts w:cs="Calibri"/>
          <w:sz w:val="18"/>
          <w:szCs w:val="18"/>
        </w:rPr>
        <w:t xml:space="preserve">; </w:t>
      </w:r>
      <w:r w:rsidR="0C856F1D" w:rsidRPr="00A963F9">
        <w:rPr>
          <w:sz w:val="18"/>
          <w:szCs w:val="18"/>
        </w:rPr>
        <w:t xml:space="preserve">Eurostat, </w:t>
      </w:r>
      <w:hyperlink r:id="rId86">
        <w:r w:rsidR="0C856F1D" w:rsidRPr="006205AE">
          <w:rPr>
            <w:rStyle w:val="Hyperlink"/>
            <w:rFonts w:eastAsia="Calibri" w:cs="Calibri"/>
            <w:sz w:val="18"/>
            <w:szCs w:val="18"/>
          </w:rPr>
          <w:t>Imports of rare earth elements saw 30% drop in 2024</w:t>
        </w:r>
      </w:hyperlink>
      <w:r w:rsidR="0C856F1D" w:rsidRPr="00A963F9">
        <w:rPr>
          <w:sz w:val="18"/>
          <w:szCs w:val="18"/>
        </w:rPr>
        <w:t>, April 2025.</w:t>
      </w:r>
    </w:p>
  </w:footnote>
  <w:footnote w:id="89">
    <w:p w14:paraId="394085EE" w14:textId="28731965" w:rsidR="0068710E" w:rsidRPr="006205AE" w:rsidRDefault="0068710E" w:rsidP="004B259F">
      <w:pPr>
        <w:pStyle w:val="FootnoteText"/>
        <w:spacing w:line="278" w:lineRule="auto"/>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IEA, </w:t>
      </w:r>
      <w:hyperlink r:id="rId87" w:history="1">
        <w:r w:rsidRPr="006205AE">
          <w:rPr>
            <w:rStyle w:val="Hyperlink"/>
            <w:rFonts w:ascii="Calibri" w:hAnsi="Calibri" w:cs="Calibri"/>
            <w:sz w:val="18"/>
            <w:szCs w:val="18"/>
          </w:rPr>
          <w:t>Energy and AI</w:t>
        </w:r>
      </w:hyperlink>
      <w:r w:rsidR="006C1574" w:rsidRPr="006205AE">
        <w:rPr>
          <w:rFonts w:ascii="Calibri" w:hAnsi="Calibri" w:cs="Calibri"/>
          <w:sz w:val="18"/>
          <w:szCs w:val="18"/>
        </w:rPr>
        <w:t>, International Energy Agency, April 2025</w:t>
      </w:r>
      <w:r w:rsidR="002D7D71" w:rsidRPr="006205AE">
        <w:rPr>
          <w:rFonts w:ascii="Calibri" w:hAnsi="Calibri" w:cs="Calibri"/>
          <w:sz w:val="18"/>
          <w:szCs w:val="18"/>
        </w:rPr>
        <w:t xml:space="preserve">; </w:t>
      </w:r>
      <w:r w:rsidR="0C856F1D" w:rsidRPr="006205AE">
        <w:rPr>
          <w:rFonts w:ascii="Calibri" w:hAnsi="Calibri" w:cs="Calibri"/>
          <w:sz w:val="18"/>
          <w:szCs w:val="18"/>
        </w:rPr>
        <w:t xml:space="preserve">IEA, </w:t>
      </w:r>
      <w:hyperlink r:id="rId88">
        <w:r w:rsidR="0C856F1D" w:rsidRPr="006205AE">
          <w:rPr>
            <w:rStyle w:val="Hyperlink"/>
            <w:rFonts w:ascii="Calibri" w:hAnsi="Calibri" w:cs="Calibri"/>
            <w:sz w:val="18"/>
            <w:szCs w:val="18"/>
          </w:rPr>
          <w:t>Overcoming energy constraints is key to delivering on Europe's data centre goals</w:t>
        </w:r>
      </w:hyperlink>
      <w:r w:rsidR="0C856F1D" w:rsidRPr="006205AE">
        <w:rPr>
          <w:rFonts w:ascii="Calibri" w:hAnsi="Calibri" w:cs="Calibri"/>
          <w:sz w:val="18"/>
          <w:szCs w:val="18"/>
        </w:rPr>
        <w:t>, November 2025.</w:t>
      </w:r>
    </w:p>
  </w:footnote>
  <w:footnote w:id="90">
    <w:p w14:paraId="57523A01" w14:textId="1271A165" w:rsidR="00107139" w:rsidRPr="006205AE" w:rsidRDefault="00107139">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89" w:history="1">
        <w:r w:rsidRPr="006205AE">
          <w:rPr>
            <w:rStyle w:val="Hyperlink"/>
            <w:rFonts w:ascii="Calibri" w:hAnsi="Calibri" w:cs="Calibri"/>
            <w:sz w:val="18"/>
            <w:szCs w:val="18"/>
          </w:rPr>
          <w:t>Environmentally sustainable telecommunications networks</w:t>
        </w:r>
      </w:hyperlink>
      <w:r w:rsidRPr="006205AE">
        <w:rPr>
          <w:rFonts w:ascii="Calibri" w:hAnsi="Calibri" w:cs="Calibri"/>
          <w:sz w:val="18"/>
          <w:szCs w:val="18"/>
        </w:rPr>
        <w:t>, January 2026.</w:t>
      </w:r>
    </w:p>
  </w:footnote>
  <w:footnote w:id="91">
    <w:p w14:paraId="42052A63" w14:textId="7FCAE8A1" w:rsidR="00107139" w:rsidRPr="006205AE" w:rsidRDefault="00107139">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90" w:history="1">
        <w:r w:rsidRPr="006205AE">
          <w:rPr>
            <w:rStyle w:val="Hyperlink"/>
            <w:rFonts w:ascii="Calibri" w:hAnsi="Calibri" w:cs="Calibri"/>
            <w:sz w:val="18"/>
            <w:szCs w:val="18"/>
          </w:rPr>
          <w:t>Digitalising the Energy System – EU Action Plan</w:t>
        </w:r>
      </w:hyperlink>
      <w:r w:rsidRPr="006205AE">
        <w:rPr>
          <w:rFonts w:ascii="Calibri" w:hAnsi="Calibri" w:cs="Calibri"/>
          <w:sz w:val="18"/>
          <w:szCs w:val="18"/>
        </w:rPr>
        <w:t>, COM(2022) 552 final, 18 October 2022.</w:t>
      </w:r>
    </w:p>
  </w:footnote>
  <w:footnote w:id="92">
    <w:p w14:paraId="0CC49735" w14:textId="7DB11E45" w:rsidR="00ED354A" w:rsidRPr="006205AE" w:rsidRDefault="00ED354A">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European Commission, </w:t>
      </w:r>
      <w:hyperlink r:id="rId91" w:history="1">
        <w:r w:rsidRPr="006205AE">
          <w:rPr>
            <w:rStyle w:val="Hyperlink"/>
            <w:rFonts w:ascii="Calibri" w:hAnsi="Calibri" w:cs="Calibri"/>
            <w:sz w:val="18"/>
            <w:szCs w:val="18"/>
          </w:rPr>
          <w:t>Proposal for a Regulation of the European Parliament and of the Council on Digital Networks (Digital Networks Act)</w:t>
        </w:r>
      </w:hyperlink>
      <w:r w:rsidRPr="006205AE">
        <w:rPr>
          <w:rFonts w:ascii="Calibri" w:hAnsi="Calibri" w:cs="Calibri"/>
          <w:sz w:val="18"/>
          <w:szCs w:val="18"/>
        </w:rPr>
        <w:t>, COM(2026) 16 final, 21 January 2026.</w:t>
      </w:r>
    </w:p>
  </w:footnote>
  <w:footnote w:id="93">
    <w:p w14:paraId="4268A5A6" w14:textId="1852E658" w:rsidR="00A4790D" w:rsidRPr="008C5DFC" w:rsidRDefault="00A4790D">
      <w:pPr>
        <w:pStyle w:val="FootnoteText"/>
        <w:rPr>
          <w:rFonts w:ascii="Calibri" w:hAnsi="Calibri" w:cs="Calibri"/>
          <w:sz w:val="18"/>
          <w:szCs w:val="18"/>
        </w:rPr>
      </w:pPr>
      <w:r w:rsidRPr="008C5DFC">
        <w:rPr>
          <w:rStyle w:val="FootnoteReference"/>
          <w:rFonts w:ascii="Calibri" w:hAnsi="Calibri" w:cs="Calibri"/>
          <w:sz w:val="18"/>
          <w:szCs w:val="18"/>
        </w:rPr>
        <w:footnoteRef/>
      </w:r>
      <w:r w:rsidRPr="008C5DFC">
        <w:rPr>
          <w:rFonts w:ascii="Calibri" w:hAnsi="Calibri" w:cs="Calibri"/>
          <w:sz w:val="18"/>
          <w:szCs w:val="18"/>
        </w:rPr>
        <w:t xml:space="preserve"> </w:t>
      </w:r>
      <w:r w:rsidR="00A16F28" w:rsidRPr="008C5DFC">
        <w:rPr>
          <w:rFonts w:ascii="Calibri" w:hAnsi="Calibri" w:cs="Calibri"/>
          <w:sz w:val="18"/>
          <w:szCs w:val="18"/>
        </w:rPr>
        <w:t xml:space="preserve">Sage, the </w:t>
      </w:r>
      <w:r w:rsidR="008C5DFC" w:rsidRPr="008C5DFC">
        <w:rPr>
          <w:rFonts w:ascii="Calibri" w:hAnsi="Calibri" w:cs="Calibri"/>
          <w:sz w:val="18"/>
          <w:szCs w:val="18"/>
        </w:rPr>
        <w:t>Data space for a sustainable Green Europe.</w:t>
      </w:r>
    </w:p>
  </w:footnote>
  <w:footnote w:id="94">
    <w:p w14:paraId="6394158B" w14:textId="371A82F9" w:rsidR="2F9032BA" w:rsidRPr="006205AE" w:rsidRDefault="2F9032BA">
      <w:pPr>
        <w:rPr>
          <w:rFonts w:eastAsia="Calibri" w:cs="Calibri"/>
          <w:sz w:val="18"/>
          <w:szCs w:val="18"/>
        </w:rPr>
      </w:pPr>
      <w:r w:rsidRPr="006205AE">
        <w:rPr>
          <w:rStyle w:val="FootnoteReference"/>
          <w:rFonts w:cs="Calibri"/>
          <w:sz w:val="18"/>
          <w:szCs w:val="18"/>
          <w:lang w:eastAsia="en-US"/>
        </w:rPr>
        <w:footnoteRef/>
      </w:r>
      <w:r w:rsidR="0C856F1D" w:rsidRPr="006205AE">
        <w:rPr>
          <w:rFonts w:cs="Calibri"/>
          <w:sz w:val="18"/>
          <w:szCs w:val="18"/>
        </w:rPr>
        <w:t xml:space="preserve"> The Shift Project,</w:t>
      </w:r>
      <w:r w:rsidR="0C856F1D" w:rsidRPr="006205AE">
        <w:rPr>
          <w:rFonts w:eastAsia="Times New Roman" w:cs="Calibri"/>
          <w:sz w:val="18"/>
          <w:szCs w:val="18"/>
        </w:rPr>
        <w:t xml:space="preserve"> </w:t>
      </w:r>
      <w:hyperlink r:id="rId92">
        <w:r w:rsidR="0C856F1D" w:rsidRPr="006205AE">
          <w:rPr>
            <w:rStyle w:val="Hyperlink"/>
            <w:rFonts w:eastAsia="Times New Roman" w:cs="Calibri"/>
            <w:color w:val="0000FF"/>
            <w:sz w:val="18"/>
            <w:szCs w:val="18"/>
          </w:rPr>
          <w:t>Al, data, and computing: shaping infrastructures for a decarbonised world</w:t>
        </w:r>
      </w:hyperlink>
      <w:r w:rsidR="0C856F1D" w:rsidRPr="006205AE">
        <w:rPr>
          <w:rFonts w:eastAsia="Times New Roman" w:cs="Calibri"/>
          <w:sz w:val="18"/>
          <w:szCs w:val="18"/>
        </w:rPr>
        <w:t>, November 2025.</w:t>
      </w:r>
    </w:p>
  </w:footnote>
  <w:footnote w:id="95">
    <w:p w14:paraId="07D57E62" w14:textId="18BEC8A2" w:rsidR="264C3E23" w:rsidRPr="006205AE" w:rsidRDefault="264C3E23" w:rsidP="00E04FB9">
      <w:pPr>
        <w:pStyle w:val="FootnoteText"/>
        <w:rPr>
          <w:rFonts w:ascii="Calibri" w:hAnsi="Calibri" w:cs="Calibri"/>
          <w:sz w:val="18"/>
          <w:szCs w:val="18"/>
        </w:rPr>
      </w:pPr>
      <w:r w:rsidRPr="006205AE">
        <w:rPr>
          <w:rStyle w:val="FootnoteReference"/>
          <w:rFonts w:ascii="Calibri" w:hAnsi="Calibri" w:cs="Calibri"/>
          <w:sz w:val="18"/>
          <w:szCs w:val="18"/>
        </w:rPr>
        <w:footnoteRef/>
      </w:r>
      <w:r w:rsidR="00522E23" w:rsidRPr="006205AE">
        <w:rPr>
          <w:rFonts w:ascii="Calibri" w:hAnsi="Calibri" w:cs="Calibri"/>
          <w:sz w:val="18"/>
          <w:szCs w:val="18"/>
        </w:rPr>
        <w:t xml:space="preserve"> European Commission, </w:t>
      </w:r>
      <w:hyperlink r:id="rId93">
        <w:r w:rsidR="00522E23" w:rsidRPr="006205AE">
          <w:rPr>
            <w:rStyle w:val="Hyperlink"/>
            <w:rFonts w:ascii="Calibri" w:hAnsi="Calibri" w:cs="Calibri"/>
            <w:sz w:val="18"/>
            <w:szCs w:val="18"/>
          </w:rPr>
          <w:t>Digitalisation of the energy system</w:t>
        </w:r>
      </w:hyperlink>
      <w:r w:rsidR="00522E23" w:rsidRPr="006205AE">
        <w:rPr>
          <w:rFonts w:ascii="Calibri" w:hAnsi="Calibri" w:cs="Calibri"/>
          <w:sz w:val="18"/>
          <w:szCs w:val="18"/>
        </w:rPr>
        <w:t>.</w:t>
      </w:r>
    </w:p>
  </w:footnote>
  <w:footnote w:id="96">
    <w:p w14:paraId="452856A0" w14:textId="2BB8816D" w:rsidR="4D86831B" w:rsidRPr="006205AE" w:rsidRDefault="4D86831B" w:rsidP="00E04FB9">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European Commission, </w:t>
      </w:r>
      <w:hyperlink r:id="rId94">
        <w:r w:rsidR="0C856F1D" w:rsidRPr="006205AE">
          <w:rPr>
            <w:rStyle w:val="Hyperlink"/>
            <w:rFonts w:ascii="Calibri" w:eastAsia="Aptos" w:hAnsi="Calibri" w:cs="Calibri"/>
            <w:color w:val="467886"/>
            <w:sz w:val="18"/>
            <w:szCs w:val="18"/>
          </w:rPr>
          <w:t>Strategic Roadmap for digitalisation and AI in the energy sector – consultations opened</w:t>
        </w:r>
      </w:hyperlink>
      <w:r w:rsidR="0C856F1D" w:rsidRPr="006205AE">
        <w:rPr>
          <w:rFonts w:ascii="Calibri" w:hAnsi="Calibri" w:cs="Calibri"/>
          <w:sz w:val="18"/>
          <w:szCs w:val="18"/>
        </w:rPr>
        <w:t>, August 2025.</w:t>
      </w:r>
    </w:p>
  </w:footnote>
  <w:footnote w:id="97">
    <w:p w14:paraId="4E06EB05" w14:textId="34500C22" w:rsidR="1A5236FA" w:rsidRPr="006205AE" w:rsidRDefault="1A5236FA">
      <w:pPr>
        <w:pStyle w:val="FootnoteText"/>
        <w:rPr>
          <w:rFonts w:ascii="Calibri" w:hAnsi="Calibri" w:cs="Calibri"/>
          <w:sz w:val="18"/>
          <w:szCs w:val="18"/>
          <w:lang w:val="fr-FR"/>
        </w:rPr>
      </w:pPr>
      <w:r w:rsidRPr="006205AE">
        <w:rPr>
          <w:rStyle w:val="FootnoteReference"/>
          <w:rFonts w:ascii="Calibri" w:hAnsi="Calibri" w:cs="Calibri"/>
          <w:sz w:val="18"/>
          <w:szCs w:val="18"/>
        </w:rPr>
        <w:footnoteRef/>
      </w:r>
      <w:r w:rsidRPr="006205AE">
        <w:rPr>
          <w:rFonts w:ascii="Calibri" w:hAnsi="Calibri" w:cs="Calibri"/>
          <w:sz w:val="18"/>
          <w:szCs w:val="18"/>
          <w:lang w:val="fr-FR"/>
        </w:rPr>
        <w:t xml:space="preserve"> </w:t>
      </w:r>
      <w:r w:rsidR="00261DBD" w:rsidRPr="006205AE">
        <w:rPr>
          <w:rFonts w:ascii="Calibri" w:hAnsi="Calibri" w:cs="Calibri"/>
          <w:sz w:val="18"/>
          <w:szCs w:val="18"/>
          <w:lang w:val="fr-FR"/>
        </w:rPr>
        <w:t>République</w:t>
      </w:r>
      <w:r w:rsidR="002C7055" w:rsidRPr="006205AE">
        <w:rPr>
          <w:rFonts w:ascii="Calibri" w:hAnsi="Calibri" w:cs="Calibri"/>
          <w:sz w:val="18"/>
          <w:szCs w:val="18"/>
          <w:lang w:val="fr-FR"/>
        </w:rPr>
        <w:t xml:space="preserve"> </w:t>
      </w:r>
      <w:r w:rsidR="00261DBD" w:rsidRPr="006205AE">
        <w:rPr>
          <w:rFonts w:ascii="Calibri" w:hAnsi="Calibri" w:cs="Calibri"/>
          <w:sz w:val="18"/>
          <w:szCs w:val="18"/>
          <w:lang w:val="fr-FR"/>
        </w:rPr>
        <w:t>Française</w:t>
      </w:r>
      <w:r w:rsidR="002C7055" w:rsidRPr="006205AE">
        <w:rPr>
          <w:rFonts w:ascii="Calibri" w:hAnsi="Calibri" w:cs="Calibri"/>
          <w:sz w:val="18"/>
          <w:szCs w:val="18"/>
          <w:lang w:val="fr-FR"/>
        </w:rPr>
        <w:t xml:space="preserve">, </w:t>
      </w:r>
      <w:hyperlink r:id="rId95" w:history="1">
        <w:r w:rsidR="002757E3" w:rsidRPr="006205AE">
          <w:rPr>
            <w:rStyle w:val="Hyperlink"/>
            <w:rFonts w:ascii="Calibri" w:hAnsi="Calibri" w:cs="Calibri"/>
            <w:sz w:val="18"/>
            <w:szCs w:val="18"/>
            <w:lang w:val="fr-FR"/>
          </w:rPr>
          <w:t>Stratégie numérique responsable des collectivités : traduction opérationnelle du décret de l'article 35 de la loi REEN</w:t>
        </w:r>
      </w:hyperlink>
      <w:r w:rsidR="002757E3" w:rsidRPr="006205AE">
        <w:rPr>
          <w:rFonts w:ascii="Calibri" w:hAnsi="Calibri" w:cs="Calibri"/>
          <w:sz w:val="18"/>
          <w:szCs w:val="18"/>
          <w:lang w:val="fr-FR"/>
        </w:rPr>
        <w:t>, July 2023.</w:t>
      </w:r>
    </w:p>
  </w:footnote>
  <w:footnote w:id="98">
    <w:p w14:paraId="6B01A851" w14:textId="4056074F" w:rsidR="0088274D" w:rsidRPr="006205AE" w:rsidRDefault="0088274D" w:rsidP="004F286D">
      <w:pPr>
        <w:pStyle w:val="FootnoteText"/>
        <w:spacing w:line="278" w:lineRule="auto"/>
        <w:rPr>
          <w:rStyle w:val="Hyperlink"/>
          <w:rFonts w:ascii="Calibri" w:eastAsia="Arial" w:hAnsi="Calibri" w:cs="Calibri"/>
          <w:color w:val="467886"/>
          <w:sz w:val="18"/>
          <w:szCs w:val="18"/>
          <w:lang w:eastAsia="ja-JP"/>
        </w:rPr>
      </w:pPr>
      <w:r w:rsidRPr="006205AE">
        <w:rPr>
          <w:rStyle w:val="FootnoteReference"/>
          <w:rFonts w:ascii="Calibri" w:hAnsi="Calibri" w:cs="Calibri"/>
          <w:sz w:val="18"/>
          <w:szCs w:val="18"/>
        </w:rPr>
        <w:footnoteRef/>
      </w:r>
      <w:r w:rsidR="331E198E" w:rsidRPr="006205AE">
        <w:rPr>
          <w:rStyle w:val="FootnoteReference"/>
          <w:rFonts w:ascii="Calibri" w:hAnsi="Calibri" w:cs="Calibri"/>
          <w:sz w:val="18"/>
          <w:szCs w:val="18"/>
        </w:rPr>
        <w:t xml:space="preserve"> </w:t>
      </w:r>
      <w:r w:rsidR="331E198E" w:rsidRPr="006205AE">
        <w:rPr>
          <w:rFonts w:ascii="Calibri" w:eastAsia="Aptos" w:hAnsi="Calibri" w:cs="Calibri"/>
          <w:sz w:val="18"/>
          <w:szCs w:val="18"/>
        </w:rPr>
        <w:t>The 202</w:t>
      </w:r>
      <w:r w:rsidR="000E5998">
        <w:rPr>
          <w:rFonts w:ascii="Calibri" w:eastAsia="Aptos" w:hAnsi="Calibri" w:cs="Calibri"/>
          <w:sz w:val="18"/>
          <w:szCs w:val="18"/>
        </w:rPr>
        <w:t>6</w:t>
      </w:r>
      <w:r w:rsidR="331E198E" w:rsidRPr="006205AE">
        <w:rPr>
          <w:rFonts w:ascii="Calibri" w:eastAsia="Aptos" w:hAnsi="Calibri" w:cs="Calibri"/>
          <w:sz w:val="18"/>
          <w:szCs w:val="18"/>
        </w:rPr>
        <w:t xml:space="preserve"> stocktaking exercise to estimate EU spending on the digital transition was conducted for the implementation of the 2021-2027 EU budget over the 2021-202</w:t>
      </w:r>
      <w:r w:rsidR="00100FDC">
        <w:rPr>
          <w:rFonts w:ascii="Calibri" w:eastAsia="Aptos" w:hAnsi="Calibri" w:cs="Calibri"/>
          <w:sz w:val="18"/>
          <w:szCs w:val="18"/>
        </w:rPr>
        <w:t>5</w:t>
      </w:r>
      <w:r w:rsidR="331E198E" w:rsidRPr="006205AE">
        <w:rPr>
          <w:rFonts w:ascii="Calibri" w:eastAsia="Aptos" w:hAnsi="Calibri" w:cs="Calibri"/>
          <w:sz w:val="18"/>
          <w:szCs w:val="18"/>
        </w:rPr>
        <w:t xml:space="preserve"> period</w:t>
      </w:r>
      <w:r w:rsidR="004E5306" w:rsidRPr="006205AE">
        <w:rPr>
          <w:rFonts w:ascii="Calibri" w:eastAsia="Aptos" w:hAnsi="Calibri" w:cs="Calibri"/>
          <w:sz w:val="18"/>
          <w:szCs w:val="18"/>
        </w:rPr>
        <w:t xml:space="preserve">: </w:t>
      </w:r>
      <w:r w:rsidR="00E556CB" w:rsidRPr="006205AE">
        <w:rPr>
          <w:rFonts w:ascii="Calibri" w:eastAsia="Aptos" w:hAnsi="Calibri" w:cs="Calibri"/>
          <w:sz w:val="18"/>
          <w:szCs w:val="18"/>
        </w:rPr>
        <w:t>Europ</w:t>
      </w:r>
      <w:r w:rsidR="006F5076" w:rsidRPr="006205AE">
        <w:rPr>
          <w:rFonts w:ascii="Calibri" w:eastAsia="Aptos" w:hAnsi="Calibri" w:cs="Calibri"/>
          <w:sz w:val="18"/>
          <w:szCs w:val="18"/>
        </w:rPr>
        <w:t>ean Commission,</w:t>
      </w:r>
      <w:r w:rsidR="331E198E" w:rsidRPr="006205AE">
        <w:rPr>
          <w:rFonts w:ascii="Calibri" w:eastAsia="Aptos" w:hAnsi="Calibri" w:cs="Calibri"/>
          <w:sz w:val="18"/>
          <w:szCs w:val="18"/>
        </w:rPr>
        <w:t xml:space="preserve"> </w:t>
      </w:r>
      <w:hyperlink r:id="rId96">
        <w:r w:rsidR="0C856F1D" w:rsidRPr="006205AE">
          <w:rPr>
            <w:rStyle w:val="Hyperlink"/>
            <w:rFonts w:ascii="Calibri" w:eastAsia="Arial" w:hAnsi="Calibri" w:cs="Calibri"/>
            <w:color w:val="467886"/>
            <w:sz w:val="18"/>
            <w:szCs w:val="18"/>
          </w:rPr>
          <w:t>Digital tracking</w:t>
        </w:r>
      </w:hyperlink>
      <w:r w:rsidR="004E5306" w:rsidRPr="006205AE">
        <w:rPr>
          <w:rFonts w:ascii="Calibri" w:hAnsi="Calibri" w:cs="Calibri"/>
          <w:sz w:val="18"/>
          <w:szCs w:val="18"/>
        </w:rPr>
        <w:t>.</w:t>
      </w:r>
    </w:p>
  </w:footnote>
  <w:footnote w:id="99">
    <w:p w14:paraId="2297D646" w14:textId="0B57C34B" w:rsidR="00A6532A" w:rsidRPr="006205AE" w:rsidRDefault="00A6532A">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European Commission, </w:t>
      </w:r>
      <w:hyperlink r:id="rId97">
        <w:r w:rsidR="0C856F1D" w:rsidRPr="006205AE">
          <w:rPr>
            <w:rStyle w:val="Hyperlink"/>
            <w:rFonts w:ascii="Calibri" w:hAnsi="Calibri" w:cs="Calibri"/>
            <w:sz w:val="18"/>
            <w:szCs w:val="18"/>
          </w:rPr>
          <w:t>Recovery and Resilience Facility Annual Report 2025 - Reforms and Investments</w:t>
        </w:r>
      </w:hyperlink>
      <w:r w:rsidR="0C856F1D" w:rsidRPr="006205AE">
        <w:rPr>
          <w:rFonts w:ascii="Calibri" w:hAnsi="Calibri" w:cs="Calibri"/>
          <w:sz w:val="18"/>
          <w:szCs w:val="18"/>
        </w:rPr>
        <w:t>, October 2025.</w:t>
      </w:r>
    </w:p>
  </w:footnote>
  <w:footnote w:id="100">
    <w:p w14:paraId="55E07016" w14:textId="252BFFA3" w:rsidR="00D70A8B" w:rsidRPr="006205AE" w:rsidRDefault="00D70A8B">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1B424F" w:rsidRPr="006205AE">
        <w:rPr>
          <w:rFonts w:ascii="Calibri" w:hAnsi="Calibri" w:cs="Calibri"/>
          <w:sz w:val="18"/>
          <w:szCs w:val="18"/>
        </w:rPr>
        <w:t>As of August 31, 2025</w:t>
      </w:r>
      <w:r w:rsidR="00436313" w:rsidRPr="006205AE">
        <w:rPr>
          <w:rFonts w:ascii="Calibri" w:hAnsi="Calibri" w:cs="Calibri"/>
          <w:sz w:val="18"/>
          <w:szCs w:val="18"/>
        </w:rPr>
        <w:t>.</w:t>
      </w:r>
    </w:p>
  </w:footnote>
  <w:footnote w:id="101">
    <w:p w14:paraId="634E6C00" w14:textId="42D6B420" w:rsidR="00F037D9" w:rsidRPr="006205AE" w:rsidRDefault="00F037D9">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846D14" w:rsidRPr="006205AE">
        <w:rPr>
          <w:rFonts w:ascii="Calibri" w:hAnsi="Calibri" w:cs="Calibri"/>
          <w:sz w:val="18"/>
          <w:szCs w:val="18"/>
        </w:rPr>
        <w:t>Referred to the period between</w:t>
      </w:r>
      <w:r w:rsidRPr="006205AE">
        <w:rPr>
          <w:rFonts w:ascii="Calibri" w:hAnsi="Calibri" w:cs="Calibri"/>
          <w:sz w:val="18"/>
          <w:szCs w:val="18"/>
        </w:rPr>
        <w:t xml:space="preserve"> 1 September </w:t>
      </w:r>
      <w:r w:rsidR="00BA6825" w:rsidRPr="006205AE">
        <w:rPr>
          <w:rFonts w:ascii="Calibri" w:hAnsi="Calibri" w:cs="Calibri"/>
          <w:sz w:val="18"/>
          <w:szCs w:val="18"/>
        </w:rPr>
        <w:t>2024</w:t>
      </w:r>
      <w:r w:rsidRPr="006205AE">
        <w:rPr>
          <w:rFonts w:ascii="Calibri" w:hAnsi="Calibri" w:cs="Calibri"/>
          <w:sz w:val="18"/>
          <w:szCs w:val="18"/>
        </w:rPr>
        <w:t xml:space="preserve"> </w:t>
      </w:r>
      <w:r w:rsidR="00846D14" w:rsidRPr="006205AE">
        <w:rPr>
          <w:rFonts w:ascii="Calibri" w:hAnsi="Calibri" w:cs="Calibri"/>
          <w:sz w:val="18"/>
          <w:szCs w:val="18"/>
        </w:rPr>
        <w:t>and</w:t>
      </w:r>
      <w:r w:rsidRPr="006205AE">
        <w:rPr>
          <w:rFonts w:ascii="Calibri" w:hAnsi="Calibri" w:cs="Calibri"/>
          <w:sz w:val="18"/>
          <w:szCs w:val="18"/>
        </w:rPr>
        <w:t xml:space="preserve"> </w:t>
      </w:r>
      <w:r w:rsidR="0046554D" w:rsidRPr="006205AE">
        <w:rPr>
          <w:rFonts w:ascii="Calibri" w:hAnsi="Calibri" w:cs="Calibri"/>
          <w:sz w:val="18"/>
          <w:szCs w:val="18"/>
        </w:rPr>
        <w:t>31 August 2025</w:t>
      </w:r>
      <w:r w:rsidR="00436313" w:rsidRPr="006205AE">
        <w:rPr>
          <w:rFonts w:ascii="Calibri" w:hAnsi="Calibri" w:cs="Calibri"/>
          <w:sz w:val="18"/>
          <w:szCs w:val="18"/>
        </w:rPr>
        <w:t>.</w:t>
      </w:r>
      <w:r w:rsidRPr="006205AE">
        <w:rPr>
          <w:rFonts w:ascii="Calibri" w:hAnsi="Calibri" w:cs="Calibri"/>
          <w:sz w:val="18"/>
          <w:szCs w:val="18"/>
        </w:rPr>
        <w:t xml:space="preserve"> </w:t>
      </w:r>
    </w:p>
  </w:footnote>
  <w:footnote w:id="102">
    <w:p w14:paraId="3024B034" w14:textId="316B0350" w:rsidR="00CF2756" w:rsidRPr="00CF2756" w:rsidRDefault="00CF2756">
      <w:pPr>
        <w:pStyle w:val="FootnoteText"/>
        <w:rPr>
          <w:rFonts w:ascii="Calibri" w:hAnsi="Calibri" w:cs="Calibri"/>
          <w:sz w:val="18"/>
          <w:szCs w:val="18"/>
        </w:rPr>
      </w:pPr>
      <w:r w:rsidRPr="00610A02">
        <w:rPr>
          <w:rStyle w:val="FootnoteReference"/>
          <w:rFonts w:ascii="Calibri" w:hAnsi="Calibri" w:cs="Calibri"/>
          <w:sz w:val="18"/>
          <w:szCs w:val="18"/>
        </w:rPr>
        <w:footnoteRef/>
      </w:r>
      <w:r w:rsidRPr="00785EA1">
        <w:rPr>
          <w:rFonts w:ascii="Calibri" w:hAnsi="Calibri" w:cs="Calibri"/>
          <w:sz w:val="18"/>
          <w:szCs w:val="18"/>
          <w:lang w:val="it-IT"/>
        </w:rPr>
        <w:t xml:space="preserve"> </w:t>
      </w:r>
      <w:r w:rsidR="006929D3" w:rsidRPr="006929D3">
        <w:rPr>
          <w:rFonts w:ascii="Calibri" w:hAnsi="Calibri"/>
          <w:sz w:val="18"/>
          <w:szCs w:val="18"/>
          <w:lang w:val="it-IT"/>
        </w:rPr>
        <w:t xml:space="preserve">Michels, A., Ferreira, V., Annoni, P., Burton, J., Pedauga, L., Rueda-Cantuche, J. M. &amp; Kušen, M., European Economy. </w:t>
      </w:r>
      <w:r w:rsidR="006929D3" w:rsidRPr="006929D3">
        <w:rPr>
          <w:rFonts w:ascii="Calibri" w:hAnsi="Calibri"/>
          <w:sz w:val="18"/>
          <w:szCs w:val="18"/>
        </w:rPr>
        <w:t xml:space="preserve">Discussion Paper 249: </w:t>
      </w:r>
      <w:hyperlink r:id="rId98" w:history="1">
        <w:r w:rsidR="006929D3" w:rsidRPr="006929D3">
          <w:rPr>
            <w:rStyle w:val="Hyperlink"/>
            <w:rFonts w:ascii="Calibri" w:hAnsi="Calibri"/>
            <w:sz w:val="18"/>
            <w:szCs w:val="18"/>
          </w:rPr>
          <w:t>Digital Measures under the Recovery and Resilience Facility: Economic Impacts at Macro, Sectoral and Country Levels</w:t>
        </w:r>
      </w:hyperlink>
      <w:r w:rsidR="006929D3" w:rsidRPr="006929D3">
        <w:rPr>
          <w:rFonts w:ascii="Calibri" w:hAnsi="Calibri"/>
          <w:sz w:val="18"/>
          <w:szCs w:val="18"/>
        </w:rPr>
        <w:t>, European Commission, Directorate-General for Economic and Financial Affairs, 2026</w:t>
      </w:r>
      <w:r w:rsidR="00F30DF2" w:rsidRPr="006929D3">
        <w:rPr>
          <w:rFonts w:ascii="Calibri" w:hAnsi="Calibri" w:cs="Calibri"/>
          <w:sz w:val="18"/>
          <w:szCs w:val="18"/>
        </w:rPr>
        <w:t>.</w:t>
      </w:r>
    </w:p>
  </w:footnote>
  <w:footnote w:id="103">
    <w:p w14:paraId="4526361D" w14:textId="70B79788" w:rsidR="00AE0B2D" w:rsidRPr="006205AE" w:rsidRDefault="00AE0B2D">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As an example of needed flexibility, the EIC blended finance allows successful companies to decouple the timing of the grant and equity finance, without the need to go through a new application process when the time is ripe (e.g., when co-investors have been found). See also Mundell, The ecosystem: European Innovation Council uncouples grant and equity funding for startups, 2024</w:t>
      </w:r>
      <w:r w:rsidR="009D620B" w:rsidRPr="006205AE">
        <w:rPr>
          <w:rFonts w:ascii="Calibri" w:hAnsi="Calibri" w:cs="Calibri"/>
          <w:sz w:val="18"/>
          <w:szCs w:val="18"/>
        </w:rPr>
        <w:t>: European Commission</w:t>
      </w:r>
      <w:r w:rsidR="00EA1A78" w:rsidRPr="006205AE">
        <w:rPr>
          <w:rFonts w:ascii="Calibri" w:hAnsi="Calibri" w:cs="Calibri"/>
          <w:sz w:val="18"/>
          <w:szCs w:val="18"/>
        </w:rPr>
        <w:t>,</w:t>
      </w:r>
      <w:r w:rsidRPr="006205AE">
        <w:rPr>
          <w:rFonts w:ascii="Calibri" w:hAnsi="Calibri" w:cs="Calibri"/>
          <w:sz w:val="18"/>
          <w:szCs w:val="18"/>
        </w:rPr>
        <w:t xml:space="preserve"> </w:t>
      </w:r>
      <w:hyperlink r:id="rId99">
        <w:r w:rsidR="0C856F1D" w:rsidRPr="006205AE">
          <w:rPr>
            <w:rStyle w:val="Hyperlink"/>
            <w:rFonts w:ascii="Calibri" w:hAnsi="Calibri" w:cs="Calibri"/>
            <w:sz w:val="18"/>
            <w:szCs w:val="18"/>
          </w:rPr>
          <w:t>Digital Tracking</w:t>
        </w:r>
      </w:hyperlink>
      <w:r w:rsidRPr="006205AE">
        <w:rPr>
          <w:rFonts w:ascii="Calibri" w:hAnsi="Calibri" w:cs="Calibri"/>
          <w:sz w:val="18"/>
          <w:szCs w:val="18"/>
        </w:rPr>
        <w:t>.</w:t>
      </w:r>
      <w:r w:rsidR="002C4ED4" w:rsidRPr="006205AE">
        <w:rPr>
          <w:rFonts w:ascii="Calibri" w:hAnsi="Calibri" w:cs="Calibri"/>
          <w:sz w:val="18"/>
          <w:szCs w:val="18"/>
        </w:rPr>
        <w:t xml:space="preserve"> </w:t>
      </w:r>
    </w:p>
  </w:footnote>
  <w:footnote w:id="104">
    <w:p w14:paraId="2900A3F8" w14:textId="6968B9C8" w:rsidR="00516BED" w:rsidRPr="006205AE" w:rsidRDefault="00516BED">
      <w:pPr>
        <w:pStyle w:val="FootnoteText"/>
        <w:rPr>
          <w:rFonts w:ascii="Calibri" w:hAnsi="Calibri" w:cs="Calibri"/>
          <w:sz w:val="18"/>
          <w:szCs w:val="18"/>
        </w:rPr>
      </w:pPr>
      <w:r w:rsidRPr="006205AE">
        <w:rPr>
          <w:rStyle w:val="FootnoteReference"/>
          <w:rFonts w:ascii="Calibri" w:hAnsi="Calibri" w:cs="Calibri"/>
          <w:sz w:val="18"/>
          <w:szCs w:val="18"/>
        </w:rPr>
        <w:footnoteRef/>
      </w:r>
      <w:r w:rsidRPr="006205AE">
        <w:rPr>
          <w:rFonts w:ascii="Calibri" w:hAnsi="Calibri" w:cs="Calibri"/>
          <w:sz w:val="18"/>
          <w:szCs w:val="18"/>
        </w:rPr>
        <w:t xml:space="preserve"> </w:t>
      </w:r>
      <w:r w:rsidR="00676D75" w:rsidRPr="006205AE">
        <w:rPr>
          <w:rFonts w:ascii="Calibri" w:hAnsi="Calibri" w:cs="Calibri"/>
          <w:sz w:val="18"/>
          <w:szCs w:val="18"/>
        </w:rPr>
        <w:t xml:space="preserve">European Commission, </w:t>
      </w:r>
      <w:hyperlink r:id="rId100" w:history="1">
        <w:r w:rsidR="00676D75" w:rsidRPr="006205AE">
          <w:rPr>
            <w:rStyle w:val="Hyperlink"/>
            <w:rFonts w:ascii="Calibri" w:hAnsi="Calibri" w:cs="Calibri"/>
            <w:sz w:val="18"/>
            <w:szCs w:val="18"/>
          </w:rPr>
          <w:t>Interim Evaluation of the InvestEU Programme – Final Report</w:t>
        </w:r>
      </w:hyperlink>
      <w:r w:rsidR="00676D75" w:rsidRPr="006205AE">
        <w:rPr>
          <w:rFonts w:ascii="Calibri" w:hAnsi="Calibri" w:cs="Calibri"/>
          <w:sz w:val="18"/>
          <w:szCs w:val="18"/>
        </w:rPr>
        <w:t>, 1 October 2024.</w:t>
      </w:r>
    </w:p>
  </w:footnote>
  <w:footnote w:id="105">
    <w:p w14:paraId="4D4EEEE6" w14:textId="48DCDA4D" w:rsidR="008C4D32" w:rsidRPr="006205AE" w:rsidRDefault="008C4D32">
      <w:pPr>
        <w:pStyle w:val="FootnoteText"/>
        <w:rPr>
          <w:rFonts w:ascii="Calibri" w:hAnsi="Calibri" w:cs="Calibri"/>
          <w:sz w:val="18"/>
          <w:szCs w:val="18"/>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EurLex, </w:t>
      </w:r>
      <w:hyperlink r:id="rId101">
        <w:r w:rsidR="0C856F1D" w:rsidRPr="006205AE">
          <w:rPr>
            <w:rStyle w:val="Hyperlink"/>
            <w:rFonts w:ascii="Calibri" w:hAnsi="Calibri" w:cs="Calibri"/>
            <w:sz w:val="18"/>
            <w:szCs w:val="18"/>
          </w:rPr>
          <w:t>Proposal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w:t>
        </w:r>
      </w:hyperlink>
      <w:r w:rsidR="0C856F1D" w:rsidRPr="006205AE">
        <w:rPr>
          <w:rFonts w:ascii="Calibri" w:hAnsi="Calibri" w:cs="Calibri"/>
          <w:sz w:val="18"/>
          <w:szCs w:val="18"/>
        </w:rPr>
        <w:t>, July 2025.</w:t>
      </w:r>
    </w:p>
  </w:footnote>
  <w:footnote w:id="106">
    <w:p w14:paraId="5AB81059" w14:textId="5F721408" w:rsidR="00632F01" w:rsidRPr="006205AE" w:rsidRDefault="00632F01">
      <w:pPr>
        <w:pStyle w:val="FootnoteText"/>
        <w:rPr>
          <w:rFonts w:ascii="Calibri" w:hAnsi="Calibri" w:cs="Calibri"/>
          <w:sz w:val="18"/>
          <w:szCs w:val="18"/>
          <w:lang w:val="en-IE"/>
        </w:rPr>
      </w:pPr>
      <w:r w:rsidRPr="006205AE">
        <w:rPr>
          <w:rStyle w:val="FootnoteReference"/>
          <w:rFonts w:ascii="Calibri" w:hAnsi="Calibri" w:cs="Calibri"/>
          <w:sz w:val="18"/>
          <w:szCs w:val="18"/>
        </w:rPr>
        <w:footnoteRef/>
      </w:r>
      <w:r w:rsidR="0C856F1D" w:rsidRPr="006205AE">
        <w:rPr>
          <w:rFonts w:ascii="Calibri" w:hAnsi="Calibri" w:cs="Calibri"/>
          <w:sz w:val="18"/>
          <w:szCs w:val="18"/>
        </w:rPr>
        <w:t xml:space="preserve"> EurLex, </w:t>
      </w:r>
      <w:hyperlink r:id="rId102">
        <w:r w:rsidR="0C856F1D" w:rsidRPr="006205AE">
          <w:rPr>
            <w:rStyle w:val="Hyperlink"/>
            <w:rFonts w:ascii="Calibri" w:hAnsi="Calibri" w:cs="Calibri"/>
            <w:sz w:val="18"/>
            <w:szCs w:val="18"/>
          </w:rPr>
          <w:t>Proposal for a REGULATION OF THE EUROPEAN PARLIAMENT AND OF THE COUNCIL establishing Horizon Europe, the Framework Programme for Research and Innovation, for the period 2028-2034 laying down its rules for participation and dissemination, and repealing Regulation (EU) 2021/695</w:t>
        </w:r>
      </w:hyperlink>
      <w:r w:rsidR="0C856F1D" w:rsidRPr="006205AE">
        <w:rPr>
          <w:rFonts w:ascii="Calibri" w:hAnsi="Calibri" w:cs="Calibri"/>
          <w:sz w:val="18"/>
          <w:szCs w:val="18"/>
        </w:rPr>
        <w:t>, July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CAC98" w14:textId="77777777" w:rsidR="004F5F15" w:rsidRPr="004F5F15" w:rsidRDefault="004F5F15" w:rsidP="004F5F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98975" w14:textId="77777777" w:rsidR="004F5F15" w:rsidRPr="004F5F15" w:rsidRDefault="004F5F15" w:rsidP="004F5F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9730" w14:textId="77777777" w:rsidR="004F5F15" w:rsidRPr="004F5F15" w:rsidRDefault="004F5F15" w:rsidP="004F5F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C044" w14:textId="77777777" w:rsidR="005C54CB" w:rsidRDefault="005C5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EE5E3" w14:textId="77777777" w:rsidR="005C54CB" w:rsidRPr="00417E18" w:rsidRDefault="005C54CB" w:rsidP="00F656D3">
    <w:pPr>
      <w:pStyle w:val="Header"/>
    </w:pPr>
    <w:r w:rsidRPr="00417E18">
      <w:rPr>
        <w:noProof/>
        <w:lang w:eastAsia="en-GB"/>
      </w:rPr>
      <w:drawing>
        <wp:anchor distT="0" distB="0" distL="114300" distR="114300" simplePos="0" relativeHeight="251658240" behindDoc="0" locked="0" layoutInCell="1" allowOverlap="1" wp14:anchorId="6D75FC0B" wp14:editId="6253363E">
          <wp:simplePos x="0" y="0"/>
          <wp:positionH relativeFrom="column">
            <wp:posOffset>-903201</wp:posOffset>
          </wp:positionH>
          <wp:positionV relativeFrom="paragraph">
            <wp:posOffset>-445770</wp:posOffset>
          </wp:positionV>
          <wp:extent cx="6514124" cy="1609371"/>
          <wp:effectExtent l="0" t="0" r="1270" b="0"/>
          <wp:wrapNone/>
          <wp:docPr id="11506394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30BB" w14:textId="10B76819" w:rsidR="005C54CB" w:rsidRPr="00417E18" w:rsidRDefault="00984DF3" w:rsidP="00283CC0">
    <w:pPr>
      <w:pStyle w:val="Header"/>
      <w:tabs>
        <w:tab w:val="clear" w:pos="4513"/>
        <w:tab w:val="clear" w:pos="9026"/>
        <w:tab w:val="center" w:pos="4680"/>
      </w:tabs>
    </w:pPr>
    <w:permStart w:id="1366112101" w:ed="lovisa.kastensson@ec.europa.eu"/>
    <w:permStart w:id="1384454897" w:ed="eric.peters@ec.europa.eu"/>
    <w:r w:rsidRPr="00417E18">
      <w:rPr>
        <w:noProof/>
        <w:color w:val="FFFFFF" w:themeColor="background1"/>
        <w:sz w:val="80"/>
        <w:szCs w:val="80"/>
        <w:lang w:eastAsia="en-GB"/>
      </w:rPr>
      <w:drawing>
        <wp:anchor distT="0" distB="0" distL="114300" distR="114300" simplePos="0" relativeHeight="251658241" behindDoc="1" locked="0" layoutInCell="1" allowOverlap="1" wp14:anchorId="380EF1BD" wp14:editId="4183B758">
          <wp:simplePos x="0" y="0"/>
          <wp:positionH relativeFrom="page">
            <wp:align>left</wp:align>
          </wp:positionH>
          <wp:positionV relativeFrom="paragraph">
            <wp:posOffset>-456889</wp:posOffset>
          </wp:positionV>
          <wp:extent cx="7753350" cy="10842257"/>
          <wp:effectExtent l="0" t="0" r="0" b="0"/>
          <wp:wrapNone/>
          <wp:docPr id="4"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3350" cy="10842257"/>
                  </a:xfrm>
                  <a:prstGeom prst="rect">
                    <a:avLst/>
                  </a:prstGeom>
                </pic:spPr>
              </pic:pic>
            </a:graphicData>
          </a:graphic>
          <wp14:sizeRelH relativeFrom="margin">
            <wp14:pctWidth>0</wp14:pctWidth>
          </wp14:sizeRelH>
          <wp14:sizeRelV relativeFrom="margin">
            <wp14:pctHeight>0</wp14:pctHeight>
          </wp14:sizeRelV>
        </wp:anchor>
      </w:drawing>
    </w:r>
    <w:permEnd w:id="1366112101"/>
    <w:permEnd w:id="1384454897"/>
    <w:r w:rsidR="005C54CB" w:rsidRPr="00417E18">
      <w:tab/>
    </w:r>
  </w:p>
</w:hdr>
</file>

<file path=word/intelligence2.xml><?xml version="1.0" encoding="utf-8"?>
<int2:intelligence xmlns:int2="http://schemas.microsoft.com/office/intelligence/2020/intelligence" xmlns:oel="http://schemas.microsoft.com/office/2019/extlst">
  <int2:observations>
    <int2:textHash int2:hashCode="FXWjTb56I06ZOc" int2:id="EQ233YCq">
      <int2:state int2:value="Rejected" int2:type="spell"/>
    </int2:textHash>
    <int2:textHash int2:hashCode="sCR18rik+j/A5c" int2:id="K8LQya3s">
      <int2:state int2:value="Rejected" int2:type="spell"/>
    </int2:textHash>
    <int2:textHash int2:hashCode="IDoIgsGu46oCjI" int2:id="SC6KsNoK">
      <int2:state int2:value="Rejected" int2:type="spell"/>
    </int2:textHash>
    <int2:textHash int2:hashCode="nbV/egEZiOAfyK" int2:id="kgGCmJc7">
      <int2:state int2:value="Rejected" int2:type="spell"/>
    </int2:textHash>
    <int2:bookmark int2:bookmarkName="_Int_NMCdn00d" int2:invalidationBookmarkName="" int2:hashCode="u8zfLvsztS5snQ" int2:id="HF7pJAzx">
      <int2:state int2:value="Rejected" int2:type="gram"/>
    </int2:bookmark>
    <int2:bookmark int2:bookmarkName="_Int_GdqH7my9" int2:invalidationBookmarkName="" int2:hashCode="k+8N2CcQNoH87k" int2:id="tjl5cTo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648"/>
    <w:multiLevelType w:val="hybridMultilevel"/>
    <w:tmpl w:val="F9803092"/>
    <w:lvl w:ilvl="0" w:tplc="1318DDAA">
      <w:start w:val="1"/>
      <w:numFmt w:val="lowerRoman"/>
      <w:lvlText w:val="(%1)"/>
      <w:lvlJc w:val="left"/>
      <w:pPr>
        <w:ind w:left="121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D35904"/>
    <w:multiLevelType w:val="hybridMultilevel"/>
    <w:tmpl w:val="7B7A7518"/>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0132D5"/>
    <w:multiLevelType w:val="hybridMultilevel"/>
    <w:tmpl w:val="BA4454CA"/>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385E6B"/>
    <w:multiLevelType w:val="multilevel"/>
    <w:tmpl w:val="080C1548"/>
    <w:lvl w:ilvl="0">
      <w:start w:val="3"/>
      <w:numFmt w:val="decimal"/>
      <w:lvlText w:val="%1"/>
      <w:lvlJc w:val="left"/>
      <w:pPr>
        <w:ind w:left="497" w:hanging="497"/>
      </w:pPr>
      <w:rPr>
        <w:rFonts w:hint="default"/>
      </w:rPr>
    </w:lvl>
    <w:lvl w:ilvl="1">
      <w:start w:val="3"/>
      <w:numFmt w:val="decimal"/>
      <w:lvlText w:val="%1.%2"/>
      <w:lvlJc w:val="left"/>
      <w:pPr>
        <w:ind w:left="857" w:hanging="497"/>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3B2530F"/>
    <w:multiLevelType w:val="hybridMultilevel"/>
    <w:tmpl w:val="FFFFFFFF"/>
    <w:lvl w:ilvl="0" w:tplc="2AA8B1F2">
      <w:start w:val="1"/>
      <w:numFmt w:val="bullet"/>
      <w:lvlText w:val="·"/>
      <w:lvlJc w:val="left"/>
      <w:pPr>
        <w:ind w:left="720" w:hanging="360"/>
      </w:pPr>
      <w:rPr>
        <w:rFonts w:ascii="Symbol" w:hAnsi="Symbol" w:hint="default"/>
      </w:rPr>
    </w:lvl>
    <w:lvl w:ilvl="1" w:tplc="2EF24E22">
      <w:start w:val="1"/>
      <w:numFmt w:val="bullet"/>
      <w:lvlText w:val="o"/>
      <w:lvlJc w:val="left"/>
      <w:pPr>
        <w:ind w:left="1440" w:hanging="360"/>
      </w:pPr>
      <w:rPr>
        <w:rFonts w:ascii="Courier New" w:hAnsi="Courier New" w:hint="default"/>
      </w:rPr>
    </w:lvl>
    <w:lvl w:ilvl="2" w:tplc="C2B8C6E4">
      <w:start w:val="1"/>
      <w:numFmt w:val="bullet"/>
      <w:lvlText w:val=""/>
      <w:lvlJc w:val="left"/>
      <w:pPr>
        <w:ind w:left="2160" w:hanging="360"/>
      </w:pPr>
      <w:rPr>
        <w:rFonts w:ascii="Wingdings" w:hAnsi="Wingdings" w:hint="default"/>
      </w:rPr>
    </w:lvl>
    <w:lvl w:ilvl="3" w:tplc="AFE0C1D0">
      <w:start w:val="1"/>
      <w:numFmt w:val="bullet"/>
      <w:lvlText w:val=""/>
      <w:lvlJc w:val="left"/>
      <w:pPr>
        <w:ind w:left="2880" w:hanging="360"/>
      </w:pPr>
      <w:rPr>
        <w:rFonts w:ascii="Symbol" w:hAnsi="Symbol" w:hint="default"/>
      </w:rPr>
    </w:lvl>
    <w:lvl w:ilvl="4" w:tplc="E16A544A">
      <w:start w:val="1"/>
      <w:numFmt w:val="bullet"/>
      <w:lvlText w:val="o"/>
      <w:lvlJc w:val="left"/>
      <w:pPr>
        <w:ind w:left="3600" w:hanging="360"/>
      </w:pPr>
      <w:rPr>
        <w:rFonts w:ascii="Courier New" w:hAnsi="Courier New" w:hint="default"/>
      </w:rPr>
    </w:lvl>
    <w:lvl w:ilvl="5" w:tplc="0EEAA670">
      <w:start w:val="1"/>
      <w:numFmt w:val="bullet"/>
      <w:lvlText w:val=""/>
      <w:lvlJc w:val="left"/>
      <w:pPr>
        <w:ind w:left="4320" w:hanging="360"/>
      </w:pPr>
      <w:rPr>
        <w:rFonts w:ascii="Wingdings" w:hAnsi="Wingdings" w:hint="default"/>
      </w:rPr>
    </w:lvl>
    <w:lvl w:ilvl="6" w:tplc="AC8E5142">
      <w:start w:val="1"/>
      <w:numFmt w:val="bullet"/>
      <w:lvlText w:val=""/>
      <w:lvlJc w:val="left"/>
      <w:pPr>
        <w:ind w:left="5040" w:hanging="360"/>
      </w:pPr>
      <w:rPr>
        <w:rFonts w:ascii="Symbol" w:hAnsi="Symbol" w:hint="default"/>
      </w:rPr>
    </w:lvl>
    <w:lvl w:ilvl="7" w:tplc="A52C028C">
      <w:start w:val="1"/>
      <w:numFmt w:val="bullet"/>
      <w:lvlText w:val="o"/>
      <w:lvlJc w:val="left"/>
      <w:pPr>
        <w:ind w:left="5760" w:hanging="360"/>
      </w:pPr>
      <w:rPr>
        <w:rFonts w:ascii="Courier New" w:hAnsi="Courier New" w:hint="default"/>
      </w:rPr>
    </w:lvl>
    <w:lvl w:ilvl="8" w:tplc="02D87378">
      <w:start w:val="1"/>
      <w:numFmt w:val="bullet"/>
      <w:lvlText w:val=""/>
      <w:lvlJc w:val="left"/>
      <w:pPr>
        <w:ind w:left="6480" w:hanging="360"/>
      </w:pPr>
      <w:rPr>
        <w:rFonts w:ascii="Wingdings" w:hAnsi="Wingdings" w:hint="default"/>
      </w:rPr>
    </w:lvl>
  </w:abstractNum>
  <w:abstractNum w:abstractNumId="5" w15:restartNumberingAfterBreak="0">
    <w:nsid w:val="05024673"/>
    <w:multiLevelType w:val="hybridMultilevel"/>
    <w:tmpl w:val="6E9A8DC8"/>
    <w:lvl w:ilvl="0" w:tplc="69CC1B80">
      <w:start w:val="3"/>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E3C20F6"/>
    <w:multiLevelType w:val="hybridMultilevel"/>
    <w:tmpl w:val="FFFFFFFF"/>
    <w:lvl w:ilvl="0" w:tplc="4F34E0AC">
      <w:start w:val="1"/>
      <w:numFmt w:val="bullet"/>
      <w:lvlText w:val="·"/>
      <w:lvlJc w:val="left"/>
      <w:pPr>
        <w:ind w:left="720" w:hanging="360"/>
      </w:pPr>
      <w:rPr>
        <w:rFonts w:ascii="Symbol" w:hAnsi="Symbol" w:hint="default"/>
      </w:rPr>
    </w:lvl>
    <w:lvl w:ilvl="1" w:tplc="B76C34E4">
      <w:start w:val="1"/>
      <w:numFmt w:val="bullet"/>
      <w:lvlText w:val="o"/>
      <w:lvlJc w:val="left"/>
      <w:pPr>
        <w:ind w:left="1440" w:hanging="360"/>
      </w:pPr>
      <w:rPr>
        <w:rFonts w:ascii="Courier New" w:hAnsi="Courier New" w:hint="default"/>
      </w:rPr>
    </w:lvl>
    <w:lvl w:ilvl="2" w:tplc="79C4D53E">
      <w:start w:val="1"/>
      <w:numFmt w:val="bullet"/>
      <w:lvlText w:val=""/>
      <w:lvlJc w:val="left"/>
      <w:pPr>
        <w:ind w:left="2160" w:hanging="360"/>
      </w:pPr>
      <w:rPr>
        <w:rFonts w:ascii="Wingdings" w:hAnsi="Wingdings" w:hint="default"/>
      </w:rPr>
    </w:lvl>
    <w:lvl w:ilvl="3" w:tplc="5FE085FC">
      <w:start w:val="1"/>
      <w:numFmt w:val="bullet"/>
      <w:lvlText w:val=""/>
      <w:lvlJc w:val="left"/>
      <w:pPr>
        <w:ind w:left="2880" w:hanging="360"/>
      </w:pPr>
      <w:rPr>
        <w:rFonts w:ascii="Symbol" w:hAnsi="Symbol" w:hint="default"/>
      </w:rPr>
    </w:lvl>
    <w:lvl w:ilvl="4" w:tplc="75FA8C6A">
      <w:start w:val="1"/>
      <w:numFmt w:val="bullet"/>
      <w:lvlText w:val="o"/>
      <w:lvlJc w:val="left"/>
      <w:pPr>
        <w:ind w:left="3600" w:hanging="360"/>
      </w:pPr>
      <w:rPr>
        <w:rFonts w:ascii="Courier New" w:hAnsi="Courier New" w:hint="default"/>
      </w:rPr>
    </w:lvl>
    <w:lvl w:ilvl="5" w:tplc="53E6127C">
      <w:start w:val="1"/>
      <w:numFmt w:val="bullet"/>
      <w:lvlText w:val=""/>
      <w:lvlJc w:val="left"/>
      <w:pPr>
        <w:ind w:left="4320" w:hanging="360"/>
      </w:pPr>
      <w:rPr>
        <w:rFonts w:ascii="Wingdings" w:hAnsi="Wingdings" w:hint="default"/>
      </w:rPr>
    </w:lvl>
    <w:lvl w:ilvl="6" w:tplc="5F48C512">
      <w:start w:val="1"/>
      <w:numFmt w:val="bullet"/>
      <w:lvlText w:val=""/>
      <w:lvlJc w:val="left"/>
      <w:pPr>
        <w:ind w:left="5040" w:hanging="360"/>
      </w:pPr>
      <w:rPr>
        <w:rFonts w:ascii="Symbol" w:hAnsi="Symbol" w:hint="default"/>
      </w:rPr>
    </w:lvl>
    <w:lvl w:ilvl="7" w:tplc="D1321CAC">
      <w:start w:val="1"/>
      <w:numFmt w:val="bullet"/>
      <w:lvlText w:val="o"/>
      <w:lvlJc w:val="left"/>
      <w:pPr>
        <w:ind w:left="5760" w:hanging="360"/>
      </w:pPr>
      <w:rPr>
        <w:rFonts w:ascii="Courier New" w:hAnsi="Courier New" w:hint="default"/>
      </w:rPr>
    </w:lvl>
    <w:lvl w:ilvl="8" w:tplc="73F021FE">
      <w:start w:val="1"/>
      <w:numFmt w:val="bullet"/>
      <w:lvlText w:val=""/>
      <w:lvlJc w:val="left"/>
      <w:pPr>
        <w:ind w:left="6480" w:hanging="360"/>
      </w:pPr>
      <w:rPr>
        <w:rFonts w:ascii="Wingdings" w:hAnsi="Wingdings" w:hint="default"/>
      </w:rPr>
    </w:lvl>
  </w:abstractNum>
  <w:abstractNum w:abstractNumId="7" w15:restartNumberingAfterBreak="0">
    <w:nsid w:val="0F125274"/>
    <w:multiLevelType w:val="hybridMultilevel"/>
    <w:tmpl w:val="D762867E"/>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C02E33"/>
    <w:multiLevelType w:val="hybridMultilevel"/>
    <w:tmpl w:val="21B68AE4"/>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47FDCC"/>
    <w:multiLevelType w:val="hybridMultilevel"/>
    <w:tmpl w:val="7E12FB36"/>
    <w:lvl w:ilvl="0" w:tplc="05E6956C">
      <w:start w:val="1"/>
      <w:numFmt w:val="lowerRoman"/>
      <w:lvlText w:val="(%1)"/>
      <w:lvlJc w:val="left"/>
      <w:pPr>
        <w:ind w:left="720" w:hanging="360"/>
      </w:pPr>
    </w:lvl>
    <w:lvl w:ilvl="1" w:tplc="E43A0414">
      <w:start w:val="1"/>
      <w:numFmt w:val="lowerLetter"/>
      <w:lvlText w:val="%2."/>
      <w:lvlJc w:val="left"/>
      <w:pPr>
        <w:ind w:left="1440" w:hanging="360"/>
      </w:pPr>
    </w:lvl>
    <w:lvl w:ilvl="2" w:tplc="DD36235C">
      <w:start w:val="1"/>
      <w:numFmt w:val="lowerRoman"/>
      <w:lvlText w:val="%3."/>
      <w:lvlJc w:val="right"/>
      <w:pPr>
        <w:ind w:left="2160" w:hanging="180"/>
      </w:pPr>
    </w:lvl>
    <w:lvl w:ilvl="3" w:tplc="C9402210">
      <w:start w:val="1"/>
      <w:numFmt w:val="decimal"/>
      <w:lvlText w:val="%4."/>
      <w:lvlJc w:val="left"/>
      <w:pPr>
        <w:ind w:left="2880" w:hanging="360"/>
      </w:pPr>
    </w:lvl>
    <w:lvl w:ilvl="4" w:tplc="1172C82A">
      <w:start w:val="1"/>
      <w:numFmt w:val="lowerLetter"/>
      <w:lvlText w:val="%5."/>
      <w:lvlJc w:val="left"/>
      <w:pPr>
        <w:ind w:left="3600" w:hanging="360"/>
      </w:pPr>
    </w:lvl>
    <w:lvl w:ilvl="5" w:tplc="6F72CF88">
      <w:start w:val="1"/>
      <w:numFmt w:val="lowerRoman"/>
      <w:lvlText w:val="%6."/>
      <w:lvlJc w:val="right"/>
      <w:pPr>
        <w:ind w:left="4320" w:hanging="180"/>
      </w:pPr>
    </w:lvl>
    <w:lvl w:ilvl="6" w:tplc="0C321922">
      <w:start w:val="1"/>
      <w:numFmt w:val="decimal"/>
      <w:lvlText w:val="%7."/>
      <w:lvlJc w:val="left"/>
      <w:pPr>
        <w:ind w:left="5040" w:hanging="360"/>
      </w:pPr>
    </w:lvl>
    <w:lvl w:ilvl="7" w:tplc="763A0360">
      <w:start w:val="1"/>
      <w:numFmt w:val="lowerLetter"/>
      <w:lvlText w:val="%8."/>
      <w:lvlJc w:val="left"/>
      <w:pPr>
        <w:ind w:left="5760" w:hanging="360"/>
      </w:pPr>
    </w:lvl>
    <w:lvl w:ilvl="8" w:tplc="CE6A35D4">
      <w:start w:val="1"/>
      <w:numFmt w:val="lowerRoman"/>
      <w:lvlText w:val="%9."/>
      <w:lvlJc w:val="right"/>
      <w:pPr>
        <w:ind w:left="6480" w:hanging="180"/>
      </w:pPr>
    </w:lvl>
  </w:abstractNum>
  <w:abstractNum w:abstractNumId="10" w15:restartNumberingAfterBreak="0">
    <w:nsid w:val="17596BAB"/>
    <w:multiLevelType w:val="hybridMultilevel"/>
    <w:tmpl w:val="8BEEA44C"/>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698D89"/>
    <w:multiLevelType w:val="hybridMultilevel"/>
    <w:tmpl w:val="824053E4"/>
    <w:lvl w:ilvl="0" w:tplc="AF781CB4">
      <w:start w:val="1"/>
      <w:numFmt w:val="lowerRoman"/>
      <w:lvlText w:val="(%1)"/>
      <w:lvlJc w:val="left"/>
      <w:pPr>
        <w:ind w:left="720" w:hanging="360"/>
      </w:pPr>
    </w:lvl>
    <w:lvl w:ilvl="1" w:tplc="A7E0D6C2">
      <w:start w:val="1"/>
      <w:numFmt w:val="lowerLetter"/>
      <w:lvlText w:val="%2."/>
      <w:lvlJc w:val="left"/>
      <w:pPr>
        <w:ind w:left="1440" w:hanging="360"/>
      </w:pPr>
    </w:lvl>
    <w:lvl w:ilvl="2" w:tplc="872073EC">
      <w:start w:val="1"/>
      <w:numFmt w:val="lowerRoman"/>
      <w:lvlText w:val="%3."/>
      <w:lvlJc w:val="right"/>
      <w:pPr>
        <w:ind w:left="2160" w:hanging="180"/>
      </w:pPr>
    </w:lvl>
    <w:lvl w:ilvl="3" w:tplc="9F1C970A">
      <w:start w:val="1"/>
      <w:numFmt w:val="decimal"/>
      <w:lvlText w:val="%4."/>
      <w:lvlJc w:val="left"/>
      <w:pPr>
        <w:ind w:left="2880" w:hanging="360"/>
      </w:pPr>
    </w:lvl>
    <w:lvl w:ilvl="4" w:tplc="F790058C">
      <w:start w:val="1"/>
      <w:numFmt w:val="lowerLetter"/>
      <w:lvlText w:val="%5."/>
      <w:lvlJc w:val="left"/>
      <w:pPr>
        <w:ind w:left="3600" w:hanging="360"/>
      </w:pPr>
    </w:lvl>
    <w:lvl w:ilvl="5" w:tplc="2C8A3516">
      <w:start w:val="1"/>
      <w:numFmt w:val="lowerRoman"/>
      <w:lvlText w:val="%6."/>
      <w:lvlJc w:val="right"/>
      <w:pPr>
        <w:ind w:left="4320" w:hanging="180"/>
      </w:pPr>
    </w:lvl>
    <w:lvl w:ilvl="6" w:tplc="1214E6EE">
      <w:start w:val="1"/>
      <w:numFmt w:val="decimal"/>
      <w:lvlText w:val="%7."/>
      <w:lvlJc w:val="left"/>
      <w:pPr>
        <w:ind w:left="5040" w:hanging="360"/>
      </w:pPr>
    </w:lvl>
    <w:lvl w:ilvl="7" w:tplc="D1264482">
      <w:start w:val="1"/>
      <w:numFmt w:val="lowerLetter"/>
      <w:lvlText w:val="%8."/>
      <w:lvlJc w:val="left"/>
      <w:pPr>
        <w:ind w:left="5760" w:hanging="360"/>
      </w:pPr>
    </w:lvl>
    <w:lvl w:ilvl="8" w:tplc="A9D4BE60">
      <w:start w:val="1"/>
      <w:numFmt w:val="lowerRoman"/>
      <w:lvlText w:val="%9."/>
      <w:lvlJc w:val="right"/>
      <w:pPr>
        <w:ind w:left="6480" w:hanging="180"/>
      </w:pPr>
    </w:lvl>
  </w:abstractNum>
  <w:abstractNum w:abstractNumId="12" w15:restartNumberingAfterBreak="0">
    <w:nsid w:val="1BEEF5C7"/>
    <w:multiLevelType w:val="hybridMultilevel"/>
    <w:tmpl w:val="108AE0C2"/>
    <w:lvl w:ilvl="0" w:tplc="1318DDAA">
      <w:start w:val="1"/>
      <w:numFmt w:val="lowerRoman"/>
      <w:lvlText w:val="(%1)"/>
      <w:lvlJc w:val="left"/>
      <w:pPr>
        <w:ind w:left="720" w:hanging="360"/>
      </w:pPr>
    </w:lvl>
    <w:lvl w:ilvl="1" w:tplc="3BB4EDBC">
      <w:start w:val="1"/>
      <w:numFmt w:val="lowerLetter"/>
      <w:lvlText w:val="%2."/>
      <w:lvlJc w:val="left"/>
      <w:pPr>
        <w:ind w:left="1440" w:hanging="360"/>
      </w:pPr>
    </w:lvl>
    <w:lvl w:ilvl="2" w:tplc="E22EAA32">
      <w:start w:val="1"/>
      <w:numFmt w:val="lowerRoman"/>
      <w:lvlText w:val="%3."/>
      <w:lvlJc w:val="right"/>
      <w:pPr>
        <w:ind w:left="2160" w:hanging="180"/>
      </w:pPr>
    </w:lvl>
    <w:lvl w:ilvl="3" w:tplc="E1ECCC78">
      <w:start w:val="1"/>
      <w:numFmt w:val="decimal"/>
      <w:lvlText w:val="%4."/>
      <w:lvlJc w:val="left"/>
      <w:pPr>
        <w:ind w:left="2880" w:hanging="360"/>
      </w:pPr>
    </w:lvl>
    <w:lvl w:ilvl="4" w:tplc="C9AC7A4E">
      <w:start w:val="1"/>
      <w:numFmt w:val="lowerLetter"/>
      <w:lvlText w:val="%5."/>
      <w:lvlJc w:val="left"/>
      <w:pPr>
        <w:ind w:left="3600" w:hanging="360"/>
      </w:pPr>
    </w:lvl>
    <w:lvl w:ilvl="5" w:tplc="64BE35E0">
      <w:start w:val="1"/>
      <w:numFmt w:val="lowerRoman"/>
      <w:lvlText w:val="%6."/>
      <w:lvlJc w:val="right"/>
      <w:pPr>
        <w:ind w:left="4320" w:hanging="180"/>
      </w:pPr>
    </w:lvl>
    <w:lvl w:ilvl="6" w:tplc="36A4851E">
      <w:start w:val="1"/>
      <w:numFmt w:val="decimal"/>
      <w:lvlText w:val="%7."/>
      <w:lvlJc w:val="left"/>
      <w:pPr>
        <w:ind w:left="5040" w:hanging="360"/>
      </w:pPr>
    </w:lvl>
    <w:lvl w:ilvl="7" w:tplc="561CEA30">
      <w:start w:val="1"/>
      <w:numFmt w:val="lowerLetter"/>
      <w:lvlText w:val="%8."/>
      <w:lvlJc w:val="left"/>
      <w:pPr>
        <w:ind w:left="5760" w:hanging="360"/>
      </w:pPr>
    </w:lvl>
    <w:lvl w:ilvl="8" w:tplc="DB002D4A">
      <w:start w:val="1"/>
      <w:numFmt w:val="lowerRoman"/>
      <w:lvlText w:val="%9."/>
      <w:lvlJc w:val="right"/>
      <w:pPr>
        <w:ind w:left="6480" w:hanging="180"/>
      </w:pPr>
    </w:lvl>
  </w:abstractNum>
  <w:abstractNum w:abstractNumId="13" w15:restartNumberingAfterBreak="0">
    <w:nsid w:val="238D0970"/>
    <w:multiLevelType w:val="multilevel"/>
    <w:tmpl w:val="54B86A7C"/>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4A1AD5"/>
    <w:multiLevelType w:val="hybridMultilevel"/>
    <w:tmpl w:val="FFFFFFFF"/>
    <w:lvl w:ilvl="0" w:tplc="948C44AA">
      <w:start w:val="1"/>
      <w:numFmt w:val="bullet"/>
      <w:lvlText w:val=""/>
      <w:lvlJc w:val="left"/>
      <w:pPr>
        <w:ind w:left="720" w:hanging="360"/>
      </w:pPr>
      <w:rPr>
        <w:rFonts w:ascii="Symbol" w:hAnsi="Symbol" w:hint="default"/>
      </w:rPr>
    </w:lvl>
    <w:lvl w:ilvl="1" w:tplc="8A52DCD6">
      <w:start w:val="1"/>
      <w:numFmt w:val="bullet"/>
      <w:lvlText w:val="o"/>
      <w:lvlJc w:val="left"/>
      <w:pPr>
        <w:ind w:left="1440" w:hanging="360"/>
      </w:pPr>
      <w:rPr>
        <w:rFonts w:ascii="Courier New" w:hAnsi="Courier New" w:hint="default"/>
      </w:rPr>
    </w:lvl>
    <w:lvl w:ilvl="2" w:tplc="7DA21B22">
      <w:start w:val="1"/>
      <w:numFmt w:val="bullet"/>
      <w:lvlText w:val=""/>
      <w:lvlJc w:val="left"/>
      <w:pPr>
        <w:ind w:left="2160" w:hanging="360"/>
      </w:pPr>
      <w:rPr>
        <w:rFonts w:ascii="Wingdings" w:hAnsi="Wingdings" w:hint="default"/>
      </w:rPr>
    </w:lvl>
    <w:lvl w:ilvl="3" w:tplc="61CEAFEA">
      <w:start w:val="1"/>
      <w:numFmt w:val="bullet"/>
      <w:lvlText w:val=""/>
      <w:lvlJc w:val="left"/>
      <w:pPr>
        <w:ind w:left="2880" w:hanging="360"/>
      </w:pPr>
      <w:rPr>
        <w:rFonts w:ascii="Symbol" w:hAnsi="Symbol" w:hint="default"/>
      </w:rPr>
    </w:lvl>
    <w:lvl w:ilvl="4" w:tplc="44CCC640">
      <w:start w:val="1"/>
      <w:numFmt w:val="bullet"/>
      <w:lvlText w:val="o"/>
      <w:lvlJc w:val="left"/>
      <w:pPr>
        <w:ind w:left="3600" w:hanging="360"/>
      </w:pPr>
      <w:rPr>
        <w:rFonts w:ascii="Courier New" w:hAnsi="Courier New" w:hint="default"/>
      </w:rPr>
    </w:lvl>
    <w:lvl w:ilvl="5" w:tplc="120E1E98">
      <w:start w:val="1"/>
      <w:numFmt w:val="bullet"/>
      <w:lvlText w:val=""/>
      <w:lvlJc w:val="left"/>
      <w:pPr>
        <w:ind w:left="4320" w:hanging="360"/>
      </w:pPr>
      <w:rPr>
        <w:rFonts w:ascii="Wingdings" w:hAnsi="Wingdings" w:hint="default"/>
      </w:rPr>
    </w:lvl>
    <w:lvl w:ilvl="6" w:tplc="3636FF56">
      <w:start w:val="1"/>
      <w:numFmt w:val="bullet"/>
      <w:lvlText w:val=""/>
      <w:lvlJc w:val="left"/>
      <w:pPr>
        <w:ind w:left="5040" w:hanging="360"/>
      </w:pPr>
      <w:rPr>
        <w:rFonts w:ascii="Symbol" w:hAnsi="Symbol" w:hint="default"/>
      </w:rPr>
    </w:lvl>
    <w:lvl w:ilvl="7" w:tplc="1B2E1092">
      <w:start w:val="1"/>
      <w:numFmt w:val="bullet"/>
      <w:lvlText w:val="o"/>
      <w:lvlJc w:val="left"/>
      <w:pPr>
        <w:ind w:left="5760" w:hanging="360"/>
      </w:pPr>
      <w:rPr>
        <w:rFonts w:ascii="Courier New" w:hAnsi="Courier New" w:hint="default"/>
      </w:rPr>
    </w:lvl>
    <w:lvl w:ilvl="8" w:tplc="0E38DC3E">
      <w:start w:val="1"/>
      <w:numFmt w:val="bullet"/>
      <w:lvlText w:val=""/>
      <w:lvlJc w:val="left"/>
      <w:pPr>
        <w:ind w:left="6480" w:hanging="360"/>
      </w:pPr>
      <w:rPr>
        <w:rFonts w:ascii="Wingdings" w:hAnsi="Wingdings" w:hint="default"/>
      </w:rPr>
    </w:lvl>
  </w:abstractNum>
  <w:abstractNum w:abstractNumId="15" w15:restartNumberingAfterBreak="0">
    <w:nsid w:val="299332E8"/>
    <w:multiLevelType w:val="multilevel"/>
    <w:tmpl w:val="0ABE73D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heme="minorEastAsia" w:hAnsi="Calibri" w:cs="Calibri" w:hint="default"/>
      </w:rPr>
    </w:lvl>
    <w:lvl w:ilvl="2">
      <w:start w:val="1"/>
      <w:numFmt w:val="lowerLetter"/>
      <w:lvlText w:val="%3."/>
      <w:lvlJc w:val="left"/>
      <w:pPr>
        <w:ind w:left="2061" w:hanging="360"/>
      </w:pPr>
      <w:rPr>
        <w:rFonts w:hint="default"/>
        <w:sz w:val="24"/>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E1C5F7"/>
    <w:multiLevelType w:val="hybridMultilevel"/>
    <w:tmpl w:val="F468FD7E"/>
    <w:lvl w:ilvl="0" w:tplc="82321972">
      <w:start w:val="1"/>
      <w:numFmt w:val="bullet"/>
      <w:lvlText w:val=""/>
      <w:lvlJc w:val="left"/>
      <w:pPr>
        <w:ind w:left="720" w:hanging="360"/>
      </w:pPr>
      <w:rPr>
        <w:rFonts w:ascii="Symbol" w:hAnsi="Symbol" w:hint="default"/>
      </w:rPr>
    </w:lvl>
    <w:lvl w:ilvl="1" w:tplc="AC8E729A">
      <w:start w:val="1"/>
      <w:numFmt w:val="bullet"/>
      <w:lvlText w:val="o"/>
      <w:lvlJc w:val="left"/>
      <w:pPr>
        <w:ind w:left="1440" w:hanging="360"/>
      </w:pPr>
      <w:rPr>
        <w:rFonts w:ascii="Courier New" w:hAnsi="Courier New" w:hint="default"/>
      </w:rPr>
    </w:lvl>
    <w:lvl w:ilvl="2" w:tplc="E6526DF6">
      <w:start w:val="1"/>
      <w:numFmt w:val="bullet"/>
      <w:lvlText w:val=""/>
      <w:lvlJc w:val="left"/>
      <w:pPr>
        <w:ind w:left="2160" w:hanging="360"/>
      </w:pPr>
      <w:rPr>
        <w:rFonts w:ascii="Wingdings" w:hAnsi="Wingdings" w:hint="default"/>
      </w:rPr>
    </w:lvl>
    <w:lvl w:ilvl="3" w:tplc="0FF464C2">
      <w:start w:val="1"/>
      <w:numFmt w:val="bullet"/>
      <w:lvlText w:val=""/>
      <w:lvlJc w:val="left"/>
      <w:pPr>
        <w:ind w:left="2880" w:hanging="360"/>
      </w:pPr>
      <w:rPr>
        <w:rFonts w:ascii="Symbol" w:hAnsi="Symbol" w:hint="default"/>
      </w:rPr>
    </w:lvl>
    <w:lvl w:ilvl="4" w:tplc="EEB8A36C">
      <w:start w:val="1"/>
      <w:numFmt w:val="bullet"/>
      <w:lvlText w:val="o"/>
      <w:lvlJc w:val="left"/>
      <w:pPr>
        <w:ind w:left="3600" w:hanging="360"/>
      </w:pPr>
      <w:rPr>
        <w:rFonts w:ascii="Courier New" w:hAnsi="Courier New" w:hint="default"/>
      </w:rPr>
    </w:lvl>
    <w:lvl w:ilvl="5" w:tplc="FB4ACE92">
      <w:start w:val="1"/>
      <w:numFmt w:val="bullet"/>
      <w:lvlText w:val=""/>
      <w:lvlJc w:val="left"/>
      <w:pPr>
        <w:ind w:left="4320" w:hanging="360"/>
      </w:pPr>
      <w:rPr>
        <w:rFonts w:ascii="Wingdings" w:hAnsi="Wingdings" w:hint="default"/>
      </w:rPr>
    </w:lvl>
    <w:lvl w:ilvl="6" w:tplc="60D2BF74">
      <w:start w:val="1"/>
      <w:numFmt w:val="bullet"/>
      <w:lvlText w:val=""/>
      <w:lvlJc w:val="left"/>
      <w:pPr>
        <w:ind w:left="5040" w:hanging="360"/>
      </w:pPr>
      <w:rPr>
        <w:rFonts w:ascii="Symbol" w:hAnsi="Symbol" w:hint="default"/>
      </w:rPr>
    </w:lvl>
    <w:lvl w:ilvl="7" w:tplc="7D629FFE">
      <w:start w:val="1"/>
      <w:numFmt w:val="bullet"/>
      <w:lvlText w:val="o"/>
      <w:lvlJc w:val="left"/>
      <w:pPr>
        <w:ind w:left="5760" w:hanging="360"/>
      </w:pPr>
      <w:rPr>
        <w:rFonts w:ascii="Courier New" w:hAnsi="Courier New" w:hint="default"/>
      </w:rPr>
    </w:lvl>
    <w:lvl w:ilvl="8" w:tplc="4EBE275A">
      <w:start w:val="1"/>
      <w:numFmt w:val="bullet"/>
      <w:lvlText w:val=""/>
      <w:lvlJc w:val="left"/>
      <w:pPr>
        <w:ind w:left="6480" w:hanging="360"/>
      </w:pPr>
      <w:rPr>
        <w:rFonts w:ascii="Wingdings" w:hAnsi="Wingdings" w:hint="default"/>
      </w:rPr>
    </w:lvl>
  </w:abstractNum>
  <w:abstractNum w:abstractNumId="17" w15:restartNumberingAfterBreak="0">
    <w:nsid w:val="307B2279"/>
    <w:multiLevelType w:val="hybridMultilevel"/>
    <w:tmpl w:val="8E9C7C26"/>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BC8530F"/>
    <w:multiLevelType w:val="hybridMultilevel"/>
    <w:tmpl w:val="FFFFFFFF"/>
    <w:lvl w:ilvl="0" w:tplc="B8E80CCC">
      <w:start w:val="1"/>
      <w:numFmt w:val="lowerRoman"/>
      <w:lvlText w:val="(%1)"/>
      <w:lvlJc w:val="left"/>
      <w:pPr>
        <w:ind w:left="720" w:hanging="360"/>
      </w:pPr>
    </w:lvl>
    <w:lvl w:ilvl="1" w:tplc="3EA822BE">
      <w:start w:val="1"/>
      <w:numFmt w:val="lowerLetter"/>
      <w:lvlText w:val="%2."/>
      <w:lvlJc w:val="left"/>
      <w:pPr>
        <w:ind w:left="1440" w:hanging="360"/>
      </w:pPr>
    </w:lvl>
    <w:lvl w:ilvl="2" w:tplc="2B782524">
      <w:start w:val="1"/>
      <w:numFmt w:val="lowerRoman"/>
      <w:lvlText w:val="%3."/>
      <w:lvlJc w:val="right"/>
      <w:pPr>
        <w:ind w:left="2160" w:hanging="180"/>
      </w:pPr>
    </w:lvl>
    <w:lvl w:ilvl="3" w:tplc="3B3011C4">
      <w:start w:val="1"/>
      <w:numFmt w:val="decimal"/>
      <w:lvlText w:val="%4."/>
      <w:lvlJc w:val="left"/>
      <w:pPr>
        <w:ind w:left="2880" w:hanging="360"/>
      </w:pPr>
    </w:lvl>
    <w:lvl w:ilvl="4" w:tplc="C9566602">
      <w:start w:val="1"/>
      <w:numFmt w:val="lowerLetter"/>
      <w:lvlText w:val="%5."/>
      <w:lvlJc w:val="left"/>
      <w:pPr>
        <w:ind w:left="3600" w:hanging="360"/>
      </w:pPr>
    </w:lvl>
    <w:lvl w:ilvl="5" w:tplc="B5A4E902">
      <w:start w:val="1"/>
      <w:numFmt w:val="lowerRoman"/>
      <w:lvlText w:val="%6."/>
      <w:lvlJc w:val="right"/>
      <w:pPr>
        <w:ind w:left="4320" w:hanging="180"/>
      </w:pPr>
    </w:lvl>
    <w:lvl w:ilvl="6" w:tplc="85E044F4">
      <w:start w:val="1"/>
      <w:numFmt w:val="decimal"/>
      <w:lvlText w:val="%7."/>
      <w:lvlJc w:val="left"/>
      <w:pPr>
        <w:ind w:left="5040" w:hanging="360"/>
      </w:pPr>
    </w:lvl>
    <w:lvl w:ilvl="7" w:tplc="9DB24A86">
      <w:start w:val="1"/>
      <w:numFmt w:val="lowerLetter"/>
      <w:lvlText w:val="%8."/>
      <w:lvlJc w:val="left"/>
      <w:pPr>
        <w:ind w:left="5760" w:hanging="360"/>
      </w:pPr>
    </w:lvl>
    <w:lvl w:ilvl="8" w:tplc="53622B2E">
      <w:start w:val="1"/>
      <w:numFmt w:val="lowerRoman"/>
      <w:lvlText w:val="%9."/>
      <w:lvlJc w:val="right"/>
      <w:pPr>
        <w:ind w:left="6480" w:hanging="180"/>
      </w:pPr>
    </w:lvl>
  </w:abstractNum>
  <w:abstractNum w:abstractNumId="19" w15:restartNumberingAfterBreak="0">
    <w:nsid w:val="43AA0343"/>
    <w:multiLevelType w:val="hybridMultilevel"/>
    <w:tmpl w:val="8EF23F12"/>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040EE8"/>
    <w:multiLevelType w:val="multilevel"/>
    <w:tmpl w:val="F7A05968"/>
    <w:lvl w:ilvl="0">
      <w:start w:val="2"/>
      <w:numFmt w:val="decimal"/>
      <w:lvlText w:val="%1"/>
      <w:lvlJc w:val="left"/>
      <w:pPr>
        <w:ind w:left="420" w:hanging="42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21" w15:restartNumberingAfterBreak="0">
    <w:nsid w:val="4508FDDE"/>
    <w:multiLevelType w:val="hybridMultilevel"/>
    <w:tmpl w:val="F934C2B0"/>
    <w:lvl w:ilvl="0" w:tplc="55B8DF9C">
      <w:start w:val="1"/>
      <w:numFmt w:val="lowerRoman"/>
      <w:lvlText w:val="(%1)"/>
      <w:lvlJc w:val="left"/>
      <w:pPr>
        <w:ind w:left="720" w:hanging="360"/>
      </w:pPr>
    </w:lvl>
    <w:lvl w:ilvl="1" w:tplc="0D1A23B0">
      <w:start w:val="1"/>
      <w:numFmt w:val="lowerLetter"/>
      <w:lvlText w:val="%2."/>
      <w:lvlJc w:val="left"/>
      <w:pPr>
        <w:ind w:left="1440" w:hanging="360"/>
      </w:pPr>
    </w:lvl>
    <w:lvl w:ilvl="2" w:tplc="81F86A6C">
      <w:start w:val="1"/>
      <w:numFmt w:val="lowerRoman"/>
      <w:lvlText w:val="%3."/>
      <w:lvlJc w:val="right"/>
      <w:pPr>
        <w:ind w:left="2160" w:hanging="180"/>
      </w:pPr>
    </w:lvl>
    <w:lvl w:ilvl="3" w:tplc="3BE2DD42">
      <w:start w:val="1"/>
      <w:numFmt w:val="decimal"/>
      <w:lvlText w:val="%4."/>
      <w:lvlJc w:val="left"/>
      <w:pPr>
        <w:ind w:left="2880" w:hanging="360"/>
      </w:pPr>
    </w:lvl>
    <w:lvl w:ilvl="4" w:tplc="E89C302A">
      <w:start w:val="1"/>
      <w:numFmt w:val="lowerLetter"/>
      <w:lvlText w:val="%5."/>
      <w:lvlJc w:val="left"/>
      <w:pPr>
        <w:ind w:left="3600" w:hanging="360"/>
      </w:pPr>
    </w:lvl>
    <w:lvl w:ilvl="5" w:tplc="26B8BCCE">
      <w:start w:val="1"/>
      <w:numFmt w:val="lowerRoman"/>
      <w:lvlText w:val="%6."/>
      <w:lvlJc w:val="right"/>
      <w:pPr>
        <w:ind w:left="4320" w:hanging="180"/>
      </w:pPr>
    </w:lvl>
    <w:lvl w:ilvl="6" w:tplc="BE008698">
      <w:start w:val="1"/>
      <w:numFmt w:val="decimal"/>
      <w:lvlText w:val="%7."/>
      <w:lvlJc w:val="left"/>
      <w:pPr>
        <w:ind w:left="5040" w:hanging="360"/>
      </w:pPr>
    </w:lvl>
    <w:lvl w:ilvl="7" w:tplc="DBB680E4">
      <w:start w:val="1"/>
      <w:numFmt w:val="lowerLetter"/>
      <w:lvlText w:val="%8."/>
      <w:lvlJc w:val="left"/>
      <w:pPr>
        <w:ind w:left="5760" w:hanging="360"/>
      </w:pPr>
    </w:lvl>
    <w:lvl w:ilvl="8" w:tplc="12DA9EFE">
      <w:start w:val="1"/>
      <w:numFmt w:val="lowerRoman"/>
      <w:lvlText w:val="%9."/>
      <w:lvlJc w:val="right"/>
      <w:pPr>
        <w:ind w:left="6480" w:hanging="180"/>
      </w:pPr>
    </w:lvl>
  </w:abstractNum>
  <w:abstractNum w:abstractNumId="22" w15:restartNumberingAfterBreak="0">
    <w:nsid w:val="470D7588"/>
    <w:multiLevelType w:val="hybridMultilevel"/>
    <w:tmpl w:val="59E8B01E"/>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87C0899"/>
    <w:multiLevelType w:val="multilevel"/>
    <w:tmpl w:val="70981B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1D755D"/>
    <w:multiLevelType w:val="hybridMultilevel"/>
    <w:tmpl w:val="A8EE2AF8"/>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FEB1E1A"/>
    <w:multiLevelType w:val="hybridMultilevel"/>
    <w:tmpl w:val="ED28A7D6"/>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2059C0"/>
    <w:multiLevelType w:val="hybridMultilevel"/>
    <w:tmpl w:val="E44CD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42975EE"/>
    <w:multiLevelType w:val="hybridMultilevel"/>
    <w:tmpl w:val="0636A5F4"/>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8CE3303"/>
    <w:multiLevelType w:val="hybridMultilevel"/>
    <w:tmpl w:val="FFFFFFFF"/>
    <w:lvl w:ilvl="0" w:tplc="C36EF23E">
      <w:start w:val="1"/>
      <w:numFmt w:val="upperRoman"/>
      <w:lvlText w:val="%1."/>
      <w:lvlJc w:val="right"/>
      <w:pPr>
        <w:ind w:left="720" w:hanging="360"/>
      </w:pPr>
    </w:lvl>
    <w:lvl w:ilvl="1" w:tplc="CBB4399A">
      <w:start w:val="1"/>
      <w:numFmt w:val="lowerLetter"/>
      <w:lvlText w:val="%2."/>
      <w:lvlJc w:val="left"/>
      <w:pPr>
        <w:ind w:left="1440" w:hanging="360"/>
      </w:pPr>
    </w:lvl>
    <w:lvl w:ilvl="2" w:tplc="2202F83E">
      <w:start w:val="1"/>
      <w:numFmt w:val="lowerRoman"/>
      <w:lvlText w:val="%3."/>
      <w:lvlJc w:val="right"/>
      <w:pPr>
        <w:ind w:left="2160" w:hanging="180"/>
      </w:pPr>
    </w:lvl>
    <w:lvl w:ilvl="3" w:tplc="E89075EA">
      <w:start w:val="1"/>
      <w:numFmt w:val="decimal"/>
      <w:lvlText w:val="%4."/>
      <w:lvlJc w:val="left"/>
      <w:pPr>
        <w:ind w:left="2880" w:hanging="360"/>
      </w:pPr>
    </w:lvl>
    <w:lvl w:ilvl="4" w:tplc="F75C429A">
      <w:start w:val="1"/>
      <w:numFmt w:val="lowerLetter"/>
      <w:lvlText w:val="%5."/>
      <w:lvlJc w:val="left"/>
      <w:pPr>
        <w:ind w:left="3600" w:hanging="360"/>
      </w:pPr>
    </w:lvl>
    <w:lvl w:ilvl="5" w:tplc="7C343A28">
      <w:start w:val="1"/>
      <w:numFmt w:val="lowerRoman"/>
      <w:lvlText w:val="%6."/>
      <w:lvlJc w:val="right"/>
      <w:pPr>
        <w:ind w:left="4320" w:hanging="180"/>
      </w:pPr>
    </w:lvl>
    <w:lvl w:ilvl="6" w:tplc="77EC00B6">
      <w:start w:val="1"/>
      <w:numFmt w:val="decimal"/>
      <w:lvlText w:val="%7."/>
      <w:lvlJc w:val="left"/>
      <w:pPr>
        <w:ind w:left="5040" w:hanging="360"/>
      </w:pPr>
    </w:lvl>
    <w:lvl w:ilvl="7" w:tplc="9DB236FE">
      <w:start w:val="1"/>
      <w:numFmt w:val="lowerLetter"/>
      <w:lvlText w:val="%8."/>
      <w:lvlJc w:val="left"/>
      <w:pPr>
        <w:ind w:left="5760" w:hanging="360"/>
      </w:pPr>
    </w:lvl>
    <w:lvl w:ilvl="8" w:tplc="3370CB54">
      <w:start w:val="1"/>
      <w:numFmt w:val="lowerRoman"/>
      <w:lvlText w:val="%9."/>
      <w:lvlJc w:val="right"/>
      <w:pPr>
        <w:ind w:left="6480" w:hanging="180"/>
      </w:pPr>
    </w:lvl>
  </w:abstractNum>
  <w:abstractNum w:abstractNumId="29" w15:restartNumberingAfterBreak="0">
    <w:nsid w:val="5D27708C"/>
    <w:multiLevelType w:val="hybridMultilevel"/>
    <w:tmpl w:val="7934216C"/>
    <w:lvl w:ilvl="0" w:tplc="18090001">
      <w:start w:val="1"/>
      <w:numFmt w:val="bullet"/>
      <w:lvlText w:val=""/>
      <w:lvlJc w:val="left"/>
      <w:pPr>
        <w:ind w:left="3600" w:hanging="360"/>
      </w:pPr>
      <w:rPr>
        <w:rFonts w:ascii="Symbol" w:hAnsi="Symbol" w:hint="default"/>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30" w15:restartNumberingAfterBreak="0">
    <w:nsid w:val="62761D2A"/>
    <w:multiLevelType w:val="hybridMultilevel"/>
    <w:tmpl w:val="31447094"/>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56E30B4"/>
    <w:multiLevelType w:val="hybridMultilevel"/>
    <w:tmpl w:val="12ACC90A"/>
    <w:lvl w:ilvl="0" w:tplc="18D4D41A">
      <w:start w:val="1"/>
      <w:numFmt w:val="lowerRoman"/>
      <w:lvlText w:val="(%1)"/>
      <w:lvlJc w:val="left"/>
      <w:pPr>
        <w:ind w:left="720" w:hanging="360"/>
      </w:pPr>
    </w:lvl>
    <w:lvl w:ilvl="1" w:tplc="61626DDA">
      <w:start w:val="1"/>
      <w:numFmt w:val="lowerLetter"/>
      <w:lvlText w:val="%2."/>
      <w:lvlJc w:val="left"/>
      <w:pPr>
        <w:ind w:left="1440" w:hanging="360"/>
      </w:pPr>
    </w:lvl>
    <w:lvl w:ilvl="2" w:tplc="A7282CB6">
      <w:start w:val="1"/>
      <w:numFmt w:val="lowerRoman"/>
      <w:lvlText w:val="%3."/>
      <w:lvlJc w:val="right"/>
      <w:pPr>
        <w:ind w:left="2160" w:hanging="180"/>
      </w:pPr>
    </w:lvl>
    <w:lvl w:ilvl="3" w:tplc="A562442E">
      <w:start w:val="1"/>
      <w:numFmt w:val="decimal"/>
      <w:lvlText w:val="%4."/>
      <w:lvlJc w:val="left"/>
      <w:pPr>
        <w:ind w:left="2880" w:hanging="360"/>
      </w:pPr>
    </w:lvl>
    <w:lvl w:ilvl="4" w:tplc="E58813A4">
      <w:start w:val="1"/>
      <w:numFmt w:val="lowerLetter"/>
      <w:lvlText w:val="%5."/>
      <w:lvlJc w:val="left"/>
      <w:pPr>
        <w:ind w:left="3600" w:hanging="360"/>
      </w:pPr>
    </w:lvl>
    <w:lvl w:ilvl="5" w:tplc="DEF4ED40">
      <w:start w:val="1"/>
      <w:numFmt w:val="lowerRoman"/>
      <w:lvlText w:val="%6."/>
      <w:lvlJc w:val="right"/>
      <w:pPr>
        <w:ind w:left="4320" w:hanging="180"/>
      </w:pPr>
    </w:lvl>
    <w:lvl w:ilvl="6" w:tplc="3EB4F6FE">
      <w:start w:val="1"/>
      <w:numFmt w:val="decimal"/>
      <w:lvlText w:val="%7."/>
      <w:lvlJc w:val="left"/>
      <w:pPr>
        <w:ind w:left="5040" w:hanging="360"/>
      </w:pPr>
    </w:lvl>
    <w:lvl w:ilvl="7" w:tplc="32F449CA">
      <w:start w:val="1"/>
      <w:numFmt w:val="lowerLetter"/>
      <w:lvlText w:val="%8."/>
      <w:lvlJc w:val="left"/>
      <w:pPr>
        <w:ind w:left="5760" w:hanging="360"/>
      </w:pPr>
    </w:lvl>
    <w:lvl w:ilvl="8" w:tplc="1918F072">
      <w:start w:val="1"/>
      <w:numFmt w:val="lowerRoman"/>
      <w:lvlText w:val="%9."/>
      <w:lvlJc w:val="right"/>
      <w:pPr>
        <w:ind w:left="6480" w:hanging="180"/>
      </w:pPr>
    </w:lvl>
  </w:abstractNum>
  <w:abstractNum w:abstractNumId="32" w15:restartNumberingAfterBreak="0">
    <w:nsid w:val="67810BEA"/>
    <w:multiLevelType w:val="hybridMultilevel"/>
    <w:tmpl w:val="864CB2A0"/>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8B81DFF"/>
    <w:multiLevelType w:val="hybridMultilevel"/>
    <w:tmpl w:val="7E12FB36"/>
    <w:lvl w:ilvl="0" w:tplc="FFFFFFFF">
      <w:start w:val="1"/>
      <w:numFmt w:val="lowerRoman"/>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8F71711"/>
    <w:multiLevelType w:val="hybridMultilevel"/>
    <w:tmpl w:val="412A68B2"/>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97F7B17"/>
    <w:multiLevelType w:val="hybridMultilevel"/>
    <w:tmpl w:val="C360B260"/>
    <w:lvl w:ilvl="0" w:tplc="1318DDAA">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0C3F38"/>
    <w:multiLevelType w:val="hybridMultilevel"/>
    <w:tmpl w:val="2F7E75B0"/>
    <w:lvl w:ilvl="0" w:tplc="1318DDA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6EFB5914"/>
    <w:multiLevelType w:val="hybridMultilevel"/>
    <w:tmpl w:val="32EE574A"/>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5FF0567"/>
    <w:multiLevelType w:val="hybridMultilevel"/>
    <w:tmpl w:val="1020FD56"/>
    <w:lvl w:ilvl="0" w:tplc="1318DDAA">
      <w:start w:val="1"/>
      <w:numFmt w:val="lowerRoman"/>
      <w:lvlText w:val="(%1)"/>
      <w:lvlJc w:val="left"/>
      <w:pPr>
        <w:ind w:left="720" w:hanging="360"/>
      </w:pPr>
    </w:lvl>
    <w:lvl w:ilvl="1" w:tplc="79F40BA0">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A62676A"/>
    <w:multiLevelType w:val="hybridMultilevel"/>
    <w:tmpl w:val="FFFFFFFF"/>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8"/>
  </w:num>
  <w:num w:numId="2">
    <w:abstractNumId w:val="11"/>
  </w:num>
  <w:num w:numId="3">
    <w:abstractNumId w:val="31"/>
  </w:num>
  <w:num w:numId="4">
    <w:abstractNumId w:val="9"/>
  </w:num>
  <w:num w:numId="5">
    <w:abstractNumId w:val="21"/>
  </w:num>
  <w:num w:numId="6">
    <w:abstractNumId w:val="4"/>
  </w:num>
  <w:num w:numId="7">
    <w:abstractNumId w:val="6"/>
  </w:num>
  <w:num w:numId="8">
    <w:abstractNumId w:val="13"/>
  </w:num>
  <w:num w:numId="9">
    <w:abstractNumId w:val="15"/>
  </w:num>
  <w:num w:numId="10">
    <w:abstractNumId w:val="29"/>
  </w:num>
  <w:num w:numId="11">
    <w:abstractNumId w:val="26"/>
  </w:num>
  <w:num w:numId="12">
    <w:abstractNumId w:val="14"/>
  </w:num>
  <w:num w:numId="13">
    <w:abstractNumId w:val="16"/>
  </w:num>
  <w:num w:numId="14">
    <w:abstractNumId w:val="12"/>
  </w:num>
  <w:num w:numId="15">
    <w:abstractNumId w:val="38"/>
  </w:num>
  <w:num w:numId="16">
    <w:abstractNumId w:val="32"/>
  </w:num>
  <w:num w:numId="17">
    <w:abstractNumId w:val="36"/>
  </w:num>
  <w:num w:numId="18">
    <w:abstractNumId w:val="35"/>
  </w:num>
  <w:num w:numId="19">
    <w:abstractNumId w:val="0"/>
  </w:num>
  <w:num w:numId="20">
    <w:abstractNumId w:val="17"/>
  </w:num>
  <w:num w:numId="21">
    <w:abstractNumId w:val="8"/>
  </w:num>
  <w:num w:numId="22">
    <w:abstractNumId w:val="22"/>
  </w:num>
  <w:num w:numId="23">
    <w:abstractNumId w:val="30"/>
  </w:num>
  <w:num w:numId="24">
    <w:abstractNumId w:val="25"/>
  </w:num>
  <w:num w:numId="25">
    <w:abstractNumId w:val="1"/>
  </w:num>
  <w:num w:numId="26">
    <w:abstractNumId w:val="10"/>
  </w:num>
  <w:num w:numId="27">
    <w:abstractNumId w:val="19"/>
  </w:num>
  <w:num w:numId="28">
    <w:abstractNumId w:val="34"/>
  </w:num>
  <w:num w:numId="29">
    <w:abstractNumId w:val="2"/>
  </w:num>
  <w:num w:numId="30">
    <w:abstractNumId w:val="24"/>
  </w:num>
  <w:num w:numId="31">
    <w:abstractNumId w:val="27"/>
  </w:num>
  <w:num w:numId="32">
    <w:abstractNumId w:val="7"/>
  </w:num>
  <w:num w:numId="33">
    <w:abstractNumId w:val="37"/>
  </w:num>
  <w:num w:numId="34">
    <w:abstractNumId w:val="13"/>
    <w:lvlOverride w:ilvl="0">
      <w:startOverride w:val="3"/>
    </w:lvlOverride>
    <w:lvlOverride w:ilvl="1">
      <w:startOverride w:val="3"/>
    </w:lvlOverride>
    <w:lvlOverride w:ilvl="2">
      <w:startOverride w:val="2"/>
    </w:lvlOverride>
  </w:num>
  <w:num w:numId="35">
    <w:abstractNumId w:val="13"/>
    <w:lvlOverride w:ilvl="0">
      <w:startOverride w:val="3"/>
    </w:lvlOverride>
    <w:lvlOverride w:ilvl="1">
      <w:startOverride w:val="3"/>
    </w:lvlOverride>
    <w:lvlOverride w:ilvl="2">
      <w:startOverride w:val="2"/>
    </w:lvlOverride>
  </w:num>
  <w:num w:numId="36">
    <w:abstractNumId w:val="3"/>
  </w:num>
  <w:num w:numId="37">
    <w:abstractNumId w:val="28"/>
  </w:num>
  <w:num w:numId="38">
    <w:abstractNumId w:val="39"/>
  </w:num>
  <w:num w:numId="39">
    <w:abstractNumId w:val="5"/>
  </w:num>
  <w:num w:numId="40">
    <w:abstractNumId w:val="23"/>
  </w:num>
  <w:num w:numId="41">
    <w:abstractNumId w:val="20"/>
  </w:num>
  <w:num w:numId="42">
    <w:abstractNumId w:val="13"/>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0"/>
    <w:docVar w:name="LW_CORRIGENDUM" w:val="&lt;UNUSED&gt;"/>
    <w:docVar w:name="LW_COVERPAGE_EXISTS" w:val="True"/>
    <w:docVar w:name="LW_COVERPAGE_GUID" w:val="EB6D13E8-EA29-4CCB-9937-5AFE155C039B"/>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
    <w:docVar w:name="LW_PART_NBR_TOTAL" w:val="1"/>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7AEAF607"/>
    <w:rsid w:val="000000B0"/>
    <w:rsid w:val="00000110"/>
    <w:rsid w:val="00000204"/>
    <w:rsid w:val="0000020F"/>
    <w:rsid w:val="000003D8"/>
    <w:rsid w:val="0000040C"/>
    <w:rsid w:val="000005CF"/>
    <w:rsid w:val="000006C9"/>
    <w:rsid w:val="000006F6"/>
    <w:rsid w:val="000007B3"/>
    <w:rsid w:val="000008D0"/>
    <w:rsid w:val="0000095A"/>
    <w:rsid w:val="0000095F"/>
    <w:rsid w:val="00000AE7"/>
    <w:rsid w:val="00000FCE"/>
    <w:rsid w:val="00001019"/>
    <w:rsid w:val="00001212"/>
    <w:rsid w:val="000013C2"/>
    <w:rsid w:val="000013E0"/>
    <w:rsid w:val="000014BC"/>
    <w:rsid w:val="000014DF"/>
    <w:rsid w:val="00001597"/>
    <w:rsid w:val="000015E2"/>
    <w:rsid w:val="000015EF"/>
    <w:rsid w:val="00001679"/>
    <w:rsid w:val="000016A4"/>
    <w:rsid w:val="00001709"/>
    <w:rsid w:val="00001839"/>
    <w:rsid w:val="00001AAB"/>
    <w:rsid w:val="00001B4A"/>
    <w:rsid w:val="00001BBF"/>
    <w:rsid w:val="00001C52"/>
    <w:rsid w:val="00001E40"/>
    <w:rsid w:val="00001EA7"/>
    <w:rsid w:val="00001F1D"/>
    <w:rsid w:val="000021FD"/>
    <w:rsid w:val="00002345"/>
    <w:rsid w:val="000023B1"/>
    <w:rsid w:val="000023E3"/>
    <w:rsid w:val="000023FF"/>
    <w:rsid w:val="000024D9"/>
    <w:rsid w:val="000025DA"/>
    <w:rsid w:val="00002682"/>
    <w:rsid w:val="0000268C"/>
    <w:rsid w:val="000028D9"/>
    <w:rsid w:val="00002994"/>
    <w:rsid w:val="000029B7"/>
    <w:rsid w:val="000029BF"/>
    <w:rsid w:val="00002D18"/>
    <w:rsid w:val="00002D77"/>
    <w:rsid w:val="00002D7F"/>
    <w:rsid w:val="00002D84"/>
    <w:rsid w:val="00003150"/>
    <w:rsid w:val="0000316D"/>
    <w:rsid w:val="00003289"/>
    <w:rsid w:val="00003334"/>
    <w:rsid w:val="00003343"/>
    <w:rsid w:val="00003468"/>
    <w:rsid w:val="00003568"/>
    <w:rsid w:val="0000357B"/>
    <w:rsid w:val="00003590"/>
    <w:rsid w:val="0000370E"/>
    <w:rsid w:val="000037F7"/>
    <w:rsid w:val="00003979"/>
    <w:rsid w:val="00003BC0"/>
    <w:rsid w:val="00003CAF"/>
    <w:rsid w:val="00003FEE"/>
    <w:rsid w:val="00004022"/>
    <w:rsid w:val="000041B1"/>
    <w:rsid w:val="00004307"/>
    <w:rsid w:val="00004420"/>
    <w:rsid w:val="0000450F"/>
    <w:rsid w:val="00004546"/>
    <w:rsid w:val="00004950"/>
    <w:rsid w:val="0000497D"/>
    <w:rsid w:val="00004BD5"/>
    <w:rsid w:val="00004CD2"/>
    <w:rsid w:val="00004D9E"/>
    <w:rsid w:val="00004DBE"/>
    <w:rsid w:val="00005502"/>
    <w:rsid w:val="00005511"/>
    <w:rsid w:val="000056A1"/>
    <w:rsid w:val="00005A7E"/>
    <w:rsid w:val="00005AA9"/>
    <w:rsid w:val="00005C00"/>
    <w:rsid w:val="00005CC1"/>
    <w:rsid w:val="00005D4A"/>
    <w:rsid w:val="000060AE"/>
    <w:rsid w:val="00006367"/>
    <w:rsid w:val="0000642E"/>
    <w:rsid w:val="00006439"/>
    <w:rsid w:val="0000649E"/>
    <w:rsid w:val="000064E4"/>
    <w:rsid w:val="000066F8"/>
    <w:rsid w:val="0000676F"/>
    <w:rsid w:val="000067EE"/>
    <w:rsid w:val="000067F1"/>
    <w:rsid w:val="000068DC"/>
    <w:rsid w:val="00006919"/>
    <w:rsid w:val="00006955"/>
    <w:rsid w:val="00006AEA"/>
    <w:rsid w:val="00006B0B"/>
    <w:rsid w:val="00006B5C"/>
    <w:rsid w:val="00006C07"/>
    <w:rsid w:val="00006CF9"/>
    <w:rsid w:val="00006EFF"/>
    <w:rsid w:val="00006F8E"/>
    <w:rsid w:val="000070FB"/>
    <w:rsid w:val="000074A8"/>
    <w:rsid w:val="000074F0"/>
    <w:rsid w:val="0000751F"/>
    <w:rsid w:val="0000763C"/>
    <w:rsid w:val="000076A5"/>
    <w:rsid w:val="00007716"/>
    <w:rsid w:val="00007732"/>
    <w:rsid w:val="00007828"/>
    <w:rsid w:val="00007854"/>
    <w:rsid w:val="000078DD"/>
    <w:rsid w:val="00007918"/>
    <w:rsid w:val="00007A64"/>
    <w:rsid w:val="00007C69"/>
    <w:rsid w:val="00007CF2"/>
    <w:rsid w:val="00007D5F"/>
    <w:rsid w:val="00007DA5"/>
    <w:rsid w:val="00007F8B"/>
    <w:rsid w:val="0000A964"/>
    <w:rsid w:val="00010005"/>
    <w:rsid w:val="0001006E"/>
    <w:rsid w:val="00010360"/>
    <w:rsid w:val="00010361"/>
    <w:rsid w:val="00010489"/>
    <w:rsid w:val="000104A4"/>
    <w:rsid w:val="000104FD"/>
    <w:rsid w:val="000107D2"/>
    <w:rsid w:val="00010B1C"/>
    <w:rsid w:val="00010BE8"/>
    <w:rsid w:val="00010D1E"/>
    <w:rsid w:val="00010D6D"/>
    <w:rsid w:val="00010DAB"/>
    <w:rsid w:val="00010DC3"/>
    <w:rsid w:val="00010E21"/>
    <w:rsid w:val="00010E7B"/>
    <w:rsid w:val="0001109C"/>
    <w:rsid w:val="00011222"/>
    <w:rsid w:val="0001132C"/>
    <w:rsid w:val="0001145E"/>
    <w:rsid w:val="000114AE"/>
    <w:rsid w:val="00011516"/>
    <w:rsid w:val="0001181C"/>
    <w:rsid w:val="000118B4"/>
    <w:rsid w:val="00011ABD"/>
    <w:rsid w:val="00011AFF"/>
    <w:rsid w:val="00011B74"/>
    <w:rsid w:val="00011D4C"/>
    <w:rsid w:val="00011E02"/>
    <w:rsid w:val="00011F6C"/>
    <w:rsid w:val="00012032"/>
    <w:rsid w:val="00012146"/>
    <w:rsid w:val="0001215A"/>
    <w:rsid w:val="000122CC"/>
    <w:rsid w:val="000122E7"/>
    <w:rsid w:val="00012349"/>
    <w:rsid w:val="00012838"/>
    <w:rsid w:val="00012878"/>
    <w:rsid w:val="000129D0"/>
    <w:rsid w:val="000129F9"/>
    <w:rsid w:val="00012AD3"/>
    <w:rsid w:val="00012B61"/>
    <w:rsid w:val="00012BB2"/>
    <w:rsid w:val="00012BC8"/>
    <w:rsid w:val="00012CE8"/>
    <w:rsid w:val="00013151"/>
    <w:rsid w:val="000134C0"/>
    <w:rsid w:val="0001350B"/>
    <w:rsid w:val="00013619"/>
    <w:rsid w:val="00013622"/>
    <w:rsid w:val="000137F4"/>
    <w:rsid w:val="0001380B"/>
    <w:rsid w:val="000138A8"/>
    <w:rsid w:val="000138E5"/>
    <w:rsid w:val="000139B1"/>
    <w:rsid w:val="00013B81"/>
    <w:rsid w:val="00013C2D"/>
    <w:rsid w:val="00013DAC"/>
    <w:rsid w:val="00013DE3"/>
    <w:rsid w:val="00013EFD"/>
    <w:rsid w:val="00013FB4"/>
    <w:rsid w:val="00014002"/>
    <w:rsid w:val="00014532"/>
    <w:rsid w:val="00014644"/>
    <w:rsid w:val="0001485B"/>
    <w:rsid w:val="00014899"/>
    <w:rsid w:val="00014A65"/>
    <w:rsid w:val="00014B7E"/>
    <w:rsid w:val="00014BF8"/>
    <w:rsid w:val="00014C8D"/>
    <w:rsid w:val="00014CBC"/>
    <w:rsid w:val="00014EA0"/>
    <w:rsid w:val="00015024"/>
    <w:rsid w:val="000151E3"/>
    <w:rsid w:val="0001534A"/>
    <w:rsid w:val="000153C0"/>
    <w:rsid w:val="00015436"/>
    <w:rsid w:val="000156F2"/>
    <w:rsid w:val="0001578B"/>
    <w:rsid w:val="00015AAF"/>
    <w:rsid w:val="00015C20"/>
    <w:rsid w:val="00015C97"/>
    <w:rsid w:val="00015D57"/>
    <w:rsid w:val="00015DAE"/>
    <w:rsid w:val="00015E26"/>
    <w:rsid w:val="00015E40"/>
    <w:rsid w:val="000160BE"/>
    <w:rsid w:val="0001610B"/>
    <w:rsid w:val="000161A4"/>
    <w:rsid w:val="0001633E"/>
    <w:rsid w:val="0001638B"/>
    <w:rsid w:val="00016421"/>
    <w:rsid w:val="000164C7"/>
    <w:rsid w:val="0001668A"/>
    <w:rsid w:val="00016710"/>
    <w:rsid w:val="00016746"/>
    <w:rsid w:val="00016757"/>
    <w:rsid w:val="00016763"/>
    <w:rsid w:val="00016955"/>
    <w:rsid w:val="00016996"/>
    <w:rsid w:val="0001699B"/>
    <w:rsid w:val="00016A08"/>
    <w:rsid w:val="00016B7B"/>
    <w:rsid w:val="00016C84"/>
    <w:rsid w:val="00016EC7"/>
    <w:rsid w:val="0001700D"/>
    <w:rsid w:val="000171A3"/>
    <w:rsid w:val="000172A1"/>
    <w:rsid w:val="000173D3"/>
    <w:rsid w:val="00017561"/>
    <w:rsid w:val="00017723"/>
    <w:rsid w:val="00017759"/>
    <w:rsid w:val="00017989"/>
    <w:rsid w:val="000179FB"/>
    <w:rsid w:val="00017A6C"/>
    <w:rsid w:val="00017AA6"/>
    <w:rsid w:val="00017B10"/>
    <w:rsid w:val="00017B1B"/>
    <w:rsid w:val="00017CB5"/>
    <w:rsid w:val="00017D7A"/>
    <w:rsid w:val="00017DF4"/>
    <w:rsid w:val="00017E2A"/>
    <w:rsid w:val="00017F6D"/>
    <w:rsid w:val="0001D88A"/>
    <w:rsid w:val="0002018F"/>
    <w:rsid w:val="00020275"/>
    <w:rsid w:val="00020307"/>
    <w:rsid w:val="00020405"/>
    <w:rsid w:val="0002054E"/>
    <w:rsid w:val="000205C7"/>
    <w:rsid w:val="000206BB"/>
    <w:rsid w:val="00020741"/>
    <w:rsid w:val="000207B0"/>
    <w:rsid w:val="00020858"/>
    <w:rsid w:val="00020875"/>
    <w:rsid w:val="000208E3"/>
    <w:rsid w:val="000209BF"/>
    <w:rsid w:val="00020A90"/>
    <w:rsid w:val="00020AC9"/>
    <w:rsid w:val="00020CC1"/>
    <w:rsid w:val="00020D87"/>
    <w:rsid w:val="00020DEA"/>
    <w:rsid w:val="00020E0E"/>
    <w:rsid w:val="00020E65"/>
    <w:rsid w:val="00020ED8"/>
    <w:rsid w:val="00020EDA"/>
    <w:rsid w:val="00020F37"/>
    <w:rsid w:val="0002117E"/>
    <w:rsid w:val="000215B6"/>
    <w:rsid w:val="000216E6"/>
    <w:rsid w:val="00021790"/>
    <w:rsid w:val="000217FE"/>
    <w:rsid w:val="00021960"/>
    <w:rsid w:val="00021A39"/>
    <w:rsid w:val="00021B2A"/>
    <w:rsid w:val="00021B8B"/>
    <w:rsid w:val="00021B98"/>
    <w:rsid w:val="00021BE3"/>
    <w:rsid w:val="00021C57"/>
    <w:rsid w:val="00021DC0"/>
    <w:rsid w:val="00021E57"/>
    <w:rsid w:val="00022084"/>
    <w:rsid w:val="0002208D"/>
    <w:rsid w:val="000220E3"/>
    <w:rsid w:val="00022121"/>
    <w:rsid w:val="000221DE"/>
    <w:rsid w:val="0002230C"/>
    <w:rsid w:val="000226F8"/>
    <w:rsid w:val="00022714"/>
    <w:rsid w:val="0002284D"/>
    <w:rsid w:val="000229EB"/>
    <w:rsid w:val="00022A25"/>
    <w:rsid w:val="00022AD4"/>
    <w:rsid w:val="00022CDC"/>
    <w:rsid w:val="00022DAD"/>
    <w:rsid w:val="00022DC3"/>
    <w:rsid w:val="00022E50"/>
    <w:rsid w:val="00023018"/>
    <w:rsid w:val="00023148"/>
    <w:rsid w:val="00023190"/>
    <w:rsid w:val="000231D5"/>
    <w:rsid w:val="00023202"/>
    <w:rsid w:val="0002323D"/>
    <w:rsid w:val="0002325C"/>
    <w:rsid w:val="00023271"/>
    <w:rsid w:val="00023276"/>
    <w:rsid w:val="00023303"/>
    <w:rsid w:val="00023365"/>
    <w:rsid w:val="00023382"/>
    <w:rsid w:val="0002345C"/>
    <w:rsid w:val="000234FA"/>
    <w:rsid w:val="000235D4"/>
    <w:rsid w:val="00023741"/>
    <w:rsid w:val="0002379C"/>
    <w:rsid w:val="000237AE"/>
    <w:rsid w:val="000238FB"/>
    <w:rsid w:val="0002391F"/>
    <w:rsid w:val="000239C8"/>
    <w:rsid w:val="00023A67"/>
    <w:rsid w:val="00023DF3"/>
    <w:rsid w:val="00023ED8"/>
    <w:rsid w:val="000241DA"/>
    <w:rsid w:val="000241F1"/>
    <w:rsid w:val="00024249"/>
    <w:rsid w:val="00024315"/>
    <w:rsid w:val="0002438E"/>
    <w:rsid w:val="000243C4"/>
    <w:rsid w:val="000243DE"/>
    <w:rsid w:val="00024471"/>
    <w:rsid w:val="000244D5"/>
    <w:rsid w:val="000245E0"/>
    <w:rsid w:val="00024679"/>
    <w:rsid w:val="00024694"/>
    <w:rsid w:val="00024745"/>
    <w:rsid w:val="000247A1"/>
    <w:rsid w:val="00024864"/>
    <w:rsid w:val="000248B1"/>
    <w:rsid w:val="00024E69"/>
    <w:rsid w:val="00025056"/>
    <w:rsid w:val="000250B1"/>
    <w:rsid w:val="00025185"/>
    <w:rsid w:val="00025260"/>
    <w:rsid w:val="00025361"/>
    <w:rsid w:val="00025461"/>
    <w:rsid w:val="0002552A"/>
    <w:rsid w:val="000255DA"/>
    <w:rsid w:val="00025710"/>
    <w:rsid w:val="00025784"/>
    <w:rsid w:val="000258A5"/>
    <w:rsid w:val="000258F5"/>
    <w:rsid w:val="00025AC4"/>
    <w:rsid w:val="00025C74"/>
    <w:rsid w:val="00025D63"/>
    <w:rsid w:val="00025F29"/>
    <w:rsid w:val="00025F2D"/>
    <w:rsid w:val="000260A6"/>
    <w:rsid w:val="0002613C"/>
    <w:rsid w:val="000261D5"/>
    <w:rsid w:val="00026281"/>
    <w:rsid w:val="0002652B"/>
    <w:rsid w:val="000265D0"/>
    <w:rsid w:val="0002666D"/>
    <w:rsid w:val="0002669E"/>
    <w:rsid w:val="000268B2"/>
    <w:rsid w:val="000268BC"/>
    <w:rsid w:val="00026982"/>
    <w:rsid w:val="000269AE"/>
    <w:rsid w:val="00026AA2"/>
    <w:rsid w:val="00026AB0"/>
    <w:rsid w:val="00026AE3"/>
    <w:rsid w:val="00026B1B"/>
    <w:rsid w:val="00026B49"/>
    <w:rsid w:val="00026DAC"/>
    <w:rsid w:val="00026E5F"/>
    <w:rsid w:val="00026F1F"/>
    <w:rsid w:val="00026F63"/>
    <w:rsid w:val="000271B6"/>
    <w:rsid w:val="000272FA"/>
    <w:rsid w:val="0002743D"/>
    <w:rsid w:val="00027539"/>
    <w:rsid w:val="00027698"/>
    <w:rsid w:val="0002782E"/>
    <w:rsid w:val="000279A1"/>
    <w:rsid w:val="00027A7D"/>
    <w:rsid w:val="00027BC3"/>
    <w:rsid w:val="00027D28"/>
    <w:rsid w:val="00027D93"/>
    <w:rsid w:val="00027DD9"/>
    <w:rsid w:val="00027E2E"/>
    <w:rsid w:val="00027F4F"/>
    <w:rsid w:val="0003019E"/>
    <w:rsid w:val="000302B3"/>
    <w:rsid w:val="00030330"/>
    <w:rsid w:val="0003044C"/>
    <w:rsid w:val="00030476"/>
    <w:rsid w:val="000304A1"/>
    <w:rsid w:val="000304CD"/>
    <w:rsid w:val="000306D0"/>
    <w:rsid w:val="00030773"/>
    <w:rsid w:val="000307AD"/>
    <w:rsid w:val="00030867"/>
    <w:rsid w:val="00030998"/>
    <w:rsid w:val="00030A18"/>
    <w:rsid w:val="00030EC0"/>
    <w:rsid w:val="00030EFF"/>
    <w:rsid w:val="00030F44"/>
    <w:rsid w:val="00030F5F"/>
    <w:rsid w:val="00030FBA"/>
    <w:rsid w:val="00031001"/>
    <w:rsid w:val="000310D5"/>
    <w:rsid w:val="00031198"/>
    <w:rsid w:val="00031658"/>
    <w:rsid w:val="00031681"/>
    <w:rsid w:val="00031751"/>
    <w:rsid w:val="00031818"/>
    <w:rsid w:val="000318CE"/>
    <w:rsid w:val="00031904"/>
    <w:rsid w:val="00031921"/>
    <w:rsid w:val="00031AB6"/>
    <w:rsid w:val="00031BAF"/>
    <w:rsid w:val="00031D16"/>
    <w:rsid w:val="00031E27"/>
    <w:rsid w:val="00031E9C"/>
    <w:rsid w:val="00031EE1"/>
    <w:rsid w:val="0003204D"/>
    <w:rsid w:val="00032130"/>
    <w:rsid w:val="00032270"/>
    <w:rsid w:val="0003250C"/>
    <w:rsid w:val="000326CD"/>
    <w:rsid w:val="00032735"/>
    <w:rsid w:val="000327A6"/>
    <w:rsid w:val="000327A9"/>
    <w:rsid w:val="000328BB"/>
    <w:rsid w:val="000328CB"/>
    <w:rsid w:val="000329D8"/>
    <w:rsid w:val="00032A67"/>
    <w:rsid w:val="00032ADE"/>
    <w:rsid w:val="00032B2C"/>
    <w:rsid w:val="00032D5A"/>
    <w:rsid w:val="00033066"/>
    <w:rsid w:val="00033258"/>
    <w:rsid w:val="00033346"/>
    <w:rsid w:val="00033425"/>
    <w:rsid w:val="000334BD"/>
    <w:rsid w:val="000335D2"/>
    <w:rsid w:val="00033640"/>
    <w:rsid w:val="0003364E"/>
    <w:rsid w:val="0003377D"/>
    <w:rsid w:val="000337CB"/>
    <w:rsid w:val="0003388D"/>
    <w:rsid w:val="00033A2F"/>
    <w:rsid w:val="00033BB5"/>
    <w:rsid w:val="00033C73"/>
    <w:rsid w:val="00033D68"/>
    <w:rsid w:val="00033EB7"/>
    <w:rsid w:val="0003404D"/>
    <w:rsid w:val="00034136"/>
    <w:rsid w:val="0003423C"/>
    <w:rsid w:val="00034243"/>
    <w:rsid w:val="00034255"/>
    <w:rsid w:val="0003457B"/>
    <w:rsid w:val="000346DC"/>
    <w:rsid w:val="000348A1"/>
    <w:rsid w:val="000348FF"/>
    <w:rsid w:val="00034A87"/>
    <w:rsid w:val="00034B92"/>
    <w:rsid w:val="00034BA2"/>
    <w:rsid w:val="00034BAA"/>
    <w:rsid w:val="00034C63"/>
    <w:rsid w:val="00034CBB"/>
    <w:rsid w:val="00034CBE"/>
    <w:rsid w:val="00034CCE"/>
    <w:rsid w:val="00034D9C"/>
    <w:rsid w:val="00034E6B"/>
    <w:rsid w:val="00034EA5"/>
    <w:rsid w:val="00034F1C"/>
    <w:rsid w:val="00034F71"/>
    <w:rsid w:val="0003503B"/>
    <w:rsid w:val="0003509F"/>
    <w:rsid w:val="000352E1"/>
    <w:rsid w:val="00035399"/>
    <w:rsid w:val="000353F0"/>
    <w:rsid w:val="00035439"/>
    <w:rsid w:val="00035466"/>
    <w:rsid w:val="00035586"/>
    <w:rsid w:val="0003563D"/>
    <w:rsid w:val="00035682"/>
    <w:rsid w:val="00035741"/>
    <w:rsid w:val="000358B4"/>
    <w:rsid w:val="00035ABD"/>
    <w:rsid w:val="00035C63"/>
    <w:rsid w:val="00035E03"/>
    <w:rsid w:val="00035F71"/>
    <w:rsid w:val="00036014"/>
    <w:rsid w:val="000360C8"/>
    <w:rsid w:val="00036276"/>
    <w:rsid w:val="0003628A"/>
    <w:rsid w:val="000362AC"/>
    <w:rsid w:val="000366BC"/>
    <w:rsid w:val="0003675E"/>
    <w:rsid w:val="000367BF"/>
    <w:rsid w:val="00036870"/>
    <w:rsid w:val="00036B9E"/>
    <w:rsid w:val="00036BCE"/>
    <w:rsid w:val="00036C59"/>
    <w:rsid w:val="00036CDD"/>
    <w:rsid w:val="0003720A"/>
    <w:rsid w:val="0003733A"/>
    <w:rsid w:val="00037415"/>
    <w:rsid w:val="00037502"/>
    <w:rsid w:val="0003751E"/>
    <w:rsid w:val="00037DC8"/>
    <w:rsid w:val="00037DE4"/>
    <w:rsid w:val="00037E73"/>
    <w:rsid w:val="0003D9A2"/>
    <w:rsid w:val="00040001"/>
    <w:rsid w:val="0004005E"/>
    <w:rsid w:val="000403AF"/>
    <w:rsid w:val="000403D3"/>
    <w:rsid w:val="00040427"/>
    <w:rsid w:val="00040532"/>
    <w:rsid w:val="00040561"/>
    <w:rsid w:val="000405E0"/>
    <w:rsid w:val="000406AB"/>
    <w:rsid w:val="00040866"/>
    <w:rsid w:val="0004089D"/>
    <w:rsid w:val="00040A15"/>
    <w:rsid w:val="00040CB0"/>
    <w:rsid w:val="00040CD0"/>
    <w:rsid w:val="00040E32"/>
    <w:rsid w:val="00040E84"/>
    <w:rsid w:val="00040F9C"/>
    <w:rsid w:val="00041002"/>
    <w:rsid w:val="0004119B"/>
    <w:rsid w:val="000411AB"/>
    <w:rsid w:val="0004134F"/>
    <w:rsid w:val="0004147C"/>
    <w:rsid w:val="00041481"/>
    <w:rsid w:val="000414F1"/>
    <w:rsid w:val="000414F3"/>
    <w:rsid w:val="00041535"/>
    <w:rsid w:val="00041615"/>
    <w:rsid w:val="000416DA"/>
    <w:rsid w:val="0004170F"/>
    <w:rsid w:val="000417C3"/>
    <w:rsid w:val="000417DC"/>
    <w:rsid w:val="00041889"/>
    <w:rsid w:val="00041A0A"/>
    <w:rsid w:val="00041B75"/>
    <w:rsid w:val="00041CED"/>
    <w:rsid w:val="00041CF7"/>
    <w:rsid w:val="00041E0F"/>
    <w:rsid w:val="00041F32"/>
    <w:rsid w:val="00042024"/>
    <w:rsid w:val="00042129"/>
    <w:rsid w:val="00042138"/>
    <w:rsid w:val="000422A1"/>
    <w:rsid w:val="000422C4"/>
    <w:rsid w:val="0004230C"/>
    <w:rsid w:val="00042346"/>
    <w:rsid w:val="0004234F"/>
    <w:rsid w:val="00042437"/>
    <w:rsid w:val="0004244B"/>
    <w:rsid w:val="00042623"/>
    <w:rsid w:val="0004264B"/>
    <w:rsid w:val="000429A4"/>
    <w:rsid w:val="00042A53"/>
    <w:rsid w:val="00042AC0"/>
    <w:rsid w:val="00042C93"/>
    <w:rsid w:val="00042CA3"/>
    <w:rsid w:val="00042CD1"/>
    <w:rsid w:val="00042D20"/>
    <w:rsid w:val="00042D64"/>
    <w:rsid w:val="00042E1F"/>
    <w:rsid w:val="000430E8"/>
    <w:rsid w:val="00043262"/>
    <w:rsid w:val="000432E5"/>
    <w:rsid w:val="000433DC"/>
    <w:rsid w:val="00043540"/>
    <w:rsid w:val="000435E5"/>
    <w:rsid w:val="000435FD"/>
    <w:rsid w:val="00043647"/>
    <w:rsid w:val="00043923"/>
    <w:rsid w:val="00043A59"/>
    <w:rsid w:val="00043AA4"/>
    <w:rsid w:val="00043AC3"/>
    <w:rsid w:val="00043B20"/>
    <w:rsid w:val="00043B6E"/>
    <w:rsid w:val="00043B89"/>
    <w:rsid w:val="00043D85"/>
    <w:rsid w:val="00043E80"/>
    <w:rsid w:val="00044158"/>
    <w:rsid w:val="000441B3"/>
    <w:rsid w:val="0004436A"/>
    <w:rsid w:val="0004446B"/>
    <w:rsid w:val="000444C1"/>
    <w:rsid w:val="000445D1"/>
    <w:rsid w:val="00044632"/>
    <w:rsid w:val="00044703"/>
    <w:rsid w:val="000449D0"/>
    <w:rsid w:val="00044B3B"/>
    <w:rsid w:val="00044B46"/>
    <w:rsid w:val="00044BDE"/>
    <w:rsid w:val="00044D0E"/>
    <w:rsid w:val="00044DA2"/>
    <w:rsid w:val="00044E6C"/>
    <w:rsid w:val="00045332"/>
    <w:rsid w:val="000453D4"/>
    <w:rsid w:val="000454CA"/>
    <w:rsid w:val="00045509"/>
    <w:rsid w:val="00045564"/>
    <w:rsid w:val="000455DB"/>
    <w:rsid w:val="00045651"/>
    <w:rsid w:val="00045800"/>
    <w:rsid w:val="000458BF"/>
    <w:rsid w:val="00045955"/>
    <w:rsid w:val="00045BEA"/>
    <w:rsid w:val="00045C55"/>
    <w:rsid w:val="00045C75"/>
    <w:rsid w:val="00045DE1"/>
    <w:rsid w:val="00045E78"/>
    <w:rsid w:val="00045EA5"/>
    <w:rsid w:val="00045ECD"/>
    <w:rsid w:val="00045ECF"/>
    <w:rsid w:val="00045EEA"/>
    <w:rsid w:val="00045F63"/>
    <w:rsid w:val="00045FFA"/>
    <w:rsid w:val="00046076"/>
    <w:rsid w:val="0004607D"/>
    <w:rsid w:val="0004618B"/>
    <w:rsid w:val="00046293"/>
    <w:rsid w:val="00046475"/>
    <w:rsid w:val="0004689F"/>
    <w:rsid w:val="00046A2C"/>
    <w:rsid w:val="00046A44"/>
    <w:rsid w:val="00046A8D"/>
    <w:rsid w:val="00046B01"/>
    <w:rsid w:val="00046BB5"/>
    <w:rsid w:val="00046BD6"/>
    <w:rsid w:val="00046CC2"/>
    <w:rsid w:val="00046DFE"/>
    <w:rsid w:val="00046E95"/>
    <w:rsid w:val="00046EFC"/>
    <w:rsid w:val="00047137"/>
    <w:rsid w:val="00047143"/>
    <w:rsid w:val="000471AE"/>
    <w:rsid w:val="0004720C"/>
    <w:rsid w:val="00047523"/>
    <w:rsid w:val="0004766E"/>
    <w:rsid w:val="00047739"/>
    <w:rsid w:val="000477F6"/>
    <w:rsid w:val="00047823"/>
    <w:rsid w:val="00047AA6"/>
    <w:rsid w:val="00047B3A"/>
    <w:rsid w:val="00047B92"/>
    <w:rsid w:val="00047BA0"/>
    <w:rsid w:val="00047BA1"/>
    <w:rsid w:val="00047C8C"/>
    <w:rsid w:val="00047D48"/>
    <w:rsid w:val="00047FD7"/>
    <w:rsid w:val="00047FF3"/>
    <w:rsid w:val="00050036"/>
    <w:rsid w:val="0005020C"/>
    <w:rsid w:val="00050420"/>
    <w:rsid w:val="000504E9"/>
    <w:rsid w:val="00050515"/>
    <w:rsid w:val="00050572"/>
    <w:rsid w:val="00050782"/>
    <w:rsid w:val="000507A1"/>
    <w:rsid w:val="00050813"/>
    <w:rsid w:val="00050847"/>
    <w:rsid w:val="00050877"/>
    <w:rsid w:val="00050A34"/>
    <w:rsid w:val="00050AEC"/>
    <w:rsid w:val="00050C24"/>
    <w:rsid w:val="00050D3C"/>
    <w:rsid w:val="00050DD6"/>
    <w:rsid w:val="00050DDD"/>
    <w:rsid w:val="00050DE1"/>
    <w:rsid w:val="000514BB"/>
    <w:rsid w:val="00051506"/>
    <w:rsid w:val="0005162C"/>
    <w:rsid w:val="0005163B"/>
    <w:rsid w:val="000517F4"/>
    <w:rsid w:val="00051938"/>
    <w:rsid w:val="0005193D"/>
    <w:rsid w:val="00051BD7"/>
    <w:rsid w:val="00051C96"/>
    <w:rsid w:val="00051D12"/>
    <w:rsid w:val="00051E73"/>
    <w:rsid w:val="00051F52"/>
    <w:rsid w:val="00051FEA"/>
    <w:rsid w:val="000521E5"/>
    <w:rsid w:val="000522C4"/>
    <w:rsid w:val="0005230D"/>
    <w:rsid w:val="0005231D"/>
    <w:rsid w:val="00052370"/>
    <w:rsid w:val="000523D5"/>
    <w:rsid w:val="000527A8"/>
    <w:rsid w:val="000527B7"/>
    <w:rsid w:val="000529AC"/>
    <w:rsid w:val="00052AEA"/>
    <w:rsid w:val="00052AF7"/>
    <w:rsid w:val="00052B91"/>
    <w:rsid w:val="00052BF8"/>
    <w:rsid w:val="00052C06"/>
    <w:rsid w:val="00052C6C"/>
    <w:rsid w:val="00052CE6"/>
    <w:rsid w:val="00052F1E"/>
    <w:rsid w:val="00052F26"/>
    <w:rsid w:val="00053056"/>
    <w:rsid w:val="0005305E"/>
    <w:rsid w:val="00053120"/>
    <w:rsid w:val="00053180"/>
    <w:rsid w:val="0005324B"/>
    <w:rsid w:val="000532C2"/>
    <w:rsid w:val="000532CB"/>
    <w:rsid w:val="0005338D"/>
    <w:rsid w:val="000533BE"/>
    <w:rsid w:val="000533DF"/>
    <w:rsid w:val="000533F1"/>
    <w:rsid w:val="00053500"/>
    <w:rsid w:val="0005394F"/>
    <w:rsid w:val="00053C8F"/>
    <w:rsid w:val="00053DF6"/>
    <w:rsid w:val="00054005"/>
    <w:rsid w:val="0005429F"/>
    <w:rsid w:val="000542C9"/>
    <w:rsid w:val="00054499"/>
    <w:rsid w:val="00054517"/>
    <w:rsid w:val="00054629"/>
    <w:rsid w:val="00054746"/>
    <w:rsid w:val="0005477F"/>
    <w:rsid w:val="00054809"/>
    <w:rsid w:val="0005487D"/>
    <w:rsid w:val="000548FB"/>
    <w:rsid w:val="00054979"/>
    <w:rsid w:val="00054A26"/>
    <w:rsid w:val="00054A3D"/>
    <w:rsid w:val="00054AF6"/>
    <w:rsid w:val="00054DAF"/>
    <w:rsid w:val="00054DE1"/>
    <w:rsid w:val="00054F07"/>
    <w:rsid w:val="00054F4F"/>
    <w:rsid w:val="000550E1"/>
    <w:rsid w:val="00055188"/>
    <w:rsid w:val="00055193"/>
    <w:rsid w:val="000552DA"/>
    <w:rsid w:val="000554A0"/>
    <w:rsid w:val="0005551D"/>
    <w:rsid w:val="000555EB"/>
    <w:rsid w:val="0005573F"/>
    <w:rsid w:val="000558B1"/>
    <w:rsid w:val="000558E9"/>
    <w:rsid w:val="00055935"/>
    <w:rsid w:val="00055B7E"/>
    <w:rsid w:val="00055C52"/>
    <w:rsid w:val="00055C62"/>
    <w:rsid w:val="00055CC9"/>
    <w:rsid w:val="00055E55"/>
    <w:rsid w:val="00055F0D"/>
    <w:rsid w:val="00055F7B"/>
    <w:rsid w:val="00055FBB"/>
    <w:rsid w:val="00055FC8"/>
    <w:rsid w:val="00055FF0"/>
    <w:rsid w:val="000560D1"/>
    <w:rsid w:val="000560D5"/>
    <w:rsid w:val="0005617F"/>
    <w:rsid w:val="00056225"/>
    <w:rsid w:val="0005625F"/>
    <w:rsid w:val="00056406"/>
    <w:rsid w:val="00056438"/>
    <w:rsid w:val="000564D7"/>
    <w:rsid w:val="00056614"/>
    <w:rsid w:val="00056791"/>
    <w:rsid w:val="00056CC0"/>
    <w:rsid w:val="00056D51"/>
    <w:rsid w:val="00056D5C"/>
    <w:rsid w:val="00056EF1"/>
    <w:rsid w:val="00056F73"/>
    <w:rsid w:val="00057005"/>
    <w:rsid w:val="00057102"/>
    <w:rsid w:val="000573C8"/>
    <w:rsid w:val="00057411"/>
    <w:rsid w:val="000574AC"/>
    <w:rsid w:val="000574AE"/>
    <w:rsid w:val="000574CA"/>
    <w:rsid w:val="000575D1"/>
    <w:rsid w:val="00057641"/>
    <w:rsid w:val="000577A3"/>
    <w:rsid w:val="000577EB"/>
    <w:rsid w:val="00057A50"/>
    <w:rsid w:val="00057AAA"/>
    <w:rsid w:val="00057B17"/>
    <w:rsid w:val="00057B38"/>
    <w:rsid w:val="00057C32"/>
    <w:rsid w:val="00057C5A"/>
    <w:rsid w:val="00057D04"/>
    <w:rsid w:val="00057D46"/>
    <w:rsid w:val="00057DD9"/>
    <w:rsid w:val="00057EB3"/>
    <w:rsid w:val="00057F02"/>
    <w:rsid w:val="00057F13"/>
    <w:rsid w:val="0006001E"/>
    <w:rsid w:val="000603E9"/>
    <w:rsid w:val="0006056E"/>
    <w:rsid w:val="00060591"/>
    <w:rsid w:val="00060648"/>
    <w:rsid w:val="000606B7"/>
    <w:rsid w:val="00060710"/>
    <w:rsid w:val="0006085E"/>
    <w:rsid w:val="000608FA"/>
    <w:rsid w:val="000608FD"/>
    <w:rsid w:val="00060AA7"/>
    <w:rsid w:val="00060C98"/>
    <w:rsid w:val="00060EFF"/>
    <w:rsid w:val="00061112"/>
    <w:rsid w:val="00061135"/>
    <w:rsid w:val="00061192"/>
    <w:rsid w:val="000611A2"/>
    <w:rsid w:val="0006121D"/>
    <w:rsid w:val="000614AE"/>
    <w:rsid w:val="000614E5"/>
    <w:rsid w:val="0006172B"/>
    <w:rsid w:val="00061918"/>
    <w:rsid w:val="0006196D"/>
    <w:rsid w:val="00061A33"/>
    <w:rsid w:val="00061AA9"/>
    <w:rsid w:val="00061BD9"/>
    <w:rsid w:val="00061DD9"/>
    <w:rsid w:val="00061E37"/>
    <w:rsid w:val="00061E64"/>
    <w:rsid w:val="00062075"/>
    <w:rsid w:val="000622B4"/>
    <w:rsid w:val="000624D0"/>
    <w:rsid w:val="000626BD"/>
    <w:rsid w:val="000626C7"/>
    <w:rsid w:val="00062727"/>
    <w:rsid w:val="00062739"/>
    <w:rsid w:val="00062849"/>
    <w:rsid w:val="000629CE"/>
    <w:rsid w:val="00062A10"/>
    <w:rsid w:val="00062A40"/>
    <w:rsid w:val="00062A6B"/>
    <w:rsid w:val="00062B40"/>
    <w:rsid w:val="00062BB7"/>
    <w:rsid w:val="00062F65"/>
    <w:rsid w:val="000632F5"/>
    <w:rsid w:val="000634A6"/>
    <w:rsid w:val="0006362C"/>
    <w:rsid w:val="00063680"/>
    <w:rsid w:val="000636E3"/>
    <w:rsid w:val="000636F4"/>
    <w:rsid w:val="00063935"/>
    <w:rsid w:val="000639AE"/>
    <w:rsid w:val="00063C85"/>
    <w:rsid w:val="00063E7E"/>
    <w:rsid w:val="00063F2F"/>
    <w:rsid w:val="00063F96"/>
    <w:rsid w:val="00063FB9"/>
    <w:rsid w:val="000640C5"/>
    <w:rsid w:val="00064115"/>
    <w:rsid w:val="000641B6"/>
    <w:rsid w:val="0006424E"/>
    <w:rsid w:val="000644D6"/>
    <w:rsid w:val="000644F8"/>
    <w:rsid w:val="00064612"/>
    <w:rsid w:val="000646BB"/>
    <w:rsid w:val="00064A1E"/>
    <w:rsid w:val="00064A89"/>
    <w:rsid w:val="00064B03"/>
    <w:rsid w:val="00064DF3"/>
    <w:rsid w:val="00064E36"/>
    <w:rsid w:val="00064E40"/>
    <w:rsid w:val="00064FA6"/>
    <w:rsid w:val="00065077"/>
    <w:rsid w:val="000650A3"/>
    <w:rsid w:val="000650B5"/>
    <w:rsid w:val="00065104"/>
    <w:rsid w:val="00065142"/>
    <w:rsid w:val="000653E4"/>
    <w:rsid w:val="0006544B"/>
    <w:rsid w:val="00065491"/>
    <w:rsid w:val="000654BB"/>
    <w:rsid w:val="000654E4"/>
    <w:rsid w:val="000655C2"/>
    <w:rsid w:val="00065620"/>
    <w:rsid w:val="00065634"/>
    <w:rsid w:val="00065663"/>
    <w:rsid w:val="0006585F"/>
    <w:rsid w:val="00065961"/>
    <w:rsid w:val="000659A5"/>
    <w:rsid w:val="00065A76"/>
    <w:rsid w:val="00065B93"/>
    <w:rsid w:val="00065BB2"/>
    <w:rsid w:val="00065C4C"/>
    <w:rsid w:val="00065C58"/>
    <w:rsid w:val="00065CB5"/>
    <w:rsid w:val="00065FBD"/>
    <w:rsid w:val="00066316"/>
    <w:rsid w:val="00066354"/>
    <w:rsid w:val="00066403"/>
    <w:rsid w:val="00066459"/>
    <w:rsid w:val="000664B4"/>
    <w:rsid w:val="0006659F"/>
    <w:rsid w:val="0006674E"/>
    <w:rsid w:val="00066772"/>
    <w:rsid w:val="000668CE"/>
    <w:rsid w:val="00066990"/>
    <w:rsid w:val="000669C3"/>
    <w:rsid w:val="00066A4E"/>
    <w:rsid w:val="00066B4C"/>
    <w:rsid w:val="00066C5D"/>
    <w:rsid w:val="00066C9A"/>
    <w:rsid w:val="00066CB8"/>
    <w:rsid w:val="00066DE2"/>
    <w:rsid w:val="00066E80"/>
    <w:rsid w:val="00066F4F"/>
    <w:rsid w:val="00066F6C"/>
    <w:rsid w:val="00066F8B"/>
    <w:rsid w:val="000673B2"/>
    <w:rsid w:val="00067410"/>
    <w:rsid w:val="00067478"/>
    <w:rsid w:val="00067584"/>
    <w:rsid w:val="000675AD"/>
    <w:rsid w:val="0006760C"/>
    <w:rsid w:val="0006776E"/>
    <w:rsid w:val="000677B3"/>
    <w:rsid w:val="00067956"/>
    <w:rsid w:val="0006798F"/>
    <w:rsid w:val="000679D6"/>
    <w:rsid w:val="00067B25"/>
    <w:rsid w:val="00067CC5"/>
    <w:rsid w:val="00067CD0"/>
    <w:rsid w:val="00070041"/>
    <w:rsid w:val="000700FD"/>
    <w:rsid w:val="000701CB"/>
    <w:rsid w:val="00070219"/>
    <w:rsid w:val="0007021F"/>
    <w:rsid w:val="00070242"/>
    <w:rsid w:val="00070353"/>
    <w:rsid w:val="00070474"/>
    <w:rsid w:val="00070661"/>
    <w:rsid w:val="00070667"/>
    <w:rsid w:val="00070C07"/>
    <w:rsid w:val="00070C1C"/>
    <w:rsid w:val="00070DAC"/>
    <w:rsid w:val="00070E3A"/>
    <w:rsid w:val="00070E48"/>
    <w:rsid w:val="00070F4E"/>
    <w:rsid w:val="00070FBB"/>
    <w:rsid w:val="000711AA"/>
    <w:rsid w:val="000711C7"/>
    <w:rsid w:val="00071204"/>
    <w:rsid w:val="00071249"/>
    <w:rsid w:val="0007127B"/>
    <w:rsid w:val="000712EF"/>
    <w:rsid w:val="00071403"/>
    <w:rsid w:val="00071418"/>
    <w:rsid w:val="00071444"/>
    <w:rsid w:val="0007164E"/>
    <w:rsid w:val="00071CE2"/>
    <w:rsid w:val="00071DA1"/>
    <w:rsid w:val="00071E1D"/>
    <w:rsid w:val="00071F0B"/>
    <w:rsid w:val="00071F47"/>
    <w:rsid w:val="00071FAF"/>
    <w:rsid w:val="00071FDB"/>
    <w:rsid w:val="00071FFF"/>
    <w:rsid w:val="00072176"/>
    <w:rsid w:val="00072389"/>
    <w:rsid w:val="00072438"/>
    <w:rsid w:val="0007244B"/>
    <w:rsid w:val="0007253A"/>
    <w:rsid w:val="00072593"/>
    <w:rsid w:val="000725B9"/>
    <w:rsid w:val="00072644"/>
    <w:rsid w:val="00072668"/>
    <w:rsid w:val="00072951"/>
    <w:rsid w:val="00072978"/>
    <w:rsid w:val="0007298C"/>
    <w:rsid w:val="0007299C"/>
    <w:rsid w:val="00072C80"/>
    <w:rsid w:val="00072D5E"/>
    <w:rsid w:val="00072E35"/>
    <w:rsid w:val="00072E9A"/>
    <w:rsid w:val="00072F6D"/>
    <w:rsid w:val="00073041"/>
    <w:rsid w:val="00073148"/>
    <w:rsid w:val="000732F1"/>
    <w:rsid w:val="0007330C"/>
    <w:rsid w:val="00073431"/>
    <w:rsid w:val="000734B9"/>
    <w:rsid w:val="00073646"/>
    <w:rsid w:val="0007367F"/>
    <w:rsid w:val="0007369F"/>
    <w:rsid w:val="000736A1"/>
    <w:rsid w:val="00073741"/>
    <w:rsid w:val="00073766"/>
    <w:rsid w:val="000739C9"/>
    <w:rsid w:val="00073AD6"/>
    <w:rsid w:val="00073D0B"/>
    <w:rsid w:val="00073DFB"/>
    <w:rsid w:val="000740E9"/>
    <w:rsid w:val="00074139"/>
    <w:rsid w:val="000741C3"/>
    <w:rsid w:val="000742F1"/>
    <w:rsid w:val="000743DF"/>
    <w:rsid w:val="0007447C"/>
    <w:rsid w:val="000744EC"/>
    <w:rsid w:val="0007459A"/>
    <w:rsid w:val="000745BA"/>
    <w:rsid w:val="0007468A"/>
    <w:rsid w:val="00074853"/>
    <w:rsid w:val="00074859"/>
    <w:rsid w:val="0007490B"/>
    <w:rsid w:val="00074A19"/>
    <w:rsid w:val="00074A1E"/>
    <w:rsid w:val="00074A5A"/>
    <w:rsid w:val="00074B01"/>
    <w:rsid w:val="00074DDE"/>
    <w:rsid w:val="00074EF1"/>
    <w:rsid w:val="0007512B"/>
    <w:rsid w:val="00075149"/>
    <w:rsid w:val="00075196"/>
    <w:rsid w:val="00075382"/>
    <w:rsid w:val="000755E1"/>
    <w:rsid w:val="0007568F"/>
    <w:rsid w:val="000756A6"/>
    <w:rsid w:val="00075791"/>
    <w:rsid w:val="000759A8"/>
    <w:rsid w:val="00075B7B"/>
    <w:rsid w:val="00075C79"/>
    <w:rsid w:val="00075CCC"/>
    <w:rsid w:val="00075E2D"/>
    <w:rsid w:val="00075E99"/>
    <w:rsid w:val="00075F0C"/>
    <w:rsid w:val="00075FA0"/>
    <w:rsid w:val="00075FBF"/>
    <w:rsid w:val="00076058"/>
    <w:rsid w:val="0007606D"/>
    <w:rsid w:val="0007613A"/>
    <w:rsid w:val="00076168"/>
    <w:rsid w:val="0007619A"/>
    <w:rsid w:val="0007633E"/>
    <w:rsid w:val="000765BC"/>
    <w:rsid w:val="00076620"/>
    <w:rsid w:val="000767DB"/>
    <w:rsid w:val="0007680D"/>
    <w:rsid w:val="000768BE"/>
    <w:rsid w:val="000768C6"/>
    <w:rsid w:val="00076DAC"/>
    <w:rsid w:val="00077176"/>
    <w:rsid w:val="0007719D"/>
    <w:rsid w:val="000774B2"/>
    <w:rsid w:val="000774DE"/>
    <w:rsid w:val="0007759B"/>
    <w:rsid w:val="000776D4"/>
    <w:rsid w:val="00077769"/>
    <w:rsid w:val="00077856"/>
    <w:rsid w:val="00077866"/>
    <w:rsid w:val="000778B1"/>
    <w:rsid w:val="00077931"/>
    <w:rsid w:val="00077A59"/>
    <w:rsid w:val="00077B13"/>
    <w:rsid w:val="00077C04"/>
    <w:rsid w:val="00077C5F"/>
    <w:rsid w:val="00077CCE"/>
    <w:rsid w:val="00077E6E"/>
    <w:rsid w:val="00077FBE"/>
    <w:rsid w:val="00080180"/>
    <w:rsid w:val="000801AA"/>
    <w:rsid w:val="000803C1"/>
    <w:rsid w:val="0008045A"/>
    <w:rsid w:val="00080625"/>
    <w:rsid w:val="00080732"/>
    <w:rsid w:val="00080A9A"/>
    <w:rsid w:val="00080AA6"/>
    <w:rsid w:val="00080B08"/>
    <w:rsid w:val="00080B6D"/>
    <w:rsid w:val="00080D4A"/>
    <w:rsid w:val="00080E65"/>
    <w:rsid w:val="000810E0"/>
    <w:rsid w:val="00081380"/>
    <w:rsid w:val="00081409"/>
    <w:rsid w:val="00081415"/>
    <w:rsid w:val="00081416"/>
    <w:rsid w:val="000815CD"/>
    <w:rsid w:val="000815E9"/>
    <w:rsid w:val="00081730"/>
    <w:rsid w:val="00081878"/>
    <w:rsid w:val="00081A1D"/>
    <w:rsid w:val="00081AE5"/>
    <w:rsid w:val="00081B70"/>
    <w:rsid w:val="00081BCF"/>
    <w:rsid w:val="00081C77"/>
    <w:rsid w:val="00081C7F"/>
    <w:rsid w:val="00081CE9"/>
    <w:rsid w:val="00081D28"/>
    <w:rsid w:val="00081D82"/>
    <w:rsid w:val="00081D87"/>
    <w:rsid w:val="00081DA2"/>
    <w:rsid w:val="0008210A"/>
    <w:rsid w:val="0008219F"/>
    <w:rsid w:val="000821C5"/>
    <w:rsid w:val="000821FA"/>
    <w:rsid w:val="000824C4"/>
    <w:rsid w:val="000824F0"/>
    <w:rsid w:val="000825DE"/>
    <w:rsid w:val="000826A0"/>
    <w:rsid w:val="00082728"/>
    <w:rsid w:val="0008277D"/>
    <w:rsid w:val="000827E7"/>
    <w:rsid w:val="00082866"/>
    <w:rsid w:val="00082880"/>
    <w:rsid w:val="000828A4"/>
    <w:rsid w:val="000829E9"/>
    <w:rsid w:val="00082AAB"/>
    <w:rsid w:val="00082BB4"/>
    <w:rsid w:val="00082E01"/>
    <w:rsid w:val="00082F8E"/>
    <w:rsid w:val="00082FC0"/>
    <w:rsid w:val="00083092"/>
    <w:rsid w:val="00083136"/>
    <w:rsid w:val="000833D9"/>
    <w:rsid w:val="000833E3"/>
    <w:rsid w:val="00083491"/>
    <w:rsid w:val="00083596"/>
    <w:rsid w:val="00083598"/>
    <w:rsid w:val="00083645"/>
    <w:rsid w:val="00083724"/>
    <w:rsid w:val="0008375E"/>
    <w:rsid w:val="00083896"/>
    <w:rsid w:val="000838C2"/>
    <w:rsid w:val="00083A8D"/>
    <w:rsid w:val="00083A94"/>
    <w:rsid w:val="00083BD2"/>
    <w:rsid w:val="00083E36"/>
    <w:rsid w:val="00083FA1"/>
    <w:rsid w:val="0008416D"/>
    <w:rsid w:val="00084178"/>
    <w:rsid w:val="000843A4"/>
    <w:rsid w:val="000844BF"/>
    <w:rsid w:val="00084547"/>
    <w:rsid w:val="000845A1"/>
    <w:rsid w:val="0008475D"/>
    <w:rsid w:val="000847D9"/>
    <w:rsid w:val="0008485C"/>
    <w:rsid w:val="000848C5"/>
    <w:rsid w:val="000849D7"/>
    <w:rsid w:val="00084A39"/>
    <w:rsid w:val="00084A52"/>
    <w:rsid w:val="00084B45"/>
    <w:rsid w:val="00084D67"/>
    <w:rsid w:val="00084E19"/>
    <w:rsid w:val="00084E58"/>
    <w:rsid w:val="00084EF9"/>
    <w:rsid w:val="00084FB2"/>
    <w:rsid w:val="00084FB7"/>
    <w:rsid w:val="000852FC"/>
    <w:rsid w:val="00085319"/>
    <w:rsid w:val="0008535A"/>
    <w:rsid w:val="000853A8"/>
    <w:rsid w:val="000853C1"/>
    <w:rsid w:val="00085425"/>
    <w:rsid w:val="000855A4"/>
    <w:rsid w:val="000855B4"/>
    <w:rsid w:val="00085855"/>
    <w:rsid w:val="00085A76"/>
    <w:rsid w:val="00085D4C"/>
    <w:rsid w:val="00085E9D"/>
    <w:rsid w:val="00086100"/>
    <w:rsid w:val="0008640A"/>
    <w:rsid w:val="000864ED"/>
    <w:rsid w:val="00086614"/>
    <w:rsid w:val="00086666"/>
    <w:rsid w:val="0008686B"/>
    <w:rsid w:val="000868E7"/>
    <w:rsid w:val="00086A5C"/>
    <w:rsid w:val="00086AF6"/>
    <w:rsid w:val="00086C00"/>
    <w:rsid w:val="00086C0C"/>
    <w:rsid w:val="00086D59"/>
    <w:rsid w:val="00086E4F"/>
    <w:rsid w:val="00086F6D"/>
    <w:rsid w:val="00087163"/>
    <w:rsid w:val="0008722C"/>
    <w:rsid w:val="000872FC"/>
    <w:rsid w:val="000873F7"/>
    <w:rsid w:val="00087451"/>
    <w:rsid w:val="000874DB"/>
    <w:rsid w:val="00087542"/>
    <w:rsid w:val="000878BF"/>
    <w:rsid w:val="000878F4"/>
    <w:rsid w:val="0008796E"/>
    <w:rsid w:val="00087A59"/>
    <w:rsid w:val="00087ADF"/>
    <w:rsid w:val="00087C7B"/>
    <w:rsid w:val="00087C9F"/>
    <w:rsid w:val="00087D16"/>
    <w:rsid w:val="00087E01"/>
    <w:rsid w:val="00087F32"/>
    <w:rsid w:val="00087F6F"/>
    <w:rsid w:val="00087FEF"/>
    <w:rsid w:val="00090066"/>
    <w:rsid w:val="00090178"/>
    <w:rsid w:val="00090402"/>
    <w:rsid w:val="0009042D"/>
    <w:rsid w:val="0009048D"/>
    <w:rsid w:val="00090A26"/>
    <w:rsid w:val="00090AFF"/>
    <w:rsid w:val="00090C01"/>
    <w:rsid w:val="00090C47"/>
    <w:rsid w:val="00090C70"/>
    <w:rsid w:val="00090D33"/>
    <w:rsid w:val="00090ED9"/>
    <w:rsid w:val="000911C6"/>
    <w:rsid w:val="000911F6"/>
    <w:rsid w:val="0009128E"/>
    <w:rsid w:val="00091523"/>
    <w:rsid w:val="000915A1"/>
    <w:rsid w:val="000915E8"/>
    <w:rsid w:val="000915F3"/>
    <w:rsid w:val="00091695"/>
    <w:rsid w:val="000916C9"/>
    <w:rsid w:val="000918B2"/>
    <w:rsid w:val="00091A76"/>
    <w:rsid w:val="00091AA7"/>
    <w:rsid w:val="00091BBC"/>
    <w:rsid w:val="00091D4F"/>
    <w:rsid w:val="00091DF8"/>
    <w:rsid w:val="00091E03"/>
    <w:rsid w:val="00092049"/>
    <w:rsid w:val="0009250D"/>
    <w:rsid w:val="00092539"/>
    <w:rsid w:val="00092547"/>
    <w:rsid w:val="00092698"/>
    <w:rsid w:val="000926D1"/>
    <w:rsid w:val="0009281E"/>
    <w:rsid w:val="00092849"/>
    <w:rsid w:val="000929A5"/>
    <w:rsid w:val="000929F3"/>
    <w:rsid w:val="00092A1F"/>
    <w:rsid w:val="00092A6B"/>
    <w:rsid w:val="00092B4C"/>
    <w:rsid w:val="00092C19"/>
    <w:rsid w:val="00092DBC"/>
    <w:rsid w:val="00092E09"/>
    <w:rsid w:val="0009300B"/>
    <w:rsid w:val="00093341"/>
    <w:rsid w:val="00093390"/>
    <w:rsid w:val="000933A0"/>
    <w:rsid w:val="000937EF"/>
    <w:rsid w:val="000938CC"/>
    <w:rsid w:val="000938F7"/>
    <w:rsid w:val="0009396B"/>
    <w:rsid w:val="00093983"/>
    <w:rsid w:val="000939B9"/>
    <w:rsid w:val="00093B11"/>
    <w:rsid w:val="00093B1E"/>
    <w:rsid w:val="00093DF9"/>
    <w:rsid w:val="00093E35"/>
    <w:rsid w:val="00093EC4"/>
    <w:rsid w:val="00094002"/>
    <w:rsid w:val="0009413C"/>
    <w:rsid w:val="00094244"/>
    <w:rsid w:val="000942D8"/>
    <w:rsid w:val="0009433B"/>
    <w:rsid w:val="000943A5"/>
    <w:rsid w:val="0009454E"/>
    <w:rsid w:val="0009457F"/>
    <w:rsid w:val="00094662"/>
    <w:rsid w:val="00094745"/>
    <w:rsid w:val="000948AF"/>
    <w:rsid w:val="000948B2"/>
    <w:rsid w:val="0009494F"/>
    <w:rsid w:val="00094C4F"/>
    <w:rsid w:val="00094CAF"/>
    <w:rsid w:val="00094DBD"/>
    <w:rsid w:val="00094DE4"/>
    <w:rsid w:val="00094DF8"/>
    <w:rsid w:val="00094F83"/>
    <w:rsid w:val="00095027"/>
    <w:rsid w:val="0009508F"/>
    <w:rsid w:val="000952B4"/>
    <w:rsid w:val="000952EF"/>
    <w:rsid w:val="000953E9"/>
    <w:rsid w:val="00095415"/>
    <w:rsid w:val="000955C5"/>
    <w:rsid w:val="0009572E"/>
    <w:rsid w:val="000958F4"/>
    <w:rsid w:val="00095A23"/>
    <w:rsid w:val="00095B32"/>
    <w:rsid w:val="00095C04"/>
    <w:rsid w:val="00095EA7"/>
    <w:rsid w:val="00095FDD"/>
    <w:rsid w:val="00096050"/>
    <w:rsid w:val="0009605F"/>
    <w:rsid w:val="00096401"/>
    <w:rsid w:val="00096493"/>
    <w:rsid w:val="0009651C"/>
    <w:rsid w:val="00096599"/>
    <w:rsid w:val="0009660E"/>
    <w:rsid w:val="000967A2"/>
    <w:rsid w:val="0009680F"/>
    <w:rsid w:val="00096901"/>
    <w:rsid w:val="00096909"/>
    <w:rsid w:val="00096936"/>
    <w:rsid w:val="00096AD0"/>
    <w:rsid w:val="00096BF4"/>
    <w:rsid w:val="00096C78"/>
    <w:rsid w:val="00096CB8"/>
    <w:rsid w:val="0009701B"/>
    <w:rsid w:val="0009701C"/>
    <w:rsid w:val="00097028"/>
    <w:rsid w:val="0009704E"/>
    <w:rsid w:val="00097212"/>
    <w:rsid w:val="00097296"/>
    <w:rsid w:val="000972D7"/>
    <w:rsid w:val="0009730A"/>
    <w:rsid w:val="00097325"/>
    <w:rsid w:val="000973D9"/>
    <w:rsid w:val="00097416"/>
    <w:rsid w:val="000974EA"/>
    <w:rsid w:val="0009766A"/>
    <w:rsid w:val="00097679"/>
    <w:rsid w:val="0009779E"/>
    <w:rsid w:val="000977A4"/>
    <w:rsid w:val="00097B7F"/>
    <w:rsid w:val="00097BA5"/>
    <w:rsid w:val="00097D15"/>
    <w:rsid w:val="00097DCF"/>
    <w:rsid w:val="00097EB1"/>
    <w:rsid w:val="000A0096"/>
    <w:rsid w:val="000A045E"/>
    <w:rsid w:val="000A05F2"/>
    <w:rsid w:val="000A06B2"/>
    <w:rsid w:val="000A09EF"/>
    <w:rsid w:val="000A0BCB"/>
    <w:rsid w:val="000A0C1B"/>
    <w:rsid w:val="000A0CAB"/>
    <w:rsid w:val="000A0CAE"/>
    <w:rsid w:val="000A0E21"/>
    <w:rsid w:val="000A0F9E"/>
    <w:rsid w:val="000A1005"/>
    <w:rsid w:val="000A10DE"/>
    <w:rsid w:val="000A11C2"/>
    <w:rsid w:val="000A12DB"/>
    <w:rsid w:val="000A1363"/>
    <w:rsid w:val="000A1398"/>
    <w:rsid w:val="000A14A7"/>
    <w:rsid w:val="000A1792"/>
    <w:rsid w:val="000A17CB"/>
    <w:rsid w:val="000A1995"/>
    <w:rsid w:val="000A19A8"/>
    <w:rsid w:val="000A1AA2"/>
    <w:rsid w:val="000A1ABB"/>
    <w:rsid w:val="000A1ADA"/>
    <w:rsid w:val="000A1AE6"/>
    <w:rsid w:val="000A1BD9"/>
    <w:rsid w:val="000A1C9D"/>
    <w:rsid w:val="000A1E0A"/>
    <w:rsid w:val="000A1E96"/>
    <w:rsid w:val="000A1F4C"/>
    <w:rsid w:val="000A1FB8"/>
    <w:rsid w:val="000A2050"/>
    <w:rsid w:val="000A210F"/>
    <w:rsid w:val="000A222B"/>
    <w:rsid w:val="000A22DC"/>
    <w:rsid w:val="000A22F3"/>
    <w:rsid w:val="000A2364"/>
    <w:rsid w:val="000A2427"/>
    <w:rsid w:val="000A2472"/>
    <w:rsid w:val="000A25D7"/>
    <w:rsid w:val="000A2698"/>
    <w:rsid w:val="000A2810"/>
    <w:rsid w:val="000A28AD"/>
    <w:rsid w:val="000A2960"/>
    <w:rsid w:val="000A2AF5"/>
    <w:rsid w:val="000A2CF1"/>
    <w:rsid w:val="000A2DCB"/>
    <w:rsid w:val="000A2E25"/>
    <w:rsid w:val="000A2FFB"/>
    <w:rsid w:val="000A3330"/>
    <w:rsid w:val="000A333D"/>
    <w:rsid w:val="000A33D3"/>
    <w:rsid w:val="000A341D"/>
    <w:rsid w:val="000A3441"/>
    <w:rsid w:val="000A34F4"/>
    <w:rsid w:val="000A3569"/>
    <w:rsid w:val="000A361A"/>
    <w:rsid w:val="000A3824"/>
    <w:rsid w:val="000A3929"/>
    <w:rsid w:val="000A3970"/>
    <w:rsid w:val="000A397B"/>
    <w:rsid w:val="000A39E9"/>
    <w:rsid w:val="000A3CE8"/>
    <w:rsid w:val="000A3F95"/>
    <w:rsid w:val="000A4153"/>
    <w:rsid w:val="000A4404"/>
    <w:rsid w:val="000A44A4"/>
    <w:rsid w:val="000A465E"/>
    <w:rsid w:val="000A4718"/>
    <w:rsid w:val="000A4749"/>
    <w:rsid w:val="000A476C"/>
    <w:rsid w:val="000A4782"/>
    <w:rsid w:val="000A4798"/>
    <w:rsid w:val="000A47AF"/>
    <w:rsid w:val="000A4A46"/>
    <w:rsid w:val="000A4AF3"/>
    <w:rsid w:val="000A4B8D"/>
    <w:rsid w:val="000A4EE1"/>
    <w:rsid w:val="000A4F20"/>
    <w:rsid w:val="000A529C"/>
    <w:rsid w:val="000A531C"/>
    <w:rsid w:val="000A54AE"/>
    <w:rsid w:val="000A55BC"/>
    <w:rsid w:val="000A5863"/>
    <w:rsid w:val="000A586B"/>
    <w:rsid w:val="000A58CE"/>
    <w:rsid w:val="000A5A36"/>
    <w:rsid w:val="000A5B90"/>
    <w:rsid w:val="000A5DB3"/>
    <w:rsid w:val="000A5E2E"/>
    <w:rsid w:val="000A5EF3"/>
    <w:rsid w:val="000A5F99"/>
    <w:rsid w:val="000A6007"/>
    <w:rsid w:val="000A6062"/>
    <w:rsid w:val="000A6177"/>
    <w:rsid w:val="000A6377"/>
    <w:rsid w:val="000A6416"/>
    <w:rsid w:val="000A6491"/>
    <w:rsid w:val="000A6570"/>
    <w:rsid w:val="000A68E3"/>
    <w:rsid w:val="000A68EF"/>
    <w:rsid w:val="000A69B4"/>
    <w:rsid w:val="000A6A86"/>
    <w:rsid w:val="000A6A8E"/>
    <w:rsid w:val="000A6ACA"/>
    <w:rsid w:val="000A6D28"/>
    <w:rsid w:val="000A6EC8"/>
    <w:rsid w:val="000A6F7C"/>
    <w:rsid w:val="000A702F"/>
    <w:rsid w:val="000A70AB"/>
    <w:rsid w:val="000A7176"/>
    <w:rsid w:val="000A71CE"/>
    <w:rsid w:val="000A7213"/>
    <w:rsid w:val="000A7283"/>
    <w:rsid w:val="000A72A2"/>
    <w:rsid w:val="000A7311"/>
    <w:rsid w:val="000A7404"/>
    <w:rsid w:val="000A7463"/>
    <w:rsid w:val="000A74BA"/>
    <w:rsid w:val="000A759D"/>
    <w:rsid w:val="000A76B4"/>
    <w:rsid w:val="000A77A7"/>
    <w:rsid w:val="000A7846"/>
    <w:rsid w:val="000A784D"/>
    <w:rsid w:val="000A7853"/>
    <w:rsid w:val="000A7992"/>
    <w:rsid w:val="000A7B49"/>
    <w:rsid w:val="000A7B6F"/>
    <w:rsid w:val="000A7B8F"/>
    <w:rsid w:val="000A7CA0"/>
    <w:rsid w:val="000A7CA4"/>
    <w:rsid w:val="000A7CD8"/>
    <w:rsid w:val="000A7E43"/>
    <w:rsid w:val="000B0077"/>
    <w:rsid w:val="000B0294"/>
    <w:rsid w:val="000B0300"/>
    <w:rsid w:val="000B03A2"/>
    <w:rsid w:val="000B052E"/>
    <w:rsid w:val="000B0587"/>
    <w:rsid w:val="000B0652"/>
    <w:rsid w:val="000B06B6"/>
    <w:rsid w:val="000B0746"/>
    <w:rsid w:val="000B078D"/>
    <w:rsid w:val="000B0840"/>
    <w:rsid w:val="000B0901"/>
    <w:rsid w:val="000B0AD9"/>
    <w:rsid w:val="000B0B23"/>
    <w:rsid w:val="000B0CA7"/>
    <w:rsid w:val="000B0CBB"/>
    <w:rsid w:val="000B0D83"/>
    <w:rsid w:val="000B0ED1"/>
    <w:rsid w:val="000B0FA0"/>
    <w:rsid w:val="000B0FDE"/>
    <w:rsid w:val="000B1458"/>
    <w:rsid w:val="000B15E6"/>
    <w:rsid w:val="000B164B"/>
    <w:rsid w:val="000B16E0"/>
    <w:rsid w:val="000B191A"/>
    <w:rsid w:val="000B1947"/>
    <w:rsid w:val="000B19ED"/>
    <w:rsid w:val="000B19F8"/>
    <w:rsid w:val="000B1AF8"/>
    <w:rsid w:val="000B1B2D"/>
    <w:rsid w:val="000B1B82"/>
    <w:rsid w:val="000B1BF7"/>
    <w:rsid w:val="000B1DA3"/>
    <w:rsid w:val="000B1DB2"/>
    <w:rsid w:val="000B1E43"/>
    <w:rsid w:val="000B1F05"/>
    <w:rsid w:val="000B1F53"/>
    <w:rsid w:val="000B1FF0"/>
    <w:rsid w:val="000B21B5"/>
    <w:rsid w:val="000B2238"/>
    <w:rsid w:val="000B228C"/>
    <w:rsid w:val="000B2310"/>
    <w:rsid w:val="000B239A"/>
    <w:rsid w:val="000B23DC"/>
    <w:rsid w:val="000B23E6"/>
    <w:rsid w:val="000B2457"/>
    <w:rsid w:val="000B25A3"/>
    <w:rsid w:val="000B26CE"/>
    <w:rsid w:val="000B26F2"/>
    <w:rsid w:val="000B2938"/>
    <w:rsid w:val="000B29C4"/>
    <w:rsid w:val="000B2A92"/>
    <w:rsid w:val="000B2D2F"/>
    <w:rsid w:val="000B2F24"/>
    <w:rsid w:val="000B30B3"/>
    <w:rsid w:val="000B30BE"/>
    <w:rsid w:val="000B31C7"/>
    <w:rsid w:val="000B359F"/>
    <w:rsid w:val="000B3619"/>
    <w:rsid w:val="000B3684"/>
    <w:rsid w:val="000B36EE"/>
    <w:rsid w:val="000B3C51"/>
    <w:rsid w:val="000B3DA6"/>
    <w:rsid w:val="000B3DFD"/>
    <w:rsid w:val="000B3E88"/>
    <w:rsid w:val="000B3F12"/>
    <w:rsid w:val="000B4104"/>
    <w:rsid w:val="000B41EE"/>
    <w:rsid w:val="000B429E"/>
    <w:rsid w:val="000B430A"/>
    <w:rsid w:val="000B451D"/>
    <w:rsid w:val="000B45B5"/>
    <w:rsid w:val="000B47E5"/>
    <w:rsid w:val="000B4860"/>
    <w:rsid w:val="000B48CD"/>
    <w:rsid w:val="000B4C11"/>
    <w:rsid w:val="000B4C9F"/>
    <w:rsid w:val="000B4CBD"/>
    <w:rsid w:val="000B4DB0"/>
    <w:rsid w:val="000B4E5F"/>
    <w:rsid w:val="000B4F31"/>
    <w:rsid w:val="000B5038"/>
    <w:rsid w:val="000B5141"/>
    <w:rsid w:val="000B5331"/>
    <w:rsid w:val="000B53CA"/>
    <w:rsid w:val="000B54B8"/>
    <w:rsid w:val="000B5516"/>
    <w:rsid w:val="000B5580"/>
    <w:rsid w:val="000B56CC"/>
    <w:rsid w:val="000B5778"/>
    <w:rsid w:val="000B590B"/>
    <w:rsid w:val="000B5A01"/>
    <w:rsid w:val="000B5B9F"/>
    <w:rsid w:val="000B5C7E"/>
    <w:rsid w:val="000B5D14"/>
    <w:rsid w:val="000B601D"/>
    <w:rsid w:val="000B6094"/>
    <w:rsid w:val="000B613A"/>
    <w:rsid w:val="000B622E"/>
    <w:rsid w:val="000B634A"/>
    <w:rsid w:val="000B650A"/>
    <w:rsid w:val="000B69FD"/>
    <w:rsid w:val="000B6A0E"/>
    <w:rsid w:val="000B6BD9"/>
    <w:rsid w:val="000B6D42"/>
    <w:rsid w:val="000B6E8C"/>
    <w:rsid w:val="000B6E92"/>
    <w:rsid w:val="000B6F7F"/>
    <w:rsid w:val="000B70B2"/>
    <w:rsid w:val="000B715D"/>
    <w:rsid w:val="000B71BE"/>
    <w:rsid w:val="000B71FA"/>
    <w:rsid w:val="000B74F7"/>
    <w:rsid w:val="000B755E"/>
    <w:rsid w:val="000B7576"/>
    <w:rsid w:val="000B75D8"/>
    <w:rsid w:val="000B78E3"/>
    <w:rsid w:val="000B797E"/>
    <w:rsid w:val="000B7B32"/>
    <w:rsid w:val="000B7D6F"/>
    <w:rsid w:val="000B7DB4"/>
    <w:rsid w:val="000B7FC4"/>
    <w:rsid w:val="000B9EA8"/>
    <w:rsid w:val="000C0074"/>
    <w:rsid w:val="000C0166"/>
    <w:rsid w:val="000C01AF"/>
    <w:rsid w:val="000C04C5"/>
    <w:rsid w:val="000C060F"/>
    <w:rsid w:val="000C069F"/>
    <w:rsid w:val="000C074E"/>
    <w:rsid w:val="000C07AA"/>
    <w:rsid w:val="000C07BF"/>
    <w:rsid w:val="000C0884"/>
    <w:rsid w:val="000C0987"/>
    <w:rsid w:val="000C0B09"/>
    <w:rsid w:val="000C0C3E"/>
    <w:rsid w:val="000C0D48"/>
    <w:rsid w:val="000C0DBD"/>
    <w:rsid w:val="000C1051"/>
    <w:rsid w:val="000C10DC"/>
    <w:rsid w:val="000C11D9"/>
    <w:rsid w:val="000C1281"/>
    <w:rsid w:val="000C13F9"/>
    <w:rsid w:val="000C14F2"/>
    <w:rsid w:val="000C1509"/>
    <w:rsid w:val="000C1525"/>
    <w:rsid w:val="000C15DB"/>
    <w:rsid w:val="000C1675"/>
    <w:rsid w:val="000C16DA"/>
    <w:rsid w:val="000C178F"/>
    <w:rsid w:val="000C1953"/>
    <w:rsid w:val="000C195B"/>
    <w:rsid w:val="000C19BB"/>
    <w:rsid w:val="000C1B66"/>
    <w:rsid w:val="000C1BCF"/>
    <w:rsid w:val="000C1CDE"/>
    <w:rsid w:val="000C1E4C"/>
    <w:rsid w:val="000C1E72"/>
    <w:rsid w:val="000C1F3E"/>
    <w:rsid w:val="000C219C"/>
    <w:rsid w:val="000C238F"/>
    <w:rsid w:val="000C2413"/>
    <w:rsid w:val="000C24A0"/>
    <w:rsid w:val="000C24B8"/>
    <w:rsid w:val="000C2627"/>
    <w:rsid w:val="000C293E"/>
    <w:rsid w:val="000C2960"/>
    <w:rsid w:val="000C2B6E"/>
    <w:rsid w:val="000C2BB4"/>
    <w:rsid w:val="000C2C37"/>
    <w:rsid w:val="000C2C97"/>
    <w:rsid w:val="000C2D99"/>
    <w:rsid w:val="000C2FC3"/>
    <w:rsid w:val="000C30C1"/>
    <w:rsid w:val="000C321F"/>
    <w:rsid w:val="000C3267"/>
    <w:rsid w:val="000C32B4"/>
    <w:rsid w:val="000C3833"/>
    <w:rsid w:val="000C389E"/>
    <w:rsid w:val="000C38F5"/>
    <w:rsid w:val="000C3926"/>
    <w:rsid w:val="000C397E"/>
    <w:rsid w:val="000C3A01"/>
    <w:rsid w:val="000C3A32"/>
    <w:rsid w:val="000C3DC6"/>
    <w:rsid w:val="000C3E5D"/>
    <w:rsid w:val="000C3E63"/>
    <w:rsid w:val="000C3E66"/>
    <w:rsid w:val="000C3EF2"/>
    <w:rsid w:val="000C3F11"/>
    <w:rsid w:val="000C3F25"/>
    <w:rsid w:val="000C3F3E"/>
    <w:rsid w:val="000C3FCF"/>
    <w:rsid w:val="000C427F"/>
    <w:rsid w:val="000C42A5"/>
    <w:rsid w:val="000C45C2"/>
    <w:rsid w:val="000C46CD"/>
    <w:rsid w:val="000C490D"/>
    <w:rsid w:val="000C4CEE"/>
    <w:rsid w:val="000C4E7F"/>
    <w:rsid w:val="000C4F1D"/>
    <w:rsid w:val="000C50C3"/>
    <w:rsid w:val="000C5187"/>
    <w:rsid w:val="000C51C8"/>
    <w:rsid w:val="000C5210"/>
    <w:rsid w:val="000C5211"/>
    <w:rsid w:val="000C528F"/>
    <w:rsid w:val="000C57BB"/>
    <w:rsid w:val="000C5C98"/>
    <w:rsid w:val="000C5CAB"/>
    <w:rsid w:val="000C5EE0"/>
    <w:rsid w:val="000C5EE7"/>
    <w:rsid w:val="000C6084"/>
    <w:rsid w:val="000C62B0"/>
    <w:rsid w:val="000C62D2"/>
    <w:rsid w:val="000C63A9"/>
    <w:rsid w:val="000C64A2"/>
    <w:rsid w:val="000C64F4"/>
    <w:rsid w:val="000C65D6"/>
    <w:rsid w:val="000C6691"/>
    <w:rsid w:val="000C66CA"/>
    <w:rsid w:val="000C6796"/>
    <w:rsid w:val="000C69CF"/>
    <w:rsid w:val="000C6CDF"/>
    <w:rsid w:val="000C6D4B"/>
    <w:rsid w:val="000C6E00"/>
    <w:rsid w:val="000C6EAD"/>
    <w:rsid w:val="000C6EDB"/>
    <w:rsid w:val="000C7036"/>
    <w:rsid w:val="000C71A8"/>
    <w:rsid w:val="000C7404"/>
    <w:rsid w:val="000C740C"/>
    <w:rsid w:val="000C7479"/>
    <w:rsid w:val="000C74D8"/>
    <w:rsid w:val="000C77CA"/>
    <w:rsid w:val="000C7983"/>
    <w:rsid w:val="000C79E0"/>
    <w:rsid w:val="000C7A3A"/>
    <w:rsid w:val="000C7C80"/>
    <w:rsid w:val="000C7CB5"/>
    <w:rsid w:val="000C7ECA"/>
    <w:rsid w:val="000C8673"/>
    <w:rsid w:val="000D00CB"/>
    <w:rsid w:val="000D01A4"/>
    <w:rsid w:val="000D01F1"/>
    <w:rsid w:val="000D0379"/>
    <w:rsid w:val="000D03B0"/>
    <w:rsid w:val="000D03BD"/>
    <w:rsid w:val="000D08C7"/>
    <w:rsid w:val="000D0A6F"/>
    <w:rsid w:val="000D0B3D"/>
    <w:rsid w:val="000D0C2F"/>
    <w:rsid w:val="000D0DD1"/>
    <w:rsid w:val="000D0DE9"/>
    <w:rsid w:val="000D0EA9"/>
    <w:rsid w:val="000D0ED4"/>
    <w:rsid w:val="000D0F2B"/>
    <w:rsid w:val="000D0FE2"/>
    <w:rsid w:val="000D0FE9"/>
    <w:rsid w:val="000D1205"/>
    <w:rsid w:val="000D15FD"/>
    <w:rsid w:val="000D1897"/>
    <w:rsid w:val="000D19B5"/>
    <w:rsid w:val="000D1B9E"/>
    <w:rsid w:val="000D1BFE"/>
    <w:rsid w:val="000D1C0D"/>
    <w:rsid w:val="000D1CBD"/>
    <w:rsid w:val="000D1D6C"/>
    <w:rsid w:val="000D1DD4"/>
    <w:rsid w:val="000D1E72"/>
    <w:rsid w:val="000D20C1"/>
    <w:rsid w:val="000D20E8"/>
    <w:rsid w:val="000D225B"/>
    <w:rsid w:val="000D233B"/>
    <w:rsid w:val="000D2400"/>
    <w:rsid w:val="000D246D"/>
    <w:rsid w:val="000D24B8"/>
    <w:rsid w:val="000D25FE"/>
    <w:rsid w:val="000D2678"/>
    <w:rsid w:val="000D2817"/>
    <w:rsid w:val="000D288B"/>
    <w:rsid w:val="000D2AB4"/>
    <w:rsid w:val="000D2B71"/>
    <w:rsid w:val="000D2BCC"/>
    <w:rsid w:val="000D2DB3"/>
    <w:rsid w:val="000D300C"/>
    <w:rsid w:val="000D32BD"/>
    <w:rsid w:val="000D33D4"/>
    <w:rsid w:val="000D33F3"/>
    <w:rsid w:val="000D3495"/>
    <w:rsid w:val="000D3525"/>
    <w:rsid w:val="000D38FB"/>
    <w:rsid w:val="000D3A27"/>
    <w:rsid w:val="000D3D2E"/>
    <w:rsid w:val="000D4006"/>
    <w:rsid w:val="000D413A"/>
    <w:rsid w:val="000D4539"/>
    <w:rsid w:val="000D458D"/>
    <w:rsid w:val="000D4708"/>
    <w:rsid w:val="000D47F1"/>
    <w:rsid w:val="000D488D"/>
    <w:rsid w:val="000D4A48"/>
    <w:rsid w:val="000D4AA8"/>
    <w:rsid w:val="000D4AF9"/>
    <w:rsid w:val="000D4B8B"/>
    <w:rsid w:val="000D4CBF"/>
    <w:rsid w:val="000D4CCF"/>
    <w:rsid w:val="000D4E9B"/>
    <w:rsid w:val="000D4F48"/>
    <w:rsid w:val="000D4FAC"/>
    <w:rsid w:val="000D50B6"/>
    <w:rsid w:val="000D50FD"/>
    <w:rsid w:val="000D51C1"/>
    <w:rsid w:val="000D51C9"/>
    <w:rsid w:val="000D5245"/>
    <w:rsid w:val="000D525D"/>
    <w:rsid w:val="000D5344"/>
    <w:rsid w:val="000D551B"/>
    <w:rsid w:val="000D5584"/>
    <w:rsid w:val="000D56A8"/>
    <w:rsid w:val="000D56D8"/>
    <w:rsid w:val="000D56E2"/>
    <w:rsid w:val="000D56FF"/>
    <w:rsid w:val="000D5791"/>
    <w:rsid w:val="000D580E"/>
    <w:rsid w:val="000D59E3"/>
    <w:rsid w:val="000D5B0A"/>
    <w:rsid w:val="000D5BBE"/>
    <w:rsid w:val="000D5BEA"/>
    <w:rsid w:val="000D5C39"/>
    <w:rsid w:val="000D6309"/>
    <w:rsid w:val="000D6403"/>
    <w:rsid w:val="000D671F"/>
    <w:rsid w:val="000D6820"/>
    <w:rsid w:val="000D6991"/>
    <w:rsid w:val="000D6A45"/>
    <w:rsid w:val="000D6AE7"/>
    <w:rsid w:val="000D6B59"/>
    <w:rsid w:val="000D6D0C"/>
    <w:rsid w:val="000D6D58"/>
    <w:rsid w:val="000D6DF8"/>
    <w:rsid w:val="000D6E69"/>
    <w:rsid w:val="000D6EF9"/>
    <w:rsid w:val="000D6FC0"/>
    <w:rsid w:val="000D6FC2"/>
    <w:rsid w:val="000D703B"/>
    <w:rsid w:val="000D7310"/>
    <w:rsid w:val="000D7488"/>
    <w:rsid w:val="000D75EB"/>
    <w:rsid w:val="000D78FB"/>
    <w:rsid w:val="000D791D"/>
    <w:rsid w:val="000D7B43"/>
    <w:rsid w:val="000D7DCD"/>
    <w:rsid w:val="000D7F55"/>
    <w:rsid w:val="000D7FC6"/>
    <w:rsid w:val="000E003F"/>
    <w:rsid w:val="000E004C"/>
    <w:rsid w:val="000E01BE"/>
    <w:rsid w:val="000E0244"/>
    <w:rsid w:val="000E02E5"/>
    <w:rsid w:val="000E0496"/>
    <w:rsid w:val="000E0515"/>
    <w:rsid w:val="000E0551"/>
    <w:rsid w:val="000E0638"/>
    <w:rsid w:val="000E0677"/>
    <w:rsid w:val="000E0753"/>
    <w:rsid w:val="000E0880"/>
    <w:rsid w:val="000E0A1D"/>
    <w:rsid w:val="000E0F87"/>
    <w:rsid w:val="000E0FBF"/>
    <w:rsid w:val="000E1126"/>
    <w:rsid w:val="000E115D"/>
    <w:rsid w:val="000E11E6"/>
    <w:rsid w:val="000E11EB"/>
    <w:rsid w:val="000E12E6"/>
    <w:rsid w:val="000E1486"/>
    <w:rsid w:val="000E16C9"/>
    <w:rsid w:val="000E1894"/>
    <w:rsid w:val="000E18CE"/>
    <w:rsid w:val="000E1A65"/>
    <w:rsid w:val="000E1B2C"/>
    <w:rsid w:val="000E1E64"/>
    <w:rsid w:val="000E1E71"/>
    <w:rsid w:val="000E1E93"/>
    <w:rsid w:val="000E1EA1"/>
    <w:rsid w:val="000E1EA8"/>
    <w:rsid w:val="000E2074"/>
    <w:rsid w:val="000E20B0"/>
    <w:rsid w:val="000E229C"/>
    <w:rsid w:val="000E2360"/>
    <w:rsid w:val="000E2400"/>
    <w:rsid w:val="000E247A"/>
    <w:rsid w:val="000E25DA"/>
    <w:rsid w:val="000E2645"/>
    <w:rsid w:val="000E266F"/>
    <w:rsid w:val="000E272D"/>
    <w:rsid w:val="000E279E"/>
    <w:rsid w:val="000E27EE"/>
    <w:rsid w:val="000E292D"/>
    <w:rsid w:val="000E2974"/>
    <w:rsid w:val="000E2A4E"/>
    <w:rsid w:val="000E2A69"/>
    <w:rsid w:val="000E2AA8"/>
    <w:rsid w:val="000E2AC2"/>
    <w:rsid w:val="000E2AF2"/>
    <w:rsid w:val="000E2B21"/>
    <w:rsid w:val="000E2B6D"/>
    <w:rsid w:val="000E2CBE"/>
    <w:rsid w:val="000E2CC1"/>
    <w:rsid w:val="000E2D3B"/>
    <w:rsid w:val="000E2DC1"/>
    <w:rsid w:val="000E2E36"/>
    <w:rsid w:val="000E2F3E"/>
    <w:rsid w:val="000E2F5D"/>
    <w:rsid w:val="000E308D"/>
    <w:rsid w:val="000E3371"/>
    <w:rsid w:val="000E33F1"/>
    <w:rsid w:val="000E348D"/>
    <w:rsid w:val="000E34FA"/>
    <w:rsid w:val="000E36D0"/>
    <w:rsid w:val="000E36FC"/>
    <w:rsid w:val="000E3758"/>
    <w:rsid w:val="000E390C"/>
    <w:rsid w:val="000E3BE5"/>
    <w:rsid w:val="000E3BFC"/>
    <w:rsid w:val="000E3DB9"/>
    <w:rsid w:val="000E40E0"/>
    <w:rsid w:val="000E4153"/>
    <w:rsid w:val="000E41F3"/>
    <w:rsid w:val="000E420C"/>
    <w:rsid w:val="000E439D"/>
    <w:rsid w:val="000E44BC"/>
    <w:rsid w:val="000E45F7"/>
    <w:rsid w:val="000E478D"/>
    <w:rsid w:val="000E489D"/>
    <w:rsid w:val="000E4973"/>
    <w:rsid w:val="000E49CE"/>
    <w:rsid w:val="000E49D9"/>
    <w:rsid w:val="000E49FE"/>
    <w:rsid w:val="000E4A2B"/>
    <w:rsid w:val="000E4AF5"/>
    <w:rsid w:val="000E4B2E"/>
    <w:rsid w:val="000E4BB0"/>
    <w:rsid w:val="000E4D77"/>
    <w:rsid w:val="000E4F19"/>
    <w:rsid w:val="000E4F62"/>
    <w:rsid w:val="000E5016"/>
    <w:rsid w:val="000E540E"/>
    <w:rsid w:val="000E551A"/>
    <w:rsid w:val="000E56E4"/>
    <w:rsid w:val="000E57E0"/>
    <w:rsid w:val="000E58E7"/>
    <w:rsid w:val="000E5935"/>
    <w:rsid w:val="000E5998"/>
    <w:rsid w:val="000E59BD"/>
    <w:rsid w:val="000E5A2C"/>
    <w:rsid w:val="000E5A48"/>
    <w:rsid w:val="000E5A78"/>
    <w:rsid w:val="000E5C35"/>
    <w:rsid w:val="000E5D53"/>
    <w:rsid w:val="000E5E35"/>
    <w:rsid w:val="000E5EDA"/>
    <w:rsid w:val="000E617A"/>
    <w:rsid w:val="000E63B2"/>
    <w:rsid w:val="000E6436"/>
    <w:rsid w:val="000E668F"/>
    <w:rsid w:val="000E66C5"/>
    <w:rsid w:val="000E68C2"/>
    <w:rsid w:val="000E68F0"/>
    <w:rsid w:val="000E6922"/>
    <w:rsid w:val="000E6A00"/>
    <w:rsid w:val="000E6A33"/>
    <w:rsid w:val="000E6A35"/>
    <w:rsid w:val="000E6A9E"/>
    <w:rsid w:val="000E6B09"/>
    <w:rsid w:val="000E6B40"/>
    <w:rsid w:val="000E6B80"/>
    <w:rsid w:val="000E6BB2"/>
    <w:rsid w:val="000E6D48"/>
    <w:rsid w:val="000E6EC2"/>
    <w:rsid w:val="000E6F72"/>
    <w:rsid w:val="000E7089"/>
    <w:rsid w:val="000E714B"/>
    <w:rsid w:val="000E71A9"/>
    <w:rsid w:val="000E7232"/>
    <w:rsid w:val="000E72FE"/>
    <w:rsid w:val="000E734C"/>
    <w:rsid w:val="000E7356"/>
    <w:rsid w:val="000E736C"/>
    <w:rsid w:val="000E7381"/>
    <w:rsid w:val="000E7407"/>
    <w:rsid w:val="000E7460"/>
    <w:rsid w:val="000E7714"/>
    <w:rsid w:val="000E77B5"/>
    <w:rsid w:val="000E77E8"/>
    <w:rsid w:val="000E7A10"/>
    <w:rsid w:val="000E7B8B"/>
    <w:rsid w:val="000E7C60"/>
    <w:rsid w:val="000E7DD3"/>
    <w:rsid w:val="000E7EC2"/>
    <w:rsid w:val="000E7EC5"/>
    <w:rsid w:val="000E7ECA"/>
    <w:rsid w:val="000E7FBC"/>
    <w:rsid w:val="000E7FBF"/>
    <w:rsid w:val="000F0160"/>
    <w:rsid w:val="000F01A7"/>
    <w:rsid w:val="000F0296"/>
    <w:rsid w:val="000F0449"/>
    <w:rsid w:val="000F0497"/>
    <w:rsid w:val="000F077F"/>
    <w:rsid w:val="000F0846"/>
    <w:rsid w:val="000F09B6"/>
    <w:rsid w:val="000F0CD2"/>
    <w:rsid w:val="000F0DDF"/>
    <w:rsid w:val="000F0DFB"/>
    <w:rsid w:val="000F0EC3"/>
    <w:rsid w:val="000F0F33"/>
    <w:rsid w:val="000F107D"/>
    <w:rsid w:val="000F1386"/>
    <w:rsid w:val="000F14B6"/>
    <w:rsid w:val="000F165E"/>
    <w:rsid w:val="000F1719"/>
    <w:rsid w:val="000F17CF"/>
    <w:rsid w:val="000F18A1"/>
    <w:rsid w:val="000F19F3"/>
    <w:rsid w:val="000F1B6F"/>
    <w:rsid w:val="000F1DB1"/>
    <w:rsid w:val="000F2154"/>
    <w:rsid w:val="000F21B6"/>
    <w:rsid w:val="000F2200"/>
    <w:rsid w:val="000F2420"/>
    <w:rsid w:val="000F24ED"/>
    <w:rsid w:val="000F253F"/>
    <w:rsid w:val="000F259C"/>
    <w:rsid w:val="000F2643"/>
    <w:rsid w:val="000F26BB"/>
    <w:rsid w:val="000F279B"/>
    <w:rsid w:val="000F283B"/>
    <w:rsid w:val="000F29BF"/>
    <w:rsid w:val="000F29E8"/>
    <w:rsid w:val="000F29E9"/>
    <w:rsid w:val="000F2A2D"/>
    <w:rsid w:val="000F2C33"/>
    <w:rsid w:val="000F2D49"/>
    <w:rsid w:val="000F2D79"/>
    <w:rsid w:val="000F30F6"/>
    <w:rsid w:val="000F3342"/>
    <w:rsid w:val="000F33C2"/>
    <w:rsid w:val="000F3452"/>
    <w:rsid w:val="000F3522"/>
    <w:rsid w:val="000F37BA"/>
    <w:rsid w:val="000F3821"/>
    <w:rsid w:val="000F38ED"/>
    <w:rsid w:val="000F3991"/>
    <w:rsid w:val="000F3AB2"/>
    <w:rsid w:val="000F3E5B"/>
    <w:rsid w:val="000F3E75"/>
    <w:rsid w:val="000F3F73"/>
    <w:rsid w:val="000F3FF3"/>
    <w:rsid w:val="000F4040"/>
    <w:rsid w:val="000F42A6"/>
    <w:rsid w:val="000F435C"/>
    <w:rsid w:val="000F455D"/>
    <w:rsid w:val="000F459D"/>
    <w:rsid w:val="000F4793"/>
    <w:rsid w:val="000F47BB"/>
    <w:rsid w:val="000F482F"/>
    <w:rsid w:val="000F487B"/>
    <w:rsid w:val="000F4975"/>
    <w:rsid w:val="000F4CD1"/>
    <w:rsid w:val="000F4DB1"/>
    <w:rsid w:val="000F4DC7"/>
    <w:rsid w:val="000F4FE4"/>
    <w:rsid w:val="000F502E"/>
    <w:rsid w:val="000F51F9"/>
    <w:rsid w:val="000F5320"/>
    <w:rsid w:val="000F565A"/>
    <w:rsid w:val="000F57CA"/>
    <w:rsid w:val="000F5876"/>
    <w:rsid w:val="000F5935"/>
    <w:rsid w:val="000F5941"/>
    <w:rsid w:val="000F5AC5"/>
    <w:rsid w:val="000F5BA3"/>
    <w:rsid w:val="000F5C05"/>
    <w:rsid w:val="000F5C1B"/>
    <w:rsid w:val="000F5CFE"/>
    <w:rsid w:val="000F5D71"/>
    <w:rsid w:val="000F6172"/>
    <w:rsid w:val="000F6331"/>
    <w:rsid w:val="000F67D8"/>
    <w:rsid w:val="000F6878"/>
    <w:rsid w:val="000F6C4C"/>
    <w:rsid w:val="000F6F9E"/>
    <w:rsid w:val="000F7016"/>
    <w:rsid w:val="000F713F"/>
    <w:rsid w:val="000F7146"/>
    <w:rsid w:val="000F718F"/>
    <w:rsid w:val="000F723C"/>
    <w:rsid w:val="000F727A"/>
    <w:rsid w:val="000F7361"/>
    <w:rsid w:val="000F7369"/>
    <w:rsid w:val="000F73B8"/>
    <w:rsid w:val="000F749C"/>
    <w:rsid w:val="000F7588"/>
    <w:rsid w:val="000F7857"/>
    <w:rsid w:val="000F794B"/>
    <w:rsid w:val="000F7A9E"/>
    <w:rsid w:val="000F7ABB"/>
    <w:rsid w:val="000F7AFF"/>
    <w:rsid w:val="000F7CD8"/>
    <w:rsid w:val="000F7D27"/>
    <w:rsid w:val="000F7DF6"/>
    <w:rsid w:val="000F7E4E"/>
    <w:rsid w:val="0010013C"/>
    <w:rsid w:val="00100277"/>
    <w:rsid w:val="0010029C"/>
    <w:rsid w:val="00100388"/>
    <w:rsid w:val="001003D4"/>
    <w:rsid w:val="0010050C"/>
    <w:rsid w:val="00100672"/>
    <w:rsid w:val="001008E8"/>
    <w:rsid w:val="001009C3"/>
    <w:rsid w:val="00100DE4"/>
    <w:rsid w:val="00100E08"/>
    <w:rsid w:val="00100EEB"/>
    <w:rsid w:val="00100FDC"/>
    <w:rsid w:val="001012E6"/>
    <w:rsid w:val="0010132D"/>
    <w:rsid w:val="00101445"/>
    <w:rsid w:val="001016A5"/>
    <w:rsid w:val="001017D5"/>
    <w:rsid w:val="00101806"/>
    <w:rsid w:val="00101C21"/>
    <w:rsid w:val="00102087"/>
    <w:rsid w:val="0010209E"/>
    <w:rsid w:val="0010215E"/>
    <w:rsid w:val="001021C2"/>
    <w:rsid w:val="00102498"/>
    <w:rsid w:val="001024B5"/>
    <w:rsid w:val="00102867"/>
    <w:rsid w:val="0010289A"/>
    <w:rsid w:val="00102B0B"/>
    <w:rsid w:val="00102B4F"/>
    <w:rsid w:val="00102C56"/>
    <w:rsid w:val="00102D8A"/>
    <w:rsid w:val="00102FB5"/>
    <w:rsid w:val="00102FDC"/>
    <w:rsid w:val="00103082"/>
    <w:rsid w:val="001030F0"/>
    <w:rsid w:val="00103200"/>
    <w:rsid w:val="0010348F"/>
    <w:rsid w:val="001035B3"/>
    <w:rsid w:val="001035D8"/>
    <w:rsid w:val="0010364E"/>
    <w:rsid w:val="0010373A"/>
    <w:rsid w:val="001037AB"/>
    <w:rsid w:val="001037BD"/>
    <w:rsid w:val="00103ADB"/>
    <w:rsid w:val="00103B8F"/>
    <w:rsid w:val="00103BE7"/>
    <w:rsid w:val="00103C1B"/>
    <w:rsid w:val="00103CE7"/>
    <w:rsid w:val="00103E69"/>
    <w:rsid w:val="00103FA3"/>
    <w:rsid w:val="0010400F"/>
    <w:rsid w:val="001040B2"/>
    <w:rsid w:val="001040BD"/>
    <w:rsid w:val="00104157"/>
    <w:rsid w:val="001041C5"/>
    <w:rsid w:val="0010428E"/>
    <w:rsid w:val="0010434F"/>
    <w:rsid w:val="0010435E"/>
    <w:rsid w:val="001043C4"/>
    <w:rsid w:val="001044DD"/>
    <w:rsid w:val="00104659"/>
    <w:rsid w:val="00104738"/>
    <w:rsid w:val="00104897"/>
    <w:rsid w:val="001048D4"/>
    <w:rsid w:val="001049F5"/>
    <w:rsid w:val="00104CFD"/>
    <w:rsid w:val="001050BF"/>
    <w:rsid w:val="00105271"/>
    <w:rsid w:val="0010555A"/>
    <w:rsid w:val="001055A7"/>
    <w:rsid w:val="00105612"/>
    <w:rsid w:val="0010568C"/>
    <w:rsid w:val="001057EE"/>
    <w:rsid w:val="001057F7"/>
    <w:rsid w:val="00105AFE"/>
    <w:rsid w:val="00105CB9"/>
    <w:rsid w:val="00105FA9"/>
    <w:rsid w:val="00105FAE"/>
    <w:rsid w:val="001060D2"/>
    <w:rsid w:val="001062BC"/>
    <w:rsid w:val="001062C4"/>
    <w:rsid w:val="00106407"/>
    <w:rsid w:val="001064D0"/>
    <w:rsid w:val="001064DE"/>
    <w:rsid w:val="001065B4"/>
    <w:rsid w:val="00106715"/>
    <w:rsid w:val="00106794"/>
    <w:rsid w:val="001068D0"/>
    <w:rsid w:val="00106953"/>
    <w:rsid w:val="00106B0D"/>
    <w:rsid w:val="00106C30"/>
    <w:rsid w:val="00106C68"/>
    <w:rsid w:val="00106C7F"/>
    <w:rsid w:val="00106C9B"/>
    <w:rsid w:val="00106CD7"/>
    <w:rsid w:val="00106D3D"/>
    <w:rsid w:val="00106D9A"/>
    <w:rsid w:val="00106E68"/>
    <w:rsid w:val="00106F29"/>
    <w:rsid w:val="0010707E"/>
    <w:rsid w:val="001070AC"/>
    <w:rsid w:val="00107139"/>
    <w:rsid w:val="00107332"/>
    <w:rsid w:val="00107335"/>
    <w:rsid w:val="001073FC"/>
    <w:rsid w:val="001074EF"/>
    <w:rsid w:val="0010752D"/>
    <w:rsid w:val="0010764B"/>
    <w:rsid w:val="001076ED"/>
    <w:rsid w:val="00107799"/>
    <w:rsid w:val="00107C03"/>
    <w:rsid w:val="00107C90"/>
    <w:rsid w:val="00107DC1"/>
    <w:rsid w:val="00107E46"/>
    <w:rsid w:val="00110362"/>
    <w:rsid w:val="00110543"/>
    <w:rsid w:val="0011058D"/>
    <w:rsid w:val="0011075D"/>
    <w:rsid w:val="00110769"/>
    <w:rsid w:val="00110858"/>
    <w:rsid w:val="00110A41"/>
    <w:rsid w:val="00110B3C"/>
    <w:rsid w:val="00110B71"/>
    <w:rsid w:val="00110DB2"/>
    <w:rsid w:val="00110E43"/>
    <w:rsid w:val="00110F3A"/>
    <w:rsid w:val="0011103E"/>
    <w:rsid w:val="001111AF"/>
    <w:rsid w:val="0011132B"/>
    <w:rsid w:val="001113DF"/>
    <w:rsid w:val="001113FA"/>
    <w:rsid w:val="001114A6"/>
    <w:rsid w:val="001114F7"/>
    <w:rsid w:val="0011166E"/>
    <w:rsid w:val="001116BC"/>
    <w:rsid w:val="00111736"/>
    <w:rsid w:val="0011173E"/>
    <w:rsid w:val="001117E6"/>
    <w:rsid w:val="00111809"/>
    <w:rsid w:val="00111812"/>
    <w:rsid w:val="00111883"/>
    <w:rsid w:val="0011188E"/>
    <w:rsid w:val="00111966"/>
    <w:rsid w:val="0011198B"/>
    <w:rsid w:val="00111C5D"/>
    <w:rsid w:val="00111CDA"/>
    <w:rsid w:val="00111E31"/>
    <w:rsid w:val="00111F05"/>
    <w:rsid w:val="00112037"/>
    <w:rsid w:val="0011208C"/>
    <w:rsid w:val="00112266"/>
    <w:rsid w:val="001123A0"/>
    <w:rsid w:val="001124D2"/>
    <w:rsid w:val="001124D3"/>
    <w:rsid w:val="001125AB"/>
    <w:rsid w:val="00112684"/>
    <w:rsid w:val="001127C8"/>
    <w:rsid w:val="001127EC"/>
    <w:rsid w:val="00112829"/>
    <w:rsid w:val="00112835"/>
    <w:rsid w:val="00112934"/>
    <w:rsid w:val="001129A4"/>
    <w:rsid w:val="00112A93"/>
    <w:rsid w:val="00112B2F"/>
    <w:rsid w:val="00112B9F"/>
    <w:rsid w:val="00112CC4"/>
    <w:rsid w:val="00112EDA"/>
    <w:rsid w:val="0011314E"/>
    <w:rsid w:val="00113451"/>
    <w:rsid w:val="00113746"/>
    <w:rsid w:val="0011374F"/>
    <w:rsid w:val="0011390F"/>
    <w:rsid w:val="0011392D"/>
    <w:rsid w:val="00113936"/>
    <w:rsid w:val="00113975"/>
    <w:rsid w:val="00113CAB"/>
    <w:rsid w:val="00113CC3"/>
    <w:rsid w:val="00113D34"/>
    <w:rsid w:val="00113D82"/>
    <w:rsid w:val="00113E23"/>
    <w:rsid w:val="00113E38"/>
    <w:rsid w:val="00113EB6"/>
    <w:rsid w:val="001140EC"/>
    <w:rsid w:val="001142B7"/>
    <w:rsid w:val="00114300"/>
    <w:rsid w:val="00114321"/>
    <w:rsid w:val="001144EA"/>
    <w:rsid w:val="001146A3"/>
    <w:rsid w:val="0011490B"/>
    <w:rsid w:val="0011498E"/>
    <w:rsid w:val="00114A15"/>
    <w:rsid w:val="00114A7E"/>
    <w:rsid w:val="00114B7E"/>
    <w:rsid w:val="00114BEB"/>
    <w:rsid w:val="00114D45"/>
    <w:rsid w:val="00114EDE"/>
    <w:rsid w:val="00114FB3"/>
    <w:rsid w:val="001150B2"/>
    <w:rsid w:val="00115108"/>
    <w:rsid w:val="001151E4"/>
    <w:rsid w:val="00115470"/>
    <w:rsid w:val="001154DA"/>
    <w:rsid w:val="00115550"/>
    <w:rsid w:val="00115626"/>
    <w:rsid w:val="00115647"/>
    <w:rsid w:val="0011581B"/>
    <w:rsid w:val="00115965"/>
    <w:rsid w:val="0011597D"/>
    <w:rsid w:val="00115A9F"/>
    <w:rsid w:val="00115C37"/>
    <w:rsid w:val="00115C5D"/>
    <w:rsid w:val="00115E2C"/>
    <w:rsid w:val="0011647C"/>
    <w:rsid w:val="001164EE"/>
    <w:rsid w:val="00116510"/>
    <w:rsid w:val="001165B4"/>
    <w:rsid w:val="001165F4"/>
    <w:rsid w:val="001166EE"/>
    <w:rsid w:val="00116755"/>
    <w:rsid w:val="001167DB"/>
    <w:rsid w:val="0011696F"/>
    <w:rsid w:val="00116A28"/>
    <w:rsid w:val="00116B2F"/>
    <w:rsid w:val="00116B3A"/>
    <w:rsid w:val="00116B5A"/>
    <w:rsid w:val="00116C26"/>
    <w:rsid w:val="00116C4C"/>
    <w:rsid w:val="00116C6B"/>
    <w:rsid w:val="00116CDE"/>
    <w:rsid w:val="00116D14"/>
    <w:rsid w:val="00116D5E"/>
    <w:rsid w:val="00116E14"/>
    <w:rsid w:val="00116F29"/>
    <w:rsid w:val="00116F60"/>
    <w:rsid w:val="00116FCD"/>
    <w:rsid w:val="00116FFF"/>
    <w:rsid w:val="00117024"/>
    <w:rsid w:val="00117044"/>
    <w:rsid w:val="00117159"/>
    <w:rsid w:val="001171D8"/>
    <w:rsid w:val="00117422"/>
    <w:rsid w:val="0011748F"/>
    <w:rsid w:val="0011768F"/>
    <w:rsid w:val="00117801"/>
    <w:rsid w:val="00117859"/>
    <w:rsid w:val="001178B2"/>
    <w:rsid w:val="00117915"/>
    <w:rsid w:val="00117917"/>
    <w:rsid w:val="001179DC"/>
    <w:rsid w:val="001179EB"/>
    <w:rsid w:val="001179F4"/>
    <w:rsid w:val="00117A10"/>
    <w:rsid w:val="00117A2D"/>
    <w:rsid w:val="00117A33"/>
    <w:rsid w:val="00117AC7"/>
    <w:rsid w:val="00117B4D"/>
    <w:rsid w:val="00117BBF"/>
    <w:rsid w:val="00117C8D"/>
    <w:rsid w:val="00117CDE"/>
    <w:rsid w:val="00117D04"/>
    <w:rsid w:val="00117DE6"/>
    <w:rsid w:val="00117E4F"/>
    <w:rsid w:val="00120024"/>
    <w:rsid w:val="0012071D"/>
    <w:rsid w:val="001207CB"/>
    <w:rsid w:val="00120830"/>
    <w:rsid w:val="0012094B"/>
    <w:rsid w:val="00120A98"/>
    <w:rsid w:val="00120BF9"/>
    <w:rsid w:val="00120DE3"/>
    <w:rsid w:val="00120EB3"/>
    <w:rsid w:val="00120F15"/>
    <w:rsid w:val="0012152D"/>
    <w:rsid w:val="001215A7"/>
    <w:rsid w:val="001215F3"/>
    <w:rsid w:val="0012163E"/>
    <w:rsid w:val="00121846"/>
    <w:rsid w:val="001218EE"/>
    <w:rsid w:val="00121A41"/>
    <w:rsid w:val="00121A95"/>
    <w:rsid w:val="00121ADA"/>
    <w:rsid w:val="00121C19"/>
    <w:rsid w:val="00121C47"/>
    <w:rsid w:val="00121C4A"/>
    <w:rsid w:val="00121E1B"/>
    <w:rsid w:val="00121EBE"/>
    <w:rsid w:val="00121FA5"/>
    <w:rsid w:val="00122000"/>
    <w:rsid w:val="001220F9"/>
    <w:rsid w:val="0012279F"/>
    <w:rsid w:val="001227AA"/>
    <w:rsid w:val="00122CBF"/>
    <w:rsid w:val="00122D65"/>
    <w:rsid w:val="00122EDC"/>
    <w:rsid w:val="00123051"/>
    <w:rsid w:val="0012313E"/>
    <w:rsid w:val="001233D3"/>
    <w:rsid w:val="0012341B"/>
    <w:rsid w:val="001234E6"/>
    <w:rsid w:val="001235DB"/>
    <w:rsid w:val="0012371B"/>
    <w:rsid w:val="0012378C"/>
    <w:rsid w:val="0012379C"/>
    <w:rsid w:val="00123884"/>
    <w:rsid w:val="001239D2"/>
    <w:rsid w:val="00123AF5"/>
    <w:rsid w:val="00123B45"/>
    <w:rsid w:val="00123BA8"/>
    <w:rsid w:val="00123CBF"/>
    <w:rsid w:val="00123E06"/>
    <w:rsid w:val="00123E97"/>
    <w:rsid w:val="00123EDC"/>
    <w:rsid w:val="00123F0E"/>
    <w:rsid w:val="00123FA6"/>
    <w:rsid w:val="00124047"/>
    <w:rsid w:val="001240B9"/>
    <w:rsid w:val="00124653"/>
    <w:rsid w:val="001246CA"/>
    <w:rsid w:val="0012481A"/>
    <w:rsid w:val="001249F2"/>
    <w:rsid w:val="00124A0C"/>
    <w:rsid w:val="00124BA6"/>
    <w:rsid w:val="00124CF5"/>
    <w:rsid w:val="00124DF3"/>
    <w:rsid w:val="00124E7B"/>
    <w:rsid w:val="00124ECA"/>
    <w:rsid w:val="00124FD3"/>
    <w:rsid w:val="00125157"/>
    <w:rsid w:val="0012531D"/>
    <w:rsid w:val="00125385"/>
    <w:rsid w:val="0012547B"/>
    <w:rsid w:val="0012567A"/>
    <w:rsid w:val="00125688"/>
    <w:rsid w:val="0012575F"/>
    <w:rsid w:val="0012579A"/>
    <w:rsid w:val="0012586C"/>
    <w:rsid w:val="0012587F"/>
    <w:rsid w:val="001258D0"/>
    <w:rsid w:val="00125941"/>
    <w:rsid w:val="0012596E"/>
    <w:rsid w:val="00125A4C"/>
    <w:rsid w:val="00125D6A"/>
    <w:rsid w:val="00125E65"/>
    <w:rsid w:val="00125E88"/>
    <w:rsid w:val="00125F2F"/>
    <w:rsid w:val="00125FD6"/>
    <w:rsid w:val="00126076"/>
    <w:rsid w:val="00126101"/>
    <w:rsid w:val="0012617B"/>
    <w:rsid w:val="00126282"/>
    <w:rsid w:val="0012646D"/>
    <w:rsid w:val="001266AA"/>
    <w:rsid w:val="001268A0"/>
    <w:rsid w:val="00126AC1"/>
    <w:rsid w:val="00126B97"/>
    <w:rsid w:val="00126BF7"/>
    <w:rsid w:val="00126C92"/>
    <w:rsid w:val="00126D39"/>
    <w:rsid w:val="00126D46"/>
    <w:rsid w:val="00126D8D"/>
    <w:rsid w:val="00126E30"/>
    <w:rsid w:val="00126E50"/>
    <w:rsid w:val="00126ED5"/>
    <w:rsid w:val="00126FF5"/>
    <w:rsid w:val="001271AA"/>
    <w:rsid w:val="00127219"/>
    <w:rsid w:val="0012727A"/>
    <w:rsid w:val="00127307"/>
    <w:rsid w:val="00127325"/>
    <w:rsid w:val="0012735D"/>
    <w:rsid w:val="00127386"/>
    <w:rsid w:val="0012746B"/>
    <w:rsid w:val="0012783E"/>
    <w:rsid w:val="00127872"/>
    <w:rsid w:val="0012792D"/>
    <w:rsid w:val="00127933"/>
    <w:rsid w:val="001279E3"/>
    <w:rsid w:val="00127A4D"/>
    <w:rsid w:val="00127B06"/>
    <w:rsid w:val="00127BC9"/>
    <w:rsid w:val="00127C3B"/>
    <w:rsid w:val="00127EE7"/>
    <w:rsid w:val="00127EF2"/>
    <w:rsid w:val="00130056"/>
    <w:rsid w:val="00130210"/>
    <w:rsid w:val="00130323"/>
    <w:rsid w:val="00130364"/>
    <w:rsid w:val="001303A8"/>
    <w:rsid w:val="001303B5"/>
    <w:rsid w:val="00130423"/>
    <w:rsid w:val="0013047D"/>
    <w:rsid w:val="00130484"/>
    <w:rsid w:val="001305C0"/>
    <w:rsid w:val="001305CB"/>
    <w:rsid w:val="00130753"/>
    <w:rsid w:val="0013079B"/>
    <w:rsid w:val="001308E1"/>
    <w:rsid w:val="0013090F"/>
    <w:rsid w:val="00130922"/>
    <w:rsid w:val="0013093C"/>
    <w:rsid w:val="001309B3"/>
    <w:rsid w:val="00130BE1"/>
    <w:rsid w:val="00130D09"/>
    <w:rsid w:val="00130E4D"/>
    <w:rsid w:val="00130FCA"/>
    <w:rsid w:val="0013111B"/>
    <w:rsid w:val="00131161"/>
    <w:rsid w:val="0013143A"/>
    <w:rsid w:val="00131452"/>
    <w:rsid w:val="001314E9"/>
    <w:rsid w:val="001316A7"/>
    <w:rsid w:val="0013178F"/>
    <w:rsid w:val="001317BF"/>
    <w:rsid w:val="0013180E"/>
    <w:rsid w:val="00131816"/>
    <w:rsid w:val="001318CC"/>
    <w:rsid w:val="001319A3"/>
    <w:rsid w:val="00131AFE"/>
    <w:rsid w:val="00131B3B"/>
    <w:rsid w:val="00131BE9"/>
    <w:rsid w:val="00131D21"/>
    <w:rsid w:val="00131FC7"/>
    <w:rsid w:val="0013201F"/>
    <w:rsid w:val="00132071"/>
    <w:rsid w:val="00132072"/>
    <w:rsid w:val="00132111"/>
    <w:rsid w:val="0013219E"/>
    <w:rsid w:val="001321B0"/>
    <w:rsid w:val="0013221E"/>
    <w:rsid w:val="001323DF"/>
    <w:rsid w:val="001325D5"/>
    <w:rsid w:val="00132600"/>
    <w:rsid w:val="0013273A"/>
    <w:rsid w:val="001328F1"/>
    <w:rsid w:val="00132A30"/>
    <w:rsid w:val="00132B09"/>
    <w:rsid w:val="00132CB1"/>
    <w:rsid w:val="00132D47"/>
    <w:rsid w:val="00132DC0"/>
    <w:rsid w:val="00132DDB"/>
    <w:rsid w:val="00132E00"/>
    <w:rsid w:val="00132EF1"/>
    <w:rsid w:val="0013304D"/>
    <w:rsid w:val="0013307C"/>
    <w:rsid w:val="001330B3"/>
    <w:rsid w:val="00133115"/>
    <w:rsid w:val="00133259"/>
    <w:rsid w:val="001334E0"/>
    <w:rsid w:val="00133584"/>
    <w:rsid w:val="001335C3"/>
    <w:rsid w:val="0013378E"/>
    <w:rsid w:val="0013378F"/>
    <w:rsid w:val="00133965"/>
    <w:rsid w:val="001339B6"/>
    <w:rsid w:val="00133A72"/>
    <w:rsid w:val="00133AC5"/>
    <w:rsid w:val="00133B89"/>
    <w:rsid w:val="00133C1D"/>
    <w:rsid w:val="00133CB5"/>
    <w:rsid w:val="00133D42"/>
    <w:rsid w:val="00133FBD"/>
    <w:rsid w:val="0013434A"/>
    <w:rsid w:val="001344BA"/>
    <w:rsid w:val="0013474B"/>
    <w:rsid w:val="00134786"/>
    <w:rsid w:val="001347B0"/>
    <w:rsid w:val="00134850"/>
    <w:rsid w:val="0013485D"/>
    <w:rsid w:val="001348A1"/>
    <w:rsid w:val="001348F9"/>
    <w:rsid w:val="00134C05"/>
    <w:rsid w:val="00134CAF"/>
    <w:rsid w:val="00134CB3"/>
    <w:rsid w:val="00134D57"/>
    <w:rsid w:val="00134DB6"/>
    <w:rsid w:val="00134E3C"/>
    <w:rsid w:val="00134E93"/>
    <w:rsid w:val="00135015"/>
    <w:rsid w:val="001350D5"/>
    <w:rsid w:val="001351F6"/>
    <w:rsid w:val="0013530E"/>
    <w:rsid w:val="001353C4"/>
    <w:rsid w:val="00135635"/>
    <w:rsid w:val="001356C7"/>
    <w:rsid w:val="00135702"/>
    <w:rsid w:val="00135842"/>
    <w:rsid w:val="00135969"/>
    <w:rsid w:val="00135ABF"/>
    <w:rsid w:val="00135EA0"/>
    <w:rsid w:val="001360B7"/>
    <w:rsid w:val="001362B7"/>
    <w:rsid w:val="0013650F"/>
    <w:rsid w:val="0013656B"/>
    <w:rsid w:val="00136638"/>
    <w:rsid w:val="001366A7"/>
    <w:rsid w:val="001366CF"/>
    <w:rsid w:val="00136774"/>
    <w:rsid w:val="00136856"/>
    <w:rsid w:val="001368FB"/>
    <w:rsid w:val="001369B1"/>
    <w:rsid w:val="001369C7"/>
    <w:rsid w:val="001369D9"/>
    <w:rsid w:val="00136B66"/>
    <w:rsid w:val="00136BB1"/>
    <w:rsid w:val="00136BCA"/>
    <w:rsid w:val="00136C00"/>
    <w:rsid w:val="00136C5D"/>
    <w:rsid w:val="00136CD0"/>
    <w:rsid w:val="00136CFD"/>
    <w:rsid w:val="00136DEB"/>
    <w:rsid w:val="00137257"/>
    <w:rsid w:val="0013729B"/>
    <w:rsid w:val="001373AA"/>
    <w:rsid w:val="001374F5"/>
    <w:rsid w:val="0013760B"/>
    <w:rsid w:val="00137646"/>
    <w:rsid w:val="00137675"/>
    <w:rsid w:val="00137681"/>
    <w:rsid w:val="00137745"/>
    <w:rsid w:val="0013791F"/>
    <w:rsid w:val="00137A27"/>
    <w:rsid w:val="00137A3D"/>
    <w:rsid w:val="00137BFF"/>
    <w:rsid w:val="00137E27"/>
    <w:rsid w:val="00137FD4"/>
    <w:rsid w:val="00137FFB"/>
    <w:rsid w:val="00140061"/>
    <w:rsid w:val="001400AE"/>
    <w:rsid w:val="001401A2"/>
    <w:rsid w:val="001402E7"/>
    <w:rsid w:val="00140319"/>
    <w:rsid w:val="0014041D"/>
    <w:rsid w:val="00140492"/>
    <w:rsid w:val="001407CA"/>
    <w:rsid w:val="00140A01"/>
    <w:rsid w:val="00140A0D"/>
    <w:rsid w:val="00140A46"/>
    <w:rsid w:val="00140CE3"/>
    <w:rsid w:val="00140D0D"/>
    <w:rsid w:val="00140D67"/>
    <w:rsid w:val="00140DE2"/>
    <w:rsid w:val="00141099"/>
    <w:rsid w:val="001410A9"/>
    <w:rsid w:val="001410B5"/>
    <w:rsid w:val="00141127"/>
    <w:rsid w:val="00141139"/>
    <w:rsid w:val="0014113C"/>
    <w:rsid w:val="00141175"/>
    <w:rsid w:val="001412E5"/>
    <w:rsid w:val="001412FC"/>
    <w:rsid w:val="00141307"/>
    <w:rsid w:val="001413F8"/>
    <w:rsid w:val="0014153A"/>
    <w:rsid w:val="00141590"/>
    <w:rsid w:val="00141600"/>
    <w:rsid w:val="001417F4"/>
    <w:rsid w:val="00141947"/>
    <w:rsid w:val="001419E0"/>
    <w:rsid w:val="00141B22"/>
    <w:rsid w:val="00141BF0"/>
    <w:rsid w:val="00141D0B"/>
    <w:rsid w:val="00141D5D"/>
    <w:rsid w:val="00141DBB"/>
    <w:rsid w:val="00141E4A"/>
    <w:rsid w:val="00141EBC"/>
    <w:rsid w:val="00141F39"/>
    <w:rsid w:val="00141FE2"/>
    <w:rsid w:val="0014202C"/>
    <w:rsid w:val="0014209F"/>
    <w:rsid w:val="001420BA"/>
    <w:rsid w:val="00142255"/>
    <w:rsid w:val="001423A0"/>
    <w:rsid w:val="001425A5"/>
    <w:rsid w:val="0014267B"/>
    <w:rsid w:val="001426EA"/>
    <w:rsid w:val="001427DA"/>
    <w:rsid w:val="0014281B"/>
    <w:rsid w:val="0014289E"/>
    <w:rsid w:val="001428F7"/>
    <w:rsid w:val="00142942"/>
    <w:rsid w:val="00142957"/>
    <w:rsid w:val="00142959"/>
    <w:rsid w:val="00142A41"/>
    <w:rsid w:val="00142BE4"/>
    <w:rsid w:val="00142EBC"/>
    <w:rsid w:val="00142EF0"/>
    <w:rsid w:val="00143234"/>
    <w:rsid w:val="00143421"/>
    <w:rsid w:val="00143583"/>
    <w:rsid w:val="0014361A"/>
    <w:rsid w:val="00143669"/>
    <w:rsid w:val="00143889"/>
    <w:rsid w:val="001438B3"/>
    <w:rsid w:val="0014390C"/>
    <w:rsid w:val="001439EA"/>
    <w:rsid w:val="00143AAE"/>
    <w:rsid w:val="00143C34"/>
    <w:rsid w:val="00143E3D"/>
    <w:rsid w:val="00143EAC"/>
    <w:rsid w:val="00143F02"/>
    <w:rsid w:val="00143FCE"/>
    <w:rsid w:val="00144129"/>
    <w:rsid w:val="00144371"/>
    <w:rsid w:val="0014437A"/>
    <w:rsid w:val="001443CB"/>
    <w:rsid w:val="00144403"/>
    <w:rsid w:val="00144439"/>
    <w:rsid w:val="00144616"/>
    <w:rsid w:val="001446AE"/>
    <w:rsid w:val="001447B0"/>
    <w:rsid w:val="001447CF"/>
    <w:rsid w:val="00144B1D"/>
    <w:rsid w:val="00144B3C"/>
    <w:rsid w:val="00144B6E"/>
    <w:rsid w:val="00144C54"/>
    <w:rsid w:val="00144E74"/>
    <w:rsid w:val="00144ED2"/>
    <w:rsid w:val="00144F14"/>
    <w:rsid w:val="0014503A"/>
    <w:rsid w:val="001450FE"/>
    <w:rsid w:val="001453E3"/>
    <w:rsid w:val="00145735"/>
    <w:rsid w:val="00145782"/>
    <w:rsid w:val="001457D4"/>
    <w:rsid w:val="00145A04"/>
    <w:rsid w:val="00145AEE"/>
    <w:rsid w:val="00145BF0"/>
    <w:rsid w:val="00145D07"/>
    <w:rsid w:val="00145D89"/>
    <w:rsid w:val="00145F66"/>
    <w:rsid w:val="00145FF1"/>
    <w:rsid w:val="0014610E"/>
    <w:rsid w:val="00146138"/>
    <w:rsid w:val="001461EF"/>
    <w:rsid w:val="00146352"/>
    <w:rsid w:val="00146369"/>
    <w:rsid w:val="0014648B"/>
    <w:rsid w:val="00146490"/>
    <w:rsid w:val="001464E9"/>
    <w:rsid w:val="001465FE"/>
    <w:rsid w:val="0014668F"/>
    <w:rsid w:val="001466C1"/>
    <w:rsid w:val="00146808"/>
    <w:rsid w:val="001468A6"/>
    <w:rsid w:val="001469C7"/>
    <w:rsid w:val="00146A68"/>
    <w:rsid w:val="00146BB6"/>
    <w:rsid w:val="00146C46"/>
    <w:rsid w:val="00146C61"/>
    <w:rsid w:val="00146CE0"/>
    <w:rsid w:val="00146E74"/>
    <w:rsid w:val="00146F3A"/>
    <w:rsid w:val="00146F5D"/>
    <w:rsid w:val="0014709B"/>
    <w:rsid w:val="0014712F"/>
    <w:rsid w:val="001472DF"/>
    <w:rsid w:val="00147371"/>
    <w:rsid w:val="0014745D"/>
    <w:rsid w:val="00147506"/>
    <w:rsid w:val="0014759A"/>
    <w:rsid w:val="001475FF"/>
    <w:rsid w:val="001477B2"/>
    <w:rsid w:val="001477E8"/>
    <w:rsid w:val="00147951"/>
    <w:rsid w:val="001479A5"/>
    <w:rsid w:val="00147A2B"/>
    <w:rsid w:val="00147C04"/>
    <w:rsid w:val="00147C49"/>
    <w:rsid w:val="00147D7A"/>
    <w:rsid w:val="00147DBA"/>
    <w:rsid w:val="00147E77"/>
    <w:rsid w:val="00147ECF"/>
    <w:rsid w:val="0015012D"/>
    <w:rsid w:val="00150317"/>
    <w:rsid w:val="001503E4"/>
    <w:rsid w:val="0015054B"/>
    <w:rsid w:val="001505B2"/>
    <w:rsid w:val="00150633"/>
    <w:rsid w:val="001507F0"/>
    <w:rsid w:val="0015087C"/>
    <w:rsid w:val="00150A1C"/>
    <w:rsid w:val="00150B93"/>
    <w:rsid w:val="00150C80"/>
    <w:rsid w:val="00150C98"/>
    <w:rsid w:val="00150CB5"/>
    <w:rsid w:val="00150CD7"/>
    <w:rsid w:val="00150E1E"/>
    <w:rsid w:val="00150F6E"/>
    <w:rsid w:val="00150FB0"/>
    <w:rsid w:val="00151001"/>
    <w:rsid w:val="001510ED"/>
    <w:rsid w:val="00151238"/>
    <w:rsid w:val="001513B8"/>
    <w:rsid w:val="00151434"/>
    <w:rsid w:val="0015143B"/>
    <w:rsid w:val="00151471"/>
    <w:rsid w:val="001514B8"/>
    <w:rsid w:val="00151589"/>
    <w:rsid w:val="001516E4"/>
    <w:rsid w:val="00151A69"/>
    <w:rsid w:val="00151A9F"/>
    <w:rsid w:val="00151AA4"/>
    <w:rsid w:val="00151AED"/>
    <w:rsid w:val="00151DDC"/>
    <w:rsid w:val="00151DE6"/>
    <w:rsid w:val="00151ECA"/>
    <w:rsid w:val="0015247C"/>
    <w:rsid w:val="0015256A"/>
    <w:rsid w:val="0015257D"/>
    <w:rsid w:val="00152699"/>
    <w:rsid w:val="001526B0"/>
    <w:rsid w:val="0015270F"/>
    <w:rsid w:val="00152850"/>
    <w:rsid w:val="00152873"/>
    <w:rsid w:val="00152876"/>
    <w:rsid w:val="001528A8"/>
    <w:rsid w:val="001528AD"/>
    <w:rsid w:val="00152A48"/>
    <w:rsid w:val="00152B01"/>
    <w:rsid w:val="00152C54"/>
    <w:rsid w:val="00152C8A"/>
    <w:rsid w:val="00152D9A"/>
    <w:rsid w:val="00152DDC"/>
    <w:rsid w:val="00152E67"/>
    <w:rsid w:val="00152E8B"/>
    <w:rsid w:val="00152F16"/>
    <w:rsid w:val="00153027"/>
    <w:rsid w:val="001534DF"/>
    <w:rsid w:val="0015376C"/>
    <w:rsid w:val="0015390A"/>
    <w:rsid w:val="00153948"/>
    <w:rsid w:val="00153AF2"/>
    <w:rsid w:val="00153B62"/>
    <w:rsid w:val="00153C07"/>
    <w:rsid w:val="00154122"/>
    <w:rsid w:val="00154144"/>
    <w:rsid w:val="001541D2"/>
    <w:rsid w:val="0015422D"/>
    <w:rsid w:val="001542BD"/>
    <w:rsid w:val="00154396"/>
    <w:rsid w:val="001543CA"/>
    <w:rsid w:val="001545F6"/>
    <w:rsid w:val="0015463C"/>
    <w:rsid w:val="001546C5"/>
    <w:rsid w:val="00154703"/>
    <w:rsid w:val="00154814"/>
    <w:rsid w:val="00154845"/>
    <w:rsid w:val="001549C9"/>
    <w:rsid w:val="00154B49"/>
    <w:rsid w:val="00154C41"/>
    <w:rsid w:val="00154C8A"/>
    <w:rsid w:val="00154EED"/>
    <w:rsid w:val="00155067"/>
    <w:rsid w:val="0015561E"/>
    <w:rsid w:val="0015596E"/>
    <w:rsid w:val="00155D39"/>
    <w:rsid w:val="00155F2F"/>
    <w:rsid w:val="00155F4F"/>
    <w:rsid w:val="00155FC5"/>
    <w:rsid w:val="00156101"/>
    <w:rsid w:val="001561D5"/>
    <w:rsid w:val="00156224"/>
    <w:rsid w:val="0015627B"/>
    <w:rsid w:val="001562BA"/>
    <w:rsid w:val="001562F1"/>
    <w:rsid w:val="001562F3"/>
    <w:rsid w:val="0015646A"/>
    <w:rsid w:val="001564B0"/>
    <w:rsid w:val="0015682E"/>
    <w:rsid w:val="001569CD"/>
    <w:rsid w:val="00156A26"/>
    <w:rsid w:val="00156A2B"/>
    <w:rsid w:val="00156A7D"/>
    <w:rsid w:val="00156B7A"/>
    <w:rsid w:val="00156D26"/>
    <w:rsid w:val="00156D55"/>
    <w:rsid w:val="00156DA9"/>
    <w:rsid w:val="00156E51"/>
    <w:rsid w:val="00156F3F"/>
    <w:rsid w:val="00157007"/>
    <w:rsid w:val="00157370"/>
    <w:rsid w:val="00157398"/>
    <w:rsid w:val="001573BE"/>
    <w:rsid w:val="001573C3"/>
    <w:rsid w:val="001577FF"/>
    <w:rsid w:val="001579AB"/>
    <w:rsid w:val="001579B7"/>
    <w:rsid w:val="00157A17"/>
    <w:rsid w:val="00157A50"/>
    <w:rsid w:val="00157B50"/>
    <w:rsid w:val="00157CF4"/>
    <w:rsid w:val="00157D38"/>
    <w:rsid w:val="00160009"/>
    <w:rsid w:val="00160012"/>
    <w:rsid w:val="00160022"/>
    <w:rsid w:val="0016005E"/>
    <w:rsid w:val="0016026D"/>
    <w:rsid w:val="001604EE"/>
    <w:rsid w:val="001606A0"/>
    <w:rsid w:val="00160828"/>
    <w:rsid w:val="00160A57"/>
    <w:rsid w:val="00160DAE"/>
    <w:rsid w:val="00160E6A"/>
    <w:rsid w:val="0016100C"/>
    <w:rsid w:val="001611AA"/>
    <w:rsid w:val="001611BE"/>
    <w:rsid w:val="001611D2"/>
    <w:rsid w:val="0016121C"/>
    <w:rsid w:val="001613C6"/>
    <w:rsid w:val="0016141D"/>
    <w:rsid w:val="00161778"/>
    <w:rsid w:val="00161898"/>
    <w:rsid w:val="00161964"/>
    <w:rsid w:val="0016199A"/>
    <w:rsid w:val="00161B9F"/>
    <w:rsid w:val="00161C1A"/>
    <w:rsid w:val="00161C1D"/>
    <w:rsid w:val="00161E4A"/>
    <w:rsid w:val="00161E89"/>
    <w:rsid w:val="00161EFF"/>
    <w:rsid w:val="00161F28"/>
    <w:rsid w:val="0016219D"/>
    <w:rsid w:val="001622EC"/>
    <w:rsid w:val="001625E9"/>
    <w:rsid w:val="001625FF"/>
    <w:rsid w:val="00162615"/>
    <w:rsid w:val="001626B6"/>
    <w:rsid w:val="001628C9"/>
    <w:rsid w:val="001629FC"/>
    <w:rsid w:val="00162A1F"/>
    <w:rsid w:val="00162A99"/>
    <w:rsid w:val="00162ADE"/>
    <w:rsid w:val="00162B20"/>
    <w:rsid w:val="00162B48"/>
    <w:rsid w:val="00162C3B"/>
    <w:rsid w:val="00162C3C"/>
    <w:rsid w:val="00162C68"/>
    <w:rsid w:val="00162C9C"/>
    <w:rsid w:val="00162D9D"/>
    <w:rsid w:val="00162E2F"/>
    <w:rsid w:val="00162F24"/>
    <w:rsid w:val="00162F46"/>
    <w:rsid w:val="00162FFA"/>
    <w:rsid w:val="001630BD"/>
    <w:rsid w:val="00163117"/>
    <w:rsid w:val="001632A5"/>
    <w:rsid w:val="001632FF"/>
    <w:rsid w:val="00163337"/>
    <w:rsid w:val="00163346"/>
    <w:rsid w:val="00163393"/>
    <w:rsid w:val="001633E0"/>
    <w:rsid w:val="00163472"/>
    <w:rsid w:val="001635CB"/>
    <w:rsid w:val="001636C2"/>
    <w:rsid w:val="00163700"/>
    <w:rsid w:val="00163A9E"/>
    <w:rsid w:val="00163BEA"/>
    <w:rsid w:val="00163FD1"/>
    <w:rsid w:val="00164352"/>
    <w:rsid w:val="001644B8"/>
    <w:rsid w:val="00164810"/>
    <w:rsid w:val="00164865"/>
    <w:rsid w:val="0016498E"/>
    <w:rsid w:val="00164A38"/>
    <w:rsid w:val="00164B46"/>
    <w:rsid w:val="00164C6A"/>
    <w:rsid w:val="00164DE5"/>
    <w:rsid w:val="00164E22"/>
    <w:rsid w:val="00164ECE"/>
    <w:rsid w:val="00165078"/>
    <w:rsid w:val="00165135"/>
    <w:rsid w:val="0016525F"/>
    <w:rsid w:val="001654E7"/>
    <w:rsid w:val="00165523"/>
    <w:rsid w:val="00165560"/>
    <w:rsid w:val="001658A6"/>
    <w:rsid w:val="00165ED5"/>
    <w:rsid w:val="00165F71"/>
    <w:rsid w:val="0016601E"/>
    <w:rsid w:val="001661BE"/>
    <w:rsid w:val="0016632F"/>
    <w:rsid w:val="00166503"/>
    <w:rsid w:val="001665B3"/>
    <w:rsid w:val="00166683"/>
    <w:rsid w:val="00166705"/>
    <w:rsid w:val="001667A5"/>
    <w:rsid w:val="001667F8"/>
    <w:rsid w:val="00166899"/>
    <w:rsid w:val="001668EC"/>
    <w:rsid w:val="00166901"/>
    <w:rsid w:val="00166B96"/>
    <w:rsid w:val="00166C9D"/>
    <w:rsid w:val="00166D2E"/>
    <w:rsid w:val="00166E2D"/>
    <w:rsid w:val="00166F77"/>
    <w:rsid w:val="00166FF0"/>
    <w:rsid w:val="0016707F"/>
    <w:rsid w:val="001671E4"/>
    <w:rsid w:val="00167321"/>
    <w:rsid w:val="0016751E"/>
    <w:rsid w:val="00167763"/>
    <w:rsid w:val="00167798"/>
    <w:rsid w:val="001679EA"/>
    <w:rsid w:val="00167A9E"/>
    <w:rsid w:val="00167B57"/>
    <w:rsid w:val="00167DAF"/>
    <w:rsid w:val="00167F3A"/>
    <w:rsid w:val="00167FDE"/>
    <w:rsid w:val="00167FED"/>
    <w:rsid w:val="00170011"/>
    <w:rsid w:val="00170019"/>
    <w:rsid w:val="0017003E"/>
    <w:rsid w:val="00170048"/>
    <w:rsid w:val="0017017A"/>
    <w:rsid w:val="001701CA"/>
    <w:rsid w:val="00170225"/>
    <w:rsid w:val="0017022B"/>
    <w:rsid w:val="001702F7"/>
    <w:rsid w:val="001703A2"/>
    <w:rsid w:val="001703D5"/>
    <w:rsid w:val="0017043C"/>
    <w:rsid w:val="001704E7"/>
    <w:rsid w:val="00170557"/>
    <w:rsid w:val="00170558"/>
    <w:rsid w:val="001705F6"/>
    <w:rsid w:val="001706AE"/>
    <w:rsid w:val="001706F2"/>
    <w:rsid w:val="00170718"/>
    <w:rsid w:val="00170769"/>
    <w:rsid w:val="001707D2"/>
    <w:rsid w:val="001708DC"/>
    <w:rsid w:val="00170908"/>
    <w:rsid w:val="0017098C"/>
    <w:rsid w:val="001709B3"/>
    <w:rsid w:val="001709C8"/>
    <w:rsid w:val="00170CEC"/>
    <w:rsid w:val="00170D02"/>
    <w:rsid w:val="00170D1F"/>
    <w:rsid w:val="00170F0C"/>
    <w:rsid w:val="00170F3D"/>
    <w:rsid w:val="00171197"/>
    <w:rsid w:val="00171276"/>
    <w:rsid w:val="00171296"/>
    <w:rsid w:val="00171391"/>
    <w:rsid w:val="00171477"/>
    <w:rsid w:val="001714BE"/>
    <w:rsid w:val="00171527"/>
    <w:rsid w:val="00171680"/>
    <w:rsid w:val="0017172B"/>
    <w:rsid w:val="0017189C"/>
    <w:rsid w:val="00171C01"/>
    <w:rsid w:val="00171C53"/>
    <w:rsid w:val="00171CEA"/>
    <w:rsid w:val="00171D40"/>
    <w:rsid w:val="00171E10"/>
    <w:rsid w:val="00171FD5"/>
    <w:rsid w:val="00172179"/>
    <w:rsid w:val="001721CA"/>
    <w:rsid w:val="00172234"/>
    <w:rsid w:val="0017228A"/>
    <w:rsid w:val="001722F9"/>
    <w:rsid w:val="0017244D"/>
    <w:rsid w:val="001725D3"/>
    <w:rsid w:val="00172633"/>
    <w:rsid w:val="00172690"/>
    <w:rsid w:val="00172744"/>
    <w:rsid w:val="00172BF5"/>
    <w:rsid w:val="00172C10"/>
    <w:rsid w:val="00172C73"/>
    <w:rsid w:val="00172C84"/>
    <w:rsid w:val="00172C8C"/>
    <w:rsid w:val="00172DCB"/>
    <w:rsid w:val="00172DF7"/>
    <w:rsid w:val="00172FE9"/>
    <w:rsid w:val="00173299"/>
    <w:rsid w:val="001732C0"/>
    <w:rsid w:val="0017334D"/>
    <w:rsid w:val="001733B9"/>
    <w:rsid w:val="0017357C"/>
    <w:rsid w:val="0017358E"/>
    <w:rsid w:val="001735A6"/>
    <w:rsid w:val="0017368C"/>
    <w:rsid w:val="00173757"/>
    <w:rsid w:val="00173806"/>
    <w:rsid w:val="0017387F"/>
    <w:rsid w:val="00173A17"/>
    <w:rsid w:val="00173C01"/>
    <w:rsid w:val="00173E09"/>
    <w:rsid w:val="00173E73"/>
    <w:rsid w:val="0017415F"/>
    <w:rsid w:val="001741D3"/>
    <w:rsid w:val="001743D9"/>
    <w:rsid w:val="001743F3"/>
    <w:rsid w:val="00174529"/>
    <w:rsid w:val="00174627"/>
    <w:rsid w:val="00174733"/>
    <w:rsid w:val="001749F5"/>
    <w:rsid w:val="00174A10"/>
    <w:rsid w:val="00174B69"/>
    <w:rsid w:val="00174DE3"/>
    <w:rsid w:val="00174EEE"/>
    <w:rsid w:val="00174FA4"/>
    <w:rsid w:val="00175118"/>
    <w:rsid w:val="001751A9"/>
    <w:rsid w:val="001752F3"/>
    <w:rsid w:val="0017532C"/>
    <w:rsid w:val="00175418"/>
    <w:rsid w:val="00175664"/>
    <w:rsid w:val="0017571E"/>
    <w:rsid w:val="001757D9"/>
    <w:rsid w:val="001757F9"/>
    <w:rsid w:val="00175C85"/>
    <w:rsid w:val="00175DB1"/>
    <w:rsid w:val="00175E7D"/>
    <w:rsid w:val="0017622B"/>
    <w:rsid w:val="00176289"/>
    <w:rsid w:val="00176447"/>
    <w:rsid w:val="001764AD"/>
    <w:rsid w:val="0017657B"/>
    <w:rsid w:val="0017684B"/>
    <w:rsid w:val="001768CA"/>
    <w:rsid w:val="001769AA"/>
    <w:rsid w:val="00176A21"/>
    <w:rsid w:val="00176A64"/>
    <w:rsid w:val="00176A8F"/>
    <w:rsid w:val="00176AFF"/>
    <w:rsid w:val="00176B17"/>
    <w:rsid w:val="00176DBF"/>
    <w:rsid w:val="00176DD0"/>
    <w:rsid w:val="00176DDB"/>
    <w:rsid w:val="00176E08"/>
    <w:rsid w:val="00177097"/>
    <w:rsid w:val="0017723E"/>
    <w:rsid w:val="001772EC"/>
    <w:rsid w:val="00177399"/>
    <w:rsid w:val="001773AD"/>
    <w:rsid w:val="001773E8"/>
    <w:rsid w:val="001775C8"/>
    <w:rsid w:val="00177809"/>
    <w:rsid w:val="0017780D"/>
    <w:rsid w:val="00177840"/>
    <w:rsid w:val="0017798F"/>
    <w:rsid w:val="00177A79"/>
    <w:rsid w:val="00177CB9"/>
    <w:rsid w:val="00177D19"/>
    <w:rsid w:val="00180052"/>
    <w:rsid w:val="00180120"/>
    <w:rsid w:val="00180183"/>
    <w:rsid w:val="00180209"/>
    <w:rsid w:val="001803DC"/>
    <w:rsid w:val="00180415"/>
    <w:rsid w:val="00180434"/>
    <w:rsid w:val="00180496"/>
    <w:rsid w:val="0018051F"/>
    <w:rsid w:val="00180586"/>
    <w:rsid w:val="00180759"/>
    <w:rsid w:val="001807B0"/>
    <w:rsid w:val="001808A0"/>
    <w:rsid w:val="00180AD0"/>
    <w:rsid w:val="00180C1F"/>
    <w:rsid w:val="00180DD7"/>
    <w:rsid w:val="00180E86"/>
    <w:rsid w:val="0018100F"/>
    <w:rsid w:val="00181054"/>
    <w:rsid w:val="00181058"/>
    <w:rsid w:val="0018111E"/>
    <w:rsid w:val="00181312"/>
    <w:rsid w:val="001813DA"/>
    <w:rsid w:val="00181453"/>
    <w:rsid w:val="00181692"/>
    <w:rsid w:val="0018173A"/>
    <w:rsid w:val="00181781"/>
    <w:rsid w:val="001817AA"/>
    <w:rsid w:val="00181888"/>
    <w:rsid w:val="00181890"/>
    <w:rsid w:val="001819AB"/>
    <w:rsid w:val="001819F9"/>
    <w:rsid w:val="00181AD2"/>
    <w:rsid w:val="00181B0B"/>
    <w:rsid w:val="00181BD9"/>
    <w:rsid w:val="00181BF7"/>
    <w:rsid w:val="00181E0C"/>
    <w:rsid w:val="00181E23"/>
    <w:rsid w:val="00181E8B"/>
    <w:rsid w:val="00181ED8"/>
    <w:rsid w:val="00181FE7"/>
    <w:rsid w:val="00182295"/>
    <w:rsid w:val="00182346"/>
    <w:rsid w:val="00182405"/>
    <w:rsid w:val="00182417"/>
    <w:rsid w:val="001824D5"/>
    <w:rsid w:val="001825D6"/>
    <w:rsid w:val="001825E2"/>
    <w:rsid w:val="001825F9"/>
    <w:rsid w:val="00182655"/>
    <w:rsid w:val="0018266D"/>
    <w:rsid w:val="001826BF"/>
    <w:rsid w:val="00182751"/>
    <w:rsid w:val="0018288D"/>
    <w:rsid w:val="0018293C"/>
    <w:rsid w:val="001829D9"/>
    <w:rsid w:val="00182A2A"/>
    <w:rsid w:val="00182B02"/>
    <w:rsid w:val="00182B0C"/>
    <w:rsid w:val="00182BD8"/>
    <w:rsid w:val="00182C7B"/>
    <w:rsid w:val="00182D6C"/>
    <w:rsid w:val="00182D76"/>
    <w:rsid w:val="00182E02"/>
    <w:rsid w:val="00182E3E"/>
    <w:rsid w:val="00182EB9"/>
    <w:rsid w:val="00182EDA"/>
    <w:rsid w:val="00182EE9"/>
    <w:rsid w:val="00183038"/>
    <w:rsid w:val="0018331A"/>
    <w:rsid w:val="0018341D"/>
    <w:rsid w:val="00183436"/>
    <w:rsid w:val="001836DF"/>
    <w:rsid w:val="001836E4"/>
    <w:rsid w:val="00183770"/>
    <w:rsid w:val="0018397C"/>
    <w:rsid w:val="0018399D"/>
    <w:rsid w:val="001839E6"/>
    <w:rsid w:val="00183B20"/>
    <w:rsid w:val="00183BEC"/>
    <w:rsid w:val="00183D05"/>
    <w:rsid w:val="00183D4A"/>
    <w:rsid w:val="00183DA7"/>
    <w:rsid w:val="00183EFD"/>
    <w:rsid w:val="00184025"/>
    <w:rsid w:val="001840C5"/>
    <w:rsid w:val="00184171"/>
    <w:rsid w:val="0018430F"/>
    <w:rsid w:val="00184414"/>
    <w:rsid w:val="0018441F"/>
    <w:rsid w:val="0018447A"/>
    <w:rsid w:val="00184540"/>
    <w:rsid w:val="0018460D"/>
    <w:rsid w:val="00184610"/>
    <w:rsid w:val="00184638"/>
    <w:rsid w:val="00184685"/>
    <w:rsid w:val="00184826"/>
    <w:rsid w:val="0018488B"/>
    <w:rsid w:val="0018497B"/>
    <w:rsid w:val="00184A26"/>
    <w:rsid w:val="00184AE2"/>
    <w:rsid w:val="00184AE7"/>
    <w:rsid w:val="00184AEA"/>
    <w:rsid w:val="00184BBB"/>
    <w:rsid w:val="00184D83"/>
    <w:rsid w:val="00184D95"/>
    <w:rsid w:val="00184F96"/>
    <w:rsid w:val="00184FBD"/>
    <w:rsid w:val="001851A1"/>
    <w:rsid w:val="0018527C"/>
    <w:rsid w:val="00185387"/>
    <w:rsid w:val="001856F6"/>
    <w:rsid w:val="00185975"/>
    <w:rsid w:val="0018597E"/>
    <w:rsid w:val="00185C82"/>
    <w:rsid w:val="00185D25"/>
    <w:rsid w:val="00185D2E"/>
    <w:rsid w:val="00185F23"/>
    <w:rsid w:val="00185F91"/>
    <w:rsid w:val="0018609A"/>
    <w:rsid w:val="001860F2"/>
    <w:rsid w:val="0018636E"/>
    <w:rsid w:val="00186504"/>
    <w:rsid w:val="0018656E"/>
    <w:rsid w:val="00186574"/>
    <w:rsid w:val="001868CE"/>
    <w:rsid w:val="001868EF"/>
    <w:rsid w:val="00186957"/>
    <w:rsid w:val="00186A09"/>
    <w:rsid w:val="00186B09"/>
    <w:rsid w:val="00186D6B"/>
    <w:rsid w:val="00186D7D"/>
    <w:rsid w:val="00186E92"/>
    <w:rsid w:val="00186E96"/>
    <w:rsid w:val="00186F75"/>
    <w:rsid w:val="00186F8C"/>
    <w:rsid w:val="00187076"/>
    <w:rsid w:val="0018733A"/>
    <w:rsid w:val="00187401"/>
    <w:rsid w:val="00187423"/>
    <w:rsid w:val="001877AC"/>
    <w:rsid w:val="001877DA"/>
    <w:rsid w:val="00187836"/>
    <w:rsid w:val="0018785A"/>
    <w:rsid w:val="001878B0"/>
    <w:rsid w:val="00187901"/>
    <w:rsid w:val="00187C7E"/>
    <w:rsid w:val="00187EA3"/>
    <w:rsid w:val="00187F6F"/>
    <w:rsid w:val="00187F7C"/>
    <w:rsid w:val="0019015A"/>
    <w:rsid w:val="00190174"/>
    <w:rsid w:val="0019021E"/>
    <w:rsid w:val="0019022B"/>
    <w:rsid w:val="001903A6"/>
    <w:rsid w:val="001903BC"/>
    <w:rsid w:val="0019047D"/>
    <w:rsid w:val="001905F6"/>
    <w:rsid w:val="001908DD"/>
    <w:rsid w:val="00190965"/>
    <w:rsid w:val="001909D5"/>
    <w:rsid w:val="00190A4B"/>
    <w:rsid w:val="00190A68"/>
    <w:rsid w:val="00190AEF"/>
    <w:rsid w:val="00190C14"/>
    <w:rsid w:val="00190C9B"/>
    <w:rsid w:val="00190DE0"/>
    <w:rsid w:val="00190E07"/>
    <w:rsid w:val="00190EB7"/>
    <w:rsid w:val="0019101B"/>
    <w:rsid w:val="00191062"/>
    <w:rsid w:val="00191076"/>
    <w:rsid w:val="001910F0"/>
    <w:rsid w:val="00191256"/>
    <w:rsid w:val="001918E3"/>
    <w:rsid w:val="001919D1"/>
    <w:rsid w:val="00191C64"/>
    <w:rsid w:val="00191E6F"/>
    <w:rsid w:val="00192078"/>
    <w:rsid w:val="0019226A"/>
    <w:rsid w:val="001924C2"/>
    <w:rsid w:val="0019252D"/>
    <w:rsid w:val="00192593"/>
    <w:rsid w:val="001926B9"/>
    <w:rsid w:val="0019273E"/>
    <w:rsid w:val="001929DA"/>
    <w:rsid w:val="00192A61"/>
    <w:rsid w:val="00192B87"/>
    <w:rsid w:val="00192D1A"/>
    <w:rsid w:val="00192DCE"/>
    <w:rsid w:val="00192E13"/>
    <w:rsid w:val="00192E31"/>
    <w:rsid w:val="00193124"/>
    <w:rsid w:val="001931D7"/>
    <w:rsid w:val="00193210"/>
    <w:rsid w:val="00193517"/>
    <w:rsid w:val="001937BF"/>
    <w:rsid w:val="001937DB"/>
    <w:rsid w:val="001938DE"/>
    <w:rsid w:val="00193960"/>
    <w:rsid w:val="001939C9"/>
    <w:rsid w:val="001939D9"/>
    <w:rsid w:val="00193B5C"/>
    <w:rsid w:val="00193C74"/>
    <w:rsid w:val="00193CAA"/>
    <w:rsid w:val="00193E97"/>
    <w:rsid w:val="00193EB1"/>
    <w:rsid w:val="00194073"/>
    <w:rsid w:val="001940AD"/>
    <w:rsid w:val="00194170"/>
    <w:rsid w:val="001941E7"/>
    <w:rsid w:val="00194245"/>
    <w:rsid w:val="00194314"/>
    <w:rsid w:val="0019450A"/>
    <w:rsid w:val="0019450F"/>
    <w:rsid w:val="00194585"/>
    <w:rsid w:val="001945FF"/>
    <w:rsid w:val="00194608"/>
    <w:rsid w:val="001947CF"/>
    <w:rsid w:val="0019495B"/>
    <w:rsid w:val="00194976"/>
    <w:rsid w:val="00194B3D"/>
    <w:rsid w:val="00194C07"/>
    <w:rsid w:val="00194C63"/>
    <w:rsid w:val="00194E6E"/>
    <w:rsid w:val="0019506C"/>
    <w:rsid w:val="00195109"/>
    <w:rsid w:val="0019522E"/>
    <w:rsid w:val="00195271"/>
    <w:rsid w:val="0019529D"/>
    <w:rsid w:val="001952EE"/>
    <w:rsid w:val="00195317"/>
    <w:rsid w:val="00195382"/>
    <w:rsid w:val="001953F6"/>
    <w:rsid w:val="00195500"/>
    <w:rsid w:val="00195665"/>
    <w:rsid w:val="00195780"/>
    <w:rsid w:val="001959AD"/>
    <w:rsid w:val="00195C3B"/>
    <w:rsid w:val="00195D46"/>
    <w:rsid w:val="00195EAE"/>
    <w:rsid w:val="0019623E"/>
    <w:rsid w:val="00196250"/>
    <w:rsid w:val="00196315"/>
    <w:rsid w:val="00196435"/>
    <w:rsid w:val="001965A0"/>
    <w:rsid w:val="001965E4"/>
    <w:rsid w:val="001966FE"/>
    <w:rsid w:val="0019693F"/>
    <w:rsid w:val="00196940"/>
    <w:rsid w:val="00196B1F"/>
    <w:rsid w:val="00196B8F"/>
    <w:rsid w:val="00196B9C"/>
    <w:rsid w:val="00196F60"/>
    <w:rsid w:val="00196FD8"/>
    <w:rsid w:val="001970DC"/>
    <w:rsid w:val="001971B3"/>
    <w:rsid w:val="001971F4"/>
    <w:rsid w:val="00197340"/>
    <w:rsid w:val="001973AD"/>
    <w:rsid w:val="0019742A"/>
    <w:rsid w:val="001974A5"/>
    <w:rsid w:val="0019755D"/>
    <w:rsid w:val="001976D8"/>
    <w:rsid w:val="001976F4"/>
    <w:rsid w:val="0019777C"/>
    <w:rsid w:val="0019796B"/>
    <w:rsid w:val="00197B48"/>
    <w:rsid w:val="00197B98"/>
    <w:rsid w:val="00197BDF"/>
    <w:rsid w:val="00197E5B"/>
    <w:rsid w:val="00197E9E"/>
    <w:rsid w:val="001A0603"/>
    <w:rsid w:val="001A0651"/>
    <w:rsid w:val="001A06F0"/>
    <w:rsid w:val="001A0707"/>
    <w:rsid w:val="001A0978"/>
    <w:rsid w:val="001A09A0"/>
    <w:rsid w:val="001A09DD"/>
    <w:rsid w:val="001A0A89"/>
    <w:rsid w:val="001A0A8D"/>
    <w:rsid w:val="001A0B44"/>
    <w:rsid w:val="001A0B50"/>
    <w:rsid w:val="001A0C78"/>
    <w:rsid w:val="001A0CB1"/>
    <w:rsid w:val="001A0F6A"/>
    <w:rsid w:val="001A10B1"/>
    <w:rsid w:val="001A10C9"/>
    <w:rsid w:val="001A116A"/>
    <w:rsid w:val="001A118B"/>
    <w:rsid w:val="001A127A"/>
    <w:rsid w:val="001A13B1"/>
    <w:rsid w:val="001A13C3"/>
    <w:rsid w:val="001A13EF"/>
    <w:rsid w:val="001A1424"/>
    <w:rsid w:val="001A14C2"/>
    <w:rsid w:val="001A1679"/>
    <w:rsid w:val="001A1867"/>
    <w:rsid w:val="001A19E1"/>
    <w:rsid w:val="001A1CA3"/>
    <w:rsid w:val="001A1D51"/>
    <w:rsid w:val="001A1E18"/>
    <w:rsid w:val="001A1E63"/>
    <w:rsid w:val="001A1E90"/>
    <w:rsid w:val="001A1EFD"/>
    <w:rsid w:val="001A1F43"/>
    <w:rsid w:val="001A2026"/>
    <w:rsid w:val="001A2130"/>
    <w:rsid w:val="001A2328"/>
    <w:rsid w:val="001A235A"/>
    <w:rsid w:val="001A24A2"/>
    <w:rsid w:val="001A25BD"/>
    <w:rsid w:val="001A261E"/>
    <w:rsid w:val="001A2793"/>
    <w:rsid w:val="001A2836"/>
    <w:rsid w:val="001A2882"/>
    <w:rsid w:val="001A2919"/>
    <w:rsid w:val="001A2A39"/>
    <w:rsid w:val="001A2BA1"/>
    <w:rsid w:val="001A2C6F"/>
    <w:rsid w:val="001A2CB7"/>
    <w:rsid w:val="001A2E26"/>
    <w:rsid w:val="001A2EB4"/>
    <w:rsid w:val="001A307C"/>
    <w:rsid w:val="001A33CF"/>
    <w:rsid w:val="001A3545"/>
    <w:rsid w:val="001A38EA"/>
    <w:rsid w:val="001A39B2"/>
    <w:rsid w:val="001A3C1D"/>
    <w:rsid w:val="001A3C1F"/>
    <w:rsid w:val="001A4092"/>
    <w:rsid w:val="001A4159"/>
    <w:rsid w:val="001A42B0"/>
    <w:rsid w:val="001A43CC"/>
    <w:rsid w:val="001A4471"/>
    <w:rsid w:val="001A472F"/>
    <w:rsid w:val="001A48A0"/>
    <w:rsid w:val="001A494A"/>
    <w:rsid w:val="001A4955"/>
    <w:rsid w:val="001A4A2F"/>
    <w:rsid w:val="001A4A79"/>
    <w:rsid w:val="001A4AAF"/>
    <w:rsid w:val="001A4EE6"/>
    <w:rsid w:val="001A4FB4"/>
    <w:rsid w:val="001A4FEA"/>
    <w:rsid w:val="001A509E"/>
    <w:rsid w:val="001A510B"/>
    <w:rsid w:val="001A5301"/>
    <w:rsid w:val="001A539B"/>
    <w:rsid w:val="001A55AB"/>
    <w:rsid w:val="001A56D3"/>
    <w:rsid w:val="001A578D"/>
    <w:rsid w:val="001A5B26"/>
    <w:rsid w:val="001A5F7C"/>
    <w:rsid w:val="001A5F90"/>
    <w:rsid w:val="001A6236"/>
    <w:rsid w:val="001A6532"/>
    <w:rsid w:val="001A658C"/>
    <w:rsid w:val="001A65E8"/>
    <w:rsid w:val="001A6660"/>
    <w:rsid w:val="001A6679"/>
    <w:rsid w:val="001A685D"/>
    <w:rsid w:val="001A68CA"/>
    <w:rsid w:val="001A6945"/>
    <w:rsid w:val="001A6A73"/>
    <w:rsid w:val="001A6A84"/>
    <w:rsid w:val="001A6BCB"/>
    <w:rsid w:val="001A6D53"/>
    <w:rsid w:val="001A6D7F"/>
    <w:rsid w:val="001A6DAF"/>
    <w:rsid w:val="001A6EAB"/>
    <w:rsid w:val="001A6FAA"/>
    <w:rsid w:val="001A6FC2"/>
    <w:rsid w:val="001A7072"/>
    <w:rsid w:val="001A717A"/>
    <w:rsid w:val="001A7285"/>
    <w:rsid w:val="001A7368"/>
    <w:rsid w:val="001A7715"/>
    <w:rsid w:val="001A782E"/>
    <w:rsid w:val="001A784C"/>
    <w:rsid w:val="001A78F5"/>
    <w:rsid w:val="001A7983"/>
    <w:rsid w:val="001A7988"/>
    <w:rsid w:val="001A7A52"/>
    <w:rsid w:val="001A7B6E"/>
    <w:rsid w:val="001A7BD7"/>
    <w:rsid w:val="001A7C4B"/>
    <w:rsid w:val="001A7CC8"/>
    <w:rsid w:val="001A7ED7"/>
    <w:rsid w:val="001A7F0E"/>
    <w:rsid w:val="001A7FB7"/>
    <w:rsid w:val="001B012B"/>
    <w:rsid w:val="001B0238"/>
    <w:rsid w:val="001B024C"/>
    <w:rsid w:val="001B03F5"/>
    <w:rsid w:val="001B05E3"/>
    <w:rsid w:val="001B0745"/>
    <w:rsid w:val="001B07CF"/>
    <w:rsid w:val="001B08DE"/>
    <w:rsid w:val="001B0BFE"/>
    <w:rsid w:val="001B0EC3"/>
    <w:rsid w:val="001B104A"/>
    <w:rsid w:val="001B1232"/>
    <w:rsid w:val="001B123E"/>
    <w:rsid w:val="001B1368"/>
    <w:rsid w:val="001B1371"/>
    <w:rsid w:val="001B13F1"/>
    <w:rsid w:val="001B146F"/>
    <w:rsid w:val="001B1526"/>
    <w:rsid w:val="001B18BD"/>
    <w:rsid w:val="001B19A0"/>
    <w:rsid w:val="001B1B19"/>
    <w:rsid w:val="001B1C41"/>
    <w:rsid w:val="001B1CCC"/>
    <w:rsid w:val="001B1D07"/>
    <w:rsid w:val="001B1DF1"/>
    <w:rsid w:val="001B1E8A"/>
    <w:rsid w:val="001B1FA5"/>
    <w:rsid w:val="001B207A"/>
    <w:rsid w:val="001B2270"/>
    <w:rsid w:val="001B24C4"/>
    <w:rsid w:val="001B25AB"/>
    <w:rsid w:val="001B25B2"/>
    <w:rsid w:val="001B2789"/>
    <w:rsid w:val="001B2855"/>
    <w:rsid w:val="001B28F4"/>
    <w:rsid w:val="001B2CA4"/>
    <w:rsid w:val="001B2CC8"/>
    <w:rsid w:val="001B2E2A"/>
    <w:rsid w:val="001B2E61"/>
    <w:rsid w:val="001B3029"/>
    <w:rsid w:val="001B318A"/>
    <w:rsid w:val="001B3241"/>
    <w:rsid w:val="001B3298"/>
    <w:rsid w:val="001B34F0"/>
    <w:rsid w:val="001B350E"/>
    <w:rsid w:val="001B35F8"/>
    <w:rsid w:val="001B383C"/>
    <w:rsid w:val="001B3956"/>
    <w:rsid w:val="001B39A5"/>
    <w:rsid w:val="001B3BB7"/>
    <w:rsid w:val="001B3CA5"/>
    <w:rsid w:val="001B3D08"/>
    <w:rsid w:val="001B3DAF"/>
    <w:rsid w:val="001B3E6A"/>
    <w:rsid w:val="001B3F9F"/>
    <w:rsid w:val="001B3FAF"/>
    <w:rsid w:val="001B4023"/>
    <w:rsid w:val="001B424F"/>
    <w:rsid w:val="001B426E"/>
    <w:rsid w:val="001B430B"/>
    <w:rsid w:val="001B4500"/>
    <w:rsid w:val="001B46DB"/>
    <w:rsid w:val="001B48BF"/>
    <w:rsid w:val="001B48F7"/>
    <w:rsid w:val="001B494B"/>
    <w:rsid w:val="001B4D76"/>
    <w:rsid w:val="001B4DB8"/>
    <w:rsid w:val="001B4DE4"/>
    <w:rsid w:val="001B4EEF"/>
    <w:rsid w:val="001B4F47"/>
    <w:rsid w:val="001B507F"/>
    <w:rsid w:val="001B50DE"/>
    <w:rsid w:val="001B51A2"/>
    <w:rsid w:val="001B5205"/>
    <w:rsid w:val="001B541F"/>
    <w:rsid w:val="001B548A"/>
    <w:rsid w:val="001B54D0"/>
    <w:rsid w:val="001B5665"/>
    <w:rsid w:val="001B5669"/>
    <w:rsid w:val="001B5952"/>
    <w:rsid w:val="001B5BC3"/>
    <w:rsid w:val="001B5F5A"/>
    <w:rsid w:val="001B5FF1"/>
    <w:rsid w:val="001B6249"/>
    <w:rsid w:val="001B63BF"/>
    <w:rsid w:val="001B6423"/>
    <w:rsid w:val="001B64E6"/>
    <w:rsid w:val="001B6693"/>
    <w:rsid w:val="001B698C"/>
    <w:rsid w:val="001B6AA2"/>
    <w:rsid w:val="001B6C43"/>
    <w:rsid w:val="001B6D18"/>
    <w:rsid w:val="001B6E11"/>
    <w:rsid w:val="001B6E36"/>
    <w:rsid w:val="001B7302"/>
    <w:rsid w:val="001B73E5"/>
    <w:rsid w:val="001B746C"/>
    <w:rsid w:val="001B7650"/>
    <w:rsid w:val="001B7941"/>
    <w:rsid w:val="001B7948"/>
    <w:rsid w:val="001B7969"/>
    <w:rsid w:val="001B7A04"/>
    <w:rsid w:val="001B7D51"/>
    <w:rsid w:val="001B7EE5"/>
    <w:rsid w:val="001B7F13"/>
    <w:rsid w:val="001C00A0"/>
    <w:rsid w:val="001C00A1"/>
    <w:rsid w:val="001C0253"/>
    <w:rsid w:val="001C027E"/>
    <w:rsid w:val="001C0392"/>
    <w:rsid w:val="001C042D"/>
    <w:rsid w:val="001C0493"/>
    <w:rsid w:val="001C04AD"/>
    <w:rsid w:val="001C06EB"/>
    <w:rsid w:val="001C07CE"/>
    <w:rsid w:val="001C0AC3"/>
    <w:rsid w:val="001C0AD7"/>
    <w:rsid w:val="001C0AEA"/>
    <w:rsid w:val="001C0BB8"/>
    <w:rsid w:val="001C0CBF"/>
    <w:rsid w:val="001C0CDF"/>
    <w:rsid w:val="001C0D73"/>
    <w:rsid w:val="001C0ED1"/>
    <w:rsid w:val="001C0F21"/>
    <w:rsid w:val="001C1034"/>
    <w:rsid w:val="001C1050"/>
    <w:rsid w:val="001C12CD"/>
    <w:rsid w:val="001C13D9"/>
    <w:rsid w:val="001C1449"/>
    <w:rsid w:val="001C1451"/>
    <w:rsid w:val="001C145A"/>
    <w:rsid w:val="001C1474"/>
    <w:rsid w:val="001C14FF"/>
    <w:rsid w:val="001C1512"/>
    <w:rsid w:val="001C1645"/>
    <w:rsid w:val="001C171B"/>
    <w:rsid w:val="001C1A2F"/>
    <w:rsid w:val="001C1BC6"/>
    <w:rsid w:val="001C1BE7"/>
    <w:rsid w:val="001C1BFA"/>
    <w:rsid w:val="001C1D24"/>
    <w:rsid w:val="001C1EE1"/>
    <w:rsid w:val="001C1F05"/>
    <w:rsid w:val="001C2131"/>
    <w:rsid w:val="001C214D"/>
    <w:rsid w:val="001C2257"/>
    <w:rsid w:val="001C2455"/>
    <w:rsid w:val="001C2529"/>
    <w:rsid w:val="001C2555"/>
    <w:rsid w:val="001C2679"/>
    <w:rsid w:val="001C26D3"/>
    <w:rsid w:val="001C26ED"/>
    <w:rsid w:val="001C279F"/>
    <w:rsid w:val="001C27A6"/>
    <w:rsid w:val="001C2848"/>
    <w:rsid w:val="001C28D6"/>
    <w:rsid w:val="001C2949"/>
    <w:rsid w:val="001C2A38"/>
    <w:rsid w:val="001C2ACC"/>
    <w:rsid w:val="001C2D7F"/>
    <w:rsid w:val="001C2D95"/>
    <w:rsid w:val="001C2E2F"/>
    <w:rsid w:val="001C2FAC"/>
    <w:rsid w:val="001C2FEC"/>
    <w:rsid w:val="001C30D5"/>
    <w:rsid w:val="001C31CD"/>
    <w:rsid w:val="001C31D1"/>
    <w:rsid w:val="001C32EF"/>
    <w:rsid w:val="001C33EB"/>
    <w:rsid w:val="001C340A"/>
    <w:rsid w:val="001C3440"/>
    <w:rsid w:val="001C36FD"/>
    <w:rsid w:val="001C3716"/>
    <w:rsid w:val="001C38A9"/>
    <w:rsid w:val="001C3A2C"/>
    <w:rsid w:val="001C3B37"/>
    <w:rsid w:val="001C3BA4"/>
    <w:rsid w:val="001C3E9A"/>
    <w:rsid w:val="001C3FE5"/>
    <w:rsid w:val="001C410F"/>
    <w:rsid w:val="001C421D"/>
    <w:rsid w:val="001C424C"/>
    <w:rsid w:val="001C4273"/>
    <w:rsid w:val="001C4595"/>
    <w:rsid w:val="001C45B7"/>
    <w:rsid w:val="001C45F6"/>
    <w:rsid w:val="001C4694"/>
    <w:rsid w:val="001C4773"/>
    <w:rsid w:val="001C4790"/>
    <w:rsid w:val="001C4833"/>
    <w:rsid w:val="001C4837"/>
    <w:rsid w:val="001C4989"/>
    <w:rsid w:val="001C49C2"/>
    <w:rsid w:val="001C4C24"/>
    <w:rsid w:val="001C4C43"/>
    <w:rsid w:val="001C4E57"/>
    <w:rsid w:val="001C4E6C"/>
    <w:rsid w:val="001C4FF3"/>
    <w:rsid w:val="001C509B"/>
    <w:rsid w:val="001C50C6"/>
    <w:rsid w:val="001C5303"/>
    <w:rsid w:val="001C531E"/>
    <w:rsid w:val="001C5433"/>
    <w:rsid w:val="001C54ED"/>
    <w:rsid w:val="001C5539"/>
    <w:rsid w:val="001C56EB"/>
    <w:rsid w:val="001C5AB1"/>
    <w:rsid w:val="001C5AFA"/>
    <w:rsid w:val="001C5CEA"/>
    <w:rsid w:val="001C5ECA"/>
    <w:rsid w:val="001C5F21"/>
    <w:rsid w:val="001C5F56"/>
    <w:rsid w:val="001C609D"/>
    <w:rsid w:val="001C6284"/>
    <w:rsid w:val="001C65FE"/>
    <w:rsid w:val="001C66AF"/>
    <w:rsid w:val="001C673E"/>
    <w:rsid w:val="001C6ABC"/>
    <w:rsid w:val="001C6BB2"/>
    <w:rsid w:val="001C6CDC"/>
    <w:rsid w:val="001C6E5B"/>
    <w:rsid w:val="001C7009"/>
    <w:rsid w:val="001C7059"/>
    <w:rsid w:val="001C705A"/>
    <w:rsid w:val="001C7157"/>
    <w:rsid w:val="001C72BF"/>
    <w:rsid w:val="001C72F4"/>
    <w:rsid w:val="001C7477"/>
    <w:rsid w:val="001C753E"/>
    <w:rsid w:val="001C75C2"/>
    <w:rsid w:val="001C76C4"/>
    <w:rsid w:val="001C7762"/>
    <w:rsid w:val="001C77A6"/>
    <w:rsid w:val="001C77E6"/>
    <w:rsid w:val="001C7874"/>
    <w:rsid w:val="001C79E7"/>
    <w:rsid w:val="001C7CB0"/>
    <w:rsid w:val="001C7D1C"/>
    <w:rsid w:val="001C7D78"/>
    <w:rsid w:val="001C7DD3"/>
    <w:rsid w:val="001C7F3A"/>
    <w:rsid w:val="001C7FD7"/>
    <w:rsid w:val="001CE2FD"/>
    <w:rsid w:val="001D0051"/>
    <w:rsid w:val="001D0168"/>
    <w:rsid w:val="001D0251"/>
    <w:rsid w:val="001D0602"/>
    <w:rsid w:val="001D0934"/>
    <w:rsid w:val="001D0AF6"/>
    <w:rsid w:val="001D0B4B"/>
    <w:rsid w:val="001D0C26"/>
    <w:rsid w:val="001D0DBF"/>
    <w:rsid w:val="001D128C"/>
    <w:rsid w:val="001D149D"/>
    <w:rsid w:val="001D14C8"/>
    <w:rsid w:val="001D159B"/>
    <w:rsid w:val="001D15EF"/>
    <w:rsid w:val="001D1672"/>
    <w:rsid w:val="001D16A8"/>
    <w:rsid w:val="001D1714"/>
    <w:rsid w:val="001D172A"/>
    <w:rsid w:val="001D1A66"/>
    <w:rsid w:val="001D1A76"/>
    <w:rsid w:val="001D1AE9"/>
    <w:rsid w:val="001D1C0D"/>
    <w:rsid w:val="001D1C4B"/>
    <w:rsid w:val="001D1C93"/>
    <w:rsid w:val="001D1C9F"/>
    <w:rsid w:val="001D1D9C"/>
    <w:rsid w:val="001D1EBB"/>
    <w:rsid w:val="001D1F29"/>
    <w:rsid w:val="001D1F7B"/>
    <w:rsid w:val="001D2098"/>
    <w:rsid w:val="001D2110"/>
    <w:rsid w:val="001D2372"/>
    <w:rsid w:val="001D2488"/>
    <w:rsid w:val="001D25D5"/>
    <w:rsid w:val="001D26B9"/>
    <w:rsid w:val="001D2762"/>
    <w:rsid w:val="001D2A2C"/>
    <w:rsid w:val="001D2D0C"/>
    <w:rsid w:val="001D32C9"/>
    <w:rsid w:val="001D332E"/>
    <w:rsid w:val="001D3355"/>
    <w:rsid w:val="001D3436"/>
    <w:rsid w:val="001D350F"/>
    <w:rsid w:val="001D354E"/>
    <w:rsid w:val="001D369F"/>
    <w:rsid w:val="001D36C5"/>
    <w:rsid w:val="001D376B"/>
    <w:rsid w:val="001D37B9"/>
    <w:rsid w:val="001D3837"/>
    <w:rsid w:val="001D389F"/>
    <w:rsid w:val="001D38FE"/>
    <w:rsid w:val="001D3923"/>
    <w:rsid w:val="001D39CE"/>
    <w:rsid w:val="001D3A0B"/>
    <w:rsid w:val="001D3ACE"/>
    <w:rsid w:val="001D3B7E"/>
    <w:rsid w:val="001D3BA1"/>
    <w:rsid w:val="001D3C4A"/>
    <w:rsid w:val="001D3D7A"/>
    <w:rsid w:val="001D3E71"/>
    <w:rsid w:val="001D4029"/>
    <w:rsid w:val="001D40C5"/>
    <w:rsid w:val="001D42C2"/>
    <w:rsid w:val="001D4407"/>
    <w:rsid w:val="001D4428"/>
    <w:rsid w:val="001D4604"/>
    <w:rsid w:val="001D477C"/>
    <w:rsid w:val="001D47BF"/>
    <w:rsid w:val="001D4991"/>
    <w:rsid w:val="001D499E"/>
    <w:rsid w:val="001D4B02"/>
    <w:rsid w:val="001D4B14"/>
    <w:rsid w:val="001D4BFB"/>
    <w:rsid w:val="001D4C23"/>
    <w:rsid w:val="001D4E17"/>
    <w:rsid w:val="001D4E67"/>
    <w:rsid w:val="001D4F51"/>
    <w:rsid w:val="001D4FD7"/>
    <w:rsid w:val="001D504B"/>
    <w:rsid w:val="001D50AE"/>
    <w:rsid w:val="001D51EF"/>
    <w:rsid w:val="001D543A"/>
    <w:rsid w:val="001D5532"/>
    <w:rsid w:val="001D56BA"/>
    <w:rsid w:val="001D56CD"/>
    <w:rsid w:val="001D5763"/>
    <w:rsid w:val="001D580F"/>
    <w:rsid w:val="001D5BE4"/>
    <w:rsid w:val="001D5DDA"/>
    <w:rsid w:val="001D602D"/>
    <w:rsid w:val="001D6158"/>
    <w:rsid w:val="001D62A2"/>
    <w:rsid w:val="001D62F8"/>
    <w:rsid w:val="001D6583"/>
    <w:rsid w:val="001D67D1"/>
    <w:rsid w:val="001D6933"/>
    <w:rsid w:val="001D6B46"/>
    <w:rsid w:val="001D6C02"/>
    <w:rsid w:val="001D6C38"/>
    <w:rsid w:val="001D6D37"/>
    <w:rsid w:val="001D6DB6"/>
    <w:rsid w:val="001D6F50"/>
    <w:rsid w:val="001D7195"/>
    <w:rsid w:val="001D71F3"/>
    <w:rsid w:val="001D72AD"/>
    <w:rsid w:val="001D7321"/>
    <w:rsid w:val="001D73B4"/>
    <w:rsid w:val="001D74BE"/>
    <w:rsid w:val="001D7777"/>
    <w:rsid w:val="001D7853"/>
    <w:rsid w:val="001D7859"/>
    <w:rsid w:val="001D7A04"/>
    <w:rsid w:val="001D7A7E"/>
    <w:rsid w:val="001D7AED"/>
    <w:rsid w:val="001E0361"/>
    <w:rsid w:val="001E038A"/>
    <w:rsid w:val="001E03F4"/>
    <w:rsid w:val="001E041C"/>
    <w:rsid w:val="001E0522"/>
    <w:rsid w:val="001E0686"/>
    <w:rsid w:val="001E07AB"/>
    <w:rsid w:val="001E07EA"/>
    <w:rsid w:val="001E08A5"/>
    <w:rsid w:val="001E08CF"/>
    <w:rsid w:val="001E09B7"/>
    <w:rsid w:val="001E0A00"/>
    <w:rsid w:val="001E0A12"/>
    <w:rsid w:val="001E0ABC"/>
    <w:rsid w:val="001E0B8B"/>
    <w:rsid w:val="001E0BB8"/>
    <w:rsid w:val="001E0D8E"/>
    <w:rsid w:val="001E1014"/>
    <w:rsid w:val="001E12E3"/>
    <w:rsid w:val="001E1403"/>
    <w:rsid w:val="001E14C9"/>
    <w:rsid w:val="001E1568"/>
    <w:rsid w:val="001E1577"/>
    <w:rsid w:val="001E158D"/>
    <w:rsid w:val="001E164B"/>
    <w:rsid w:val="001E168B"/>
    <w:rsid w:val="001E186C"/>
    <w:rsid w:val="001E18BC"/>
    <w:rsid w:val="001E1B79"/>
    <w:rsid w:val="001E1CC8"/>
    <w:rsid w:val="001E20D8"/>
    <w:rsid w:val="001E213A"/>
    <w:rsid w:val="001E226D"/>
    <w:rsid w:val="001E229A"/>
    <w:rsid w:val="001E2367"/>
    <w:rsid w:val="001E2498"/>
    <w:rsid w:val="001E2534"/>
    <w:rsid w:val="001E253B"/>
    <w:rsid w:val="001E2803"/>
    <w:rsid w:val="001E282D"/>
    <w:rsid w:val="001E2855"/>
    <w:rsid w:val="001E286D"/>
    <w:rsid w:val="001E2A4A"/>
    <w:rsid w:val="001E2AA5"/>
    <w:rsid w:val="001E2B1D"/>
    <w:rsid w:val="001E2CBF"/>
    <w:rsid w:val="001E2F2C"/>
    <w:rsid w:val="001E3038"/>
    <w:rsid w:val="001E3228"/>
    <w:rsid w:val="001E325C"/>
    <w:rsid w:val="001E32C6"/>
    <w:rsid w:val="001E34E4"/>
    <w:rsid w:val="001E3643"/>
    <w:rsid w:val="001E367F"/>
    <w:rsid w:val="001E3763"/>
    <w:rsid w:val="001E386A"/>
    <w:rsid w:val="001E386D"/>
    <w:rsid w:val="001E3949"/>
    <w:rsid w:val="001E39C1"/>
    <w:rsid w:val="001E3A91"/>
    <w:rsid w:val="001E3BFD"/>
    <w:rsid w:val="001E3C08"/>
    <w:rsid w:val="001E3C0C"/>
    <w:rsid w:val="001E3C99"/>
    <w:rsid w:val="001E3ECC"/>
    <w:rsid w:val="001E3FA9"/>
    <w:rsid w:val="001E3FBD"/>
    <w:rsid w:val="001E408C"/>
    <w:rsid w:val="001E40F5"/>
    <w:rsid w:val="001E41D0"/>
    <w:rsid w:val="001E427B"/>
    <w:rsid w:val="001E4393"/>
    <w:rsid w:val="001E439D"/>
    <w:rsid w:val="001E444F"/>
    <w:rsid w:val="001E4910"/>
    <w:rsid w:val="001E49DF"/>
    <w:rsid w:val="001E49FA"/>
    <w:rsid w:val="001E4A45"/>
    <w:rsid w:val="001E4A5E"/>
    <w:rsid w:val="001E4AB2"/>
    <w:rsid w:val="001E4AE7"/>
    <w:rsid w:val="001E4B61"/>
    <w:rsid w:val="001E4D66"/>
    <w:rsid w:val="001E4ECC"/>
    <w:rsid w:val="001E4F75"/>
    <w:rsid w:val="001E50CF"/>
    <w:rsid w:val="001E50FC"/>
    <w:rsid w:val="001E51AF"/>
    <w:rsid w:val="001E534F"/>
    <w:rsid w:val="001E5452"/>
    <w:rsid w:val="001E55D7"/>
    <w:rsid w:val="001E55E6"/>
    <w:rsid w:val="001E55FF"/>
    <w:rsid w:val="001E563A"/>
    <w:rsid w:val="001E5678"/>
    <w:rsid w:val="001E575F"/>
    <w:rsid w:val="001E598D"/>
    <w:rsid w:val="001E5A06"/>
    <w:rsid w:val="001E5A43"/>
    <w:rsid w:val="001E5A51"/>
    <w:rsid w:val="001E5AC1"/>
    <w:rsid w:val="001E5CA3"/>
    <w:rsid w:val="001E5D7F"/>
    <w:rsid w:val="001E5E0B"/>
    <w:rsid w:val="001E5F6C"/>
    <w:rsid w:val="001E607F"/>
    <w:rsid w:val="001E610B"/>
    <w:rsid w:val="001E6356"/>
    <w:rsid w:val="001E6457"/>
    <w:rsid w:val="001E658A"/>
    <w:rsid w:val="001E65B9"/>
    <w:rsid w:val="001E68B3"/>
    <w:rsid w:val="001E6968"/>
    <w:rsid w:val="001E6ADE"/>
    <w:rsid w:val="001E6FD8"/>
    <w:rsid w:val="001E7087"/>
    <w:rsid w:val="001E72A1"/>
    <w:rsid w:val="001E74D4"/>
    <w:rsid w:val="001E75FE"/>
    <w:rsid w:val="001E76EA"/>
    <w:rsid w:val="001E77DB"/>
    <w:rsid w:val="001E7843"/>
    <w:rsid w:val="001E798F"/>
    <w:rsid w:val="001E7A28"/>
    <w:rsid w:val="001E7BB8"/>
    <w:rsid w:val="001E7D5C"/>
    <w:rsid w:val="001E7EDA"/>
    <w:rsid w:val="001E7F07"/>
    <w:rsid w:val="001E7F14"/>
    <w:rsid w:val="001F0254"/>
    <w:rsid w:val="001F02DD"/>
    <w:rsid w:val="001F02E2"/>
    <w:rsid w:val="001F02EE"/>
    <w:rsid w:val="001F0495"/>
    <w:rsid w:val="001F0789"/>
    <w:rsid w:val="001F083B"/>
    <w:rsid w:val="001F085B"/>
    <w:rsid w:val="001F0B1C"/>
    <w:rsid w:val="001F0C41"/>
    <w:rsid w:val="001F0EC1"/>
    <w:rsid w:val="001F1138"/>
    <w:rsid w:val="001F1243"/>
    <w:rsid w:val="001F1298"/>
    <w:rsid w:val="001F12C3"/>
    <w:rsid w:val="001F14FF"/>
    <w:rsid w:val="001F155F"/>
    <w:rsid w:val="001F1567"/>
    <w:rsid w:val="001F1741"/>
    <w:rsid w:val="001F18F6"/>
    <w:rsid w:val="001F1AD4"/>
    <w:rsid w:val="001F1C86"/>
    <w:rsid w:val="001F1D2E"/>
    <w:rsid w:val="001F1D41"/>
    <w:rsid w:val="001F1D99"/>
    <w:rsid w:val="001F1E02"/>
    <w:rsid w:val="001F1F24"/>
    <w:rsid w:val="001F1FDE"/>
    <w:rsid w:val="001F1FE3"/>
    <w:rsid w:val="001F20D3"/>
    <w:rsid w:val="001F2255"/>
    <w:rsid w:val="001F22D2"/>
    <w:rsid w:val="001F247C"/>
    <w:rsid w:val="001F263F"/>
    <w:rsid w:val="001F273C"/>
    <w:rsid w:val="001F2AA1"/>
    <w:rsid w:val="001F2AE1"/>
    <w:rsid w:val="001F2BBD"/>
    <w:rsid w:val="001F2C8A"/>
    <w:rsid w:val="001F2D65"/>
    <w:rsid w:val="001F3166"/>
    <w:rsid w:val="001F326A"/>
    <w:rsid w:val="001F331D"/>
    <w:rsid w:val="001F3379"/>
    <w:rsid w:val="001F3419"/>
    <w:rsid w:val="001F344B"/>
    <w:rsid w:val="001F3555"/>
    <w:rsid w:val="001F35E4"/>
    <w:rsid w:val="001F36CA"/>
    <w:rsid w:val="001F3768"/>
    <w:rsid w:val="001F37E0"/>
    <w:rsid w:val="001F3AE0"/>
    <w:rsid w:val="001F3B58"/>
    <w:rsid w:val="001F3BAF"/>
    <w:rsid w:val="001F3C92"/>
    <w:rsid w:val="001F3CD4"/>
    <w:rsid w:val="001F3CED"/>
    <w:rsid w:val="001F3E98"/>
    <w:rsid w:val="001F4067"/>
    <w:rsid w:val="001F40D2"/>
    <w:rsid w:val="001F40DB"/>
    <w:rsid w:val="001F4337"/>
    <w:rsid w:val="001F4366"/>
    <w:rsid w:val="001F446D"/>
    <w:rsid w:val="001F45A2"/>
    <w:rsid w:val="001F47AB"/>
    <w:rsid w:val="001F47B4"/>
    <w:rsid w:val="001F47BB"/>
    <w:rsid w:val="001F49D4"/>
    <w:rsid w:val="001F4BB8"/>
    <w:rsid w:val="001F4DCD"/>
    <w:rsid w:val="001F4DE2"/>
    <w:rsid w:val="001F4E80"/>
    <w:rsid w:val="001F4F4F"/>
    <w:rsid w:val="001F4FDD"/>
    <w:rsid w:val="001F4FE1"/>
    <w:rsid w:val="001F4FF2"/>
    <w:rsid w:val="001F5180"/>
    <w:rsid w:val="001F51D0"/>
    <w:rsid w:val="001F51E2"/>
    <w:rsid w:val="001F543F"/>
    <w:rsid w:val="001F546F"/>
    <w:rsid w:val="001F55F3"/>
    <w:rsid w:val="001F5644"/>
    <w:rsid w:val="001F5734"/>
    <w:rsid w:val="001F5747"/>
    <w:rsid w:val="001F57D7"/>
    <w:rsid w:val="001F59AE"/>
    <w:rsid w:val="001F5A29"/>
    <w:rsid w:val="001F5A90"/>
    <w:rsid w:val="001F5A9D"/>
    <w:rsid w:val="001F5ADC"/>
    <w:rsid w:val="001F5B63"/>
    <w:rsid w:val="001F5D7C"/>
    <w:rsid w:val="001F5E65"/>
    <w:rsid w:val="001F5F20"/>
    <w:rsid w:val="001F6291"/>
    <w:rsid w:val="001F6394"/>
    <w:rsid w:val="001F63E5"/>
    <w:rsid w:val="001F6510"/>
    <w:rsid w:val="001F65F7"/>
    <w:rsid w:val="001F680E"/>
    <w:rsid w:val="001F6990"/>
    <w:rsid w:val="001F6AAE"/>
    <w:rsid w:val="001F6B03"/>
    <w:rsid w:val="001F6BB8"/>
    <w:rsid w:val="001F6C46"/>
    <w:rsid w:val="001F709E"/>
    <w:rsid w:val="001F7164"/>
    <w:rsid w:val="001F72E7"/>
    <w:rsid w:val="001F7329"/>
    <w:rsid w:val="001F7432"/>
    <w:rsid w:val="001F760C"/>
    <w:rsid w:val="001F7739"/>
    <w:rsid w:val="001F787E"/>
    <w:rsid w:val="001F78B8"/>
    <w:rsid w:val="001F78FE"/>
    <w:rsid w:val="001F7906"/>
    <w:rsid w:val="001F795D"/>
    <w:rsid w:val="001F7A34"/>
    <w:rsid w:val="001F7A50"/>
    <w:rsid w:val="001F7AE5"/>
    <w:rsid w:val="001F7B2C"/>
    <w:rsid w:val="001F7B94"/>
    <w:rsid w:val="001F7BC3"/>
    <w:rsid w:val="001F7D6B"/>
    <w:rsid w:val="0020003C"/>
    <w:rsid w:val="00200114"/>
    <w:rsid w:val="002001C9"/>
    <w:rsid w:val="0020020A"/>
    <w:rsid w:val="0020026D"/>
    <w:rsid w:val="002004A7"/>
    <w:rsid w:val="002005A7"/>
    <w:rsid w:val="00200636"/>
    <w:rsid w:val="002006C0"/>
    <w:rsid w:val="002008D8"/>
    <w:rsid w:val="002008FD"/>
    <w:rsid w:val="002009E1"/>
    <w:rsid w:val="00200B5B"/>
    <w:rsid w:val="00200B5D"/>
    <w:rsid w:val="00200BBD"/>
    <w:rsid w:val="00200D94"/>
    <w:rsid w:val="00200E8F"/>
    <w:rsid w:val="00200FBA"/>
    <w:rsid w:val="0020136F"/>
    <w:rsid w:val="002013F6"/>
    <w:rsid w:val="002014FD"/>
    <w:rsid w:val="00201618"/>
    <w:rsid w:val="002016F3"/>
    <w:rsid w:val="0020180A"/>
    <w:rsid w:val="00201B3B"/>
    <w:rsid w:val="00201B72"/>
    <w:rsid w:val="00201BBD"/>
    <w:rsid w:val="00201C1B"/>
    <w:rsid w:val="00201CE1"/>
    <w:rsid w:val="002020E2"/>
    <w:rsid w:val="00202182"/>
    <w:rsid w:val="002021FC"/>
    <w:rsid w:val="0020223D"/>
    <w:rsid w:val="002022F1"/>
    <w:rsid w:val="002023BF"/>
    <w:rsid w:val="00202587"/>
    <w:rsid w:val="00202632"/>
    <w:rsid w:val="0020271E"/>
    <w:rsid w:val="00202C35"/>
    <w:rsid w:val="00202D68"/>
    <w:rsid w:val="00203259"/>
    <w:rsid w:val="00203262"/>
    <w:rsid w:val="00203511"/>
    <w:rsid w:val="002035D1"/>
    <w:rsid w:val="002036D9"/>
    <w:rsid w:val="00203AE3"/>
    <w:rsid w:val="00203AEA"/>
    <w:rsid w:val="00203B04"/>
    <w:rsid w:val="00203C99"/>
    <w:rsid w:val="00203D9E"/>
    <w:rsid w:val="00203FA2"/>
    <w:rsid w:val="00204051"/>
    <w:rsid w:val="002041B1"/>
    <w:rsid w:val="002041D8"/>
    <w:rsid w:val="00204329"/>
    <w:rsid w:val="0020433C"/>
    <w:rsid w:val="00204361"/>
    <w:rsid w:val="0020436B"/>
    <w:rsid w:val="002044BE"/>
    <w:rsid w:val="002044C6"/>
    <w:rsid w:val="00204502"/>
    <w:rsid w:val="0020460B"/>
    <w:rsid w:val="0020461F"/>
    <w:rsid w:val="0020478B"/>
    <w:rsid w:val="002049CF"/>
    <w:rsid w:val="002049FE"/>
    <w:rsid w:val="00204A84"/>
    <w:rsid w:val="00204AF6"/>
    <w:rsid w:val="00204D5D"/>
    <w:rsid w:val="00204DE4"/>
    <w:rsid w:val="002050E2"/>
    <w:rsid w:val="00205240"/>
    <w:rsid w:val="0020528D"/>
    <w:rsid w:val="002052E5"/>
    <w:rsid w:val="0020530B"/>
    <w:rsid w:val="002053B1"/>
    <w:rsid w:val="002053C1"/>
    <w:rsid w:val="00205502"/>
    <w:rsid w:val="00205515"/>
    <w:rsid w:val="00205551"/>
    <w:rsid w:val="00205789"/>
    <w:rsid w:val="00205821"/>
    <w:rsid w:val="00205822"/>
    <w:rsid w:val="00205C85"/>
    <w:rsid w:val="00205C9B"/>
    <w:rsid w:val="00205DC4"/>
    <w:rsid w:val="00205E14"/>
    <w:rsid w:val="00205EF9"/>
    <w:rsid w:val="002060B6"/>
    <w:rsid w:val="0020612E"/>
    <w:rsid w:val="002063A5"/>
    <w:rsid w:val="0020645D"/>
    <w:rsid w:val="002065AE"/>
    <w:rsid w:val="002065C2"/>
    <w:rsid w:val="0020664C"/>
    <w:rsid w:val="002069D6"/>
    <w:rsid w:val="00206A5D"/>
    <w:rsid w:val="00206C5A"/>
    <w:rsid w:val="00206EC8"/>
    <w:rsid w:val="00206F5E"/>
    <w:rsid w:val="00207175"/>
    <w:rsid w:val="002072A0"/>
    <w:rsid w:val="00207483"/>
    <w:rsid w:val="002076C2"/>
    <w:rsid w:val="0020795C"/>
    <w:rsid w:val="002079E7"/>
    <w:rsid w:val="00207B4E"/>
    <w:rsid w:val="00207B58"/>
    <w:rsid w:val="00207CF3"/>
    <w:rsid w:val="00207D1D"/>
    <w:rsid w:val="002100B6"/>
    <w:rsid w:val="00210101"/>
    <w:rsid w:val="002104CC"/>
    <w:rsid w:val="00210755"/>
    <w:rsid w:val="0021085E"/>
    <w:rsid w:val="00210879"/>
    <w:rsid w:val="002109CB"/>
    <w:rsid w:val="00210A4C"/>
    <w:rsid w:val="00210A77"/>
    <w:rsid w:val="00210A94"/>
    <w:rsid w:val="00210AD7"/>
    <w:rsid w:val="00210B07"/>
    <w:rsid w:val="00210BE5"/>
    <w:rsid w:val="00210C9A"/>
    <w:rsid w:val="00210F9A"/>
    <w:rsid w:val="0021102B"/>
    <w:rsid w:val="00211036"/>
    <w:rsid w:val="0021116A"/>
    <w:rsid w:val="0021136A"/>
    <w:rsid w:val="00211491"/>
    <w:rsid w:val="00211689"/>
    <w:rsid w:val="002116E1"/>
    <w:rsid w:val="0021185B"/>
    <w:rsid w:val="002118D4"/>
    <w:rsid w:val="00211BFA"/>
    <w:rsid w:val="00211EA3"/>
    <w:rsid w:val="00211FE0"/>
    <w:rsid w:val="002120D4"/>
    <w:rsid w:val="00212218"/>
    <w:rsid w:val="00212467"/>
    <w:rsid w:val="0021267F"/>
    <w:rsid w:val="00212759"/>
    <w:rsid w:val="0021285F"/>
    <w:rsid w:val="002128B6"/>
    <w:rsid w:val="00212AEE"/>
    <w:rsid w:val="00212B36"/>
    <w:rsid w:val="00212C43"/>
    <w:rsid w:val="00212C4D"/>
    <w:rsid w:val="00212DAD"/>
    <w:rsid w:val="00212F11"/>
    <w:rsid w:val="00212FA7"/>
    <w:rsid w:val="00213162"/>
    <w:rsid w:val="002134F0"/>
    <w:rsid w:val="002134F1"/>
    <w:rsid w:val="00213777"/>
    <w:rsid w:val="002137B9"/>
    <w:rsid w:val="002137D0"/>
    <w:rsid w:val="00213978"/>
    <w:rsid w:val="00213AE9"/>
    <w:rsid w:val="00213C38"/>
    <w:rsid w:val="00213C3A"/>
    <w:rsid w:val="00213CE7"/>
    <w:rsid w:val="00213D5E"/>
    <w:rsid w:val="00213E59"/>
    <w:rsid w:val="00214030"/>
    <w:rsid w:val="0021414A"/>
    <w:rsid w:val="00214397"/>
    <w:rsid w:val="00214528"/>
    <w:rsid w:val="002147A6"/>
    <w:rsid w:val="002148BE"/>
    <w:rsid w:val="00214A10"/>
    <w:rsid w:val="00214A27"/>
    <w:rsid w:val="00214A9E"/>
    <w:rsid w:val="00214BBD"/>
    <w:rsid w:val="00214D8C"/>
    <w:rsid w:val="00214F81"/>
    <w:rsid w:val="00214FA8"/>
    <w:rsid w:val="00215152"/>
    <w:rsid w:val="0021516A"/>
    <w:rsid w:val="0021520A"/>
    <w:rsid w:val="00215251"/>
    <w:rsid w:val="00215281"/>
    <w:rsid w:val="00215374"/>
    <w:rsid w:val="002153ED"/>
    <w:rsid w:val="002154CC"/>
    <w:rsid w:val="00215669"/>
    <w:rsid w:val="00215761"/>
    <w:rsid w:val="00215AA6"/>
    <w:rsid w:val="00215B70"/>
    <w:rsid w:val="00215CF3"/>
    <w:rsid w:val="00215D1E"/>
    <w:rsid w:val="00215DE9"/>
    <w:rsid w:val="00215DFD"/>
    <w:rsid w:val="00215FA8"/>
    <w:rsid w:val="00216014"/>
    <w:rsid w:val="00216141"/>
    <w:rsid w:val="00216150"/>
    <w:rsid w:val="002161DA"/>
    <w:rsid w:val="0021624D"/>
    <w:rsid w:val="002162FF"/>
    <w:rsid w:val="00216481"/>
    <w:rsid w:val="0021665A"/>
    <w:rsid w:val="002166B2"/>
    <w:rsid w:val="0021675C"/>
    <w:rsid w:val="002168F0"/>
    <w:rsid w:val="002169AE"/>
    <w:rsid w:val="002169C6"/>
    <w:rsid w:val="00216A27"/>
    <w:rsid w:val="00216B86"/>
    <w:rsid w:val="00216BBE"/>
    <w:rsid w:val="00216BE8"/>
    <w:rsid w:val="00216C5E"/>
    <w:rsid w:val="00216D35"/>
    <w:rsid w:val="00216FF5"/>
    <w:rsid w:val="0021718F"/>
    <w:rsid w:val="00217328"/>
    <w:rsid w:val="002173E0"/>
    <w:rsid w:val="002174D7"/>
    <w:rsid w:val="00217538"/>
    <w:rsid w:val="00217877"/>
    <w:rsid w:val="002178DC"/>
    <w:rsid w:val="00217B32"/>
    <w:rsid w:val="00217B90"/>
    <w:rsid w:val="00217BFD"/>
    <w:rsid w:val="00217C79"/>
    <w:rsid w:val="00217CF9"/>
    <w:rsid w:val="00217D29"/>
    <w:rsid w:val="00217E02"/>
    <w:rsid w:val="00217E0E"/>
    <w:rsid w:val="00217FBC"/>
    <w:rsid w:val="0022009A"/>
    <w:rsid w:val="0022009C"/>
    <w:rsid w:val="002200FD"/>
    <w:rsid w:val="00220207"/>
    <w:rsid w:val="00220242"/>
    <w:rsid w:val="00220248"/>
    <w:rsid w:val="00220387"/>
    <w:rsid w:val="002203F1"/>
    <w:rsid w:val="002203FD"/>
    <w:rsid w:val="0022044A"/>
    <w:rsid w:val="00220546"/>
    <w:rsid w:val="00220675"/>
    <w:rsid w:val="00220769"/>
    <w:rsid w:val="002207FE"/>
    <w:rsid w:val="0022081C"/>
    <w:rsid w:val="0022086D"/>
    <w:rsid w:val="002209C6"/>
    <w:rsid w:val="00220D71"/>
    <w:rsid w:val="00220F1F"/>
    <w:rsid w:val="00220F2E"/>
    <w:rsid w:val="00221170"/>
    <w:rsid w:val="0022125A"/>
    <w:rsid w:val="0022136B"/>
    <w:rsid w:val="002213BD"/>
    <w:rsid w:val="0022153F"/>
    <w:rsid w:val="00221734"/>
    <w:rsid w:val="00221780"/>
    <w:rsid w:val="00221960"/>
    <w:rsid w:val="00221B10"/>
    <w:rsid w:val="00221B5D"/>
    <w:rsid w:val="00221B7A"/>
    <w:rsid w:val="00221C5B"/>
    <w:rsid w:val="00221D02"/>
    <w:rsid w:val="00221DF5"/>
    <w:rsid w:val="00221E35"/>
    <w:rsid w:val="00221E43"/>
    <w:rsid w:val="00222004"/>
    <w:rsid w:val="002223C8"/>
    <w:rsid w:val="002223F8"/>
    <w:rsid w:val="002224F1"/>
    <w:rsid w:val="002224F6"/>
    <w:rsid w:val="00222570"/>
    <w:rsid w:val="002225B1"/>
    <w:rsid w:val="002226EC"/>
    <w:rsid w:val="0022289E"/>
    <w:rsid w:val="002228B1"/>
    <w:rsid w:val="00222F00"/>
    <w:rsid w:val="00222F14"/>
    <w:rsid w:val="00222F8C"/>
    <w:rsid w:val="00222FC0"/>
    <w:rsid w:val="00223009"/>
    <w:rsid w:val="00223019"/>
    <w:rsid w:val="00223049"/>
    <w:rsid w:val="002230BD"/>
    <w:rsid w:val="00223141"/>
    <w:rsid w:val="0022320A"/>
    <w:rsid w:val="00223277"/>
    <w:rsid w:val="0022337E"/>
    <w:rsid w:val="00223455"/>
    <w:rsid w:val="002236CF"/>
    <w:rsid w:val="00223796"/>
    <w:rsid w:val="002237DD"/>
    <w:rsid w:val="0022387D"/>
    <w:rsid w:val="00223AEB"/>
    <w:rsid w:val="00223C86"/>
    <w:rsid w:val="00223D41"/>
    <w:rsid w:val="00223D8D"/>
    <w:rsid w:val="00223DDA"/>
    <w:rsid w:val="00223E27"/>
    <w:rsid w:val="00223F96"/>
    <w:rsid w:val="002241EC"/>
    <w:rsid w:val="002241F3"/>
    <w:rsid w:val="00224207"/>
    <w:rsid w:val="002242AA"/>
    <w:rsid w:val="002243A4"/>
    <w:rsid w:val="002243B6"/>
    <w:rsid w:val="002243E2"/>
    <w:rsid w:val="002244AE"/>
    <w:rsid w:val="00224542"/>
    <w:rsid w:val="002245B7"/>
    <w:rsid w:val="002245D2"/>
    <w:rsid w:val="002248E5"/>
    <w:rsid w:val="00224930"/>
    <w:rsid w:val="00224965"/>
    <w:rsid w:val="002249A2"/>
    <w:rsid w:val="002249FE"/>
    <w:rsid w:val="00224A0B"/>
    <w:rsid w:val="00224A4C"/>
    <w:rsid w:val="00224C9A"/>
    <w:rsid w:val="00224DAA"/>
    <w:rsid w:val="00224DB6"/>
    <w:rsid w:val="00224E95"/>
    <w:rsid w:val="00224EC9"/>
    <w:rsid w:val="00224EDD"/>
    <w:rsid w:val="00224F46"/>
    <w:rsid w:val="0022501A"/>
    <w:rsid w:val="00225117"/>
    <w:rsid w:val="0022516D"/>
    <w:rsid w:val="00225289"/>
    <w:rsid w:val="00225352"/>
    <w:rsid w:val="002253BF"/>
    <w:rsid w:val="00225457"/>
    <w:rsid w:val="0022546B"/>
    <w:rsid w:val="00225479"/>
    <w:rsid w:val="0022549F"/>
    <w:rsid w:val="002254C1"/>
    <w:rsid w:val="002254D4"/>
    <w:rsid w:val="00225567"/>
    <w:rsid w:val="00225629"/>
    <w:rsid w:val="0022575D"/>
    <w:rsid w:val="002257AD"/>
    <w:rsid w:val="002258A5"/>
    <w:rsid w:val="00225C1E"/>
    <w:rsid w:val="00225FB7"/>
    <w:rsid w:val="00226055"/>
    <w:rsid w:val="00226064"/>
    <w:rsid w:val="00226124"/>
    <w:rsid w:val="00226179"/>
    <w:rsid w:val="0022619D"/>
    <w:rsid w:val="002262DF"/>
    <w:rsid w:val="002262E1"/>
    <w:rsid w:val="002262E4"/>
    <w:rsid w:val="00226347"/>
    <w:rsid w:val="0022640B"/>
    <w:rsid w:val="00226422"/>
    <w:rsid w:val="00226594"/>
    <w:rsid w:val="00226674"/>
    <w:rsid w:val="00226819"/>
    <w:rsid w:val="002268E2"/>
    <w:rsid w:val="00226A7D"/>
    <w:rsid w:val="00226E6C"/>
    <w:rsid w:val="00226EC0"/>
    <w:rsid w:val="0022704E"/>
    <w:rsid w:val="0022709B"/>
    <w:rsid w:val="0022709C"/>
    <w:rsid w:val="002270C8"/>
    <w:rsid w:val="002270F7"/>
    <w:rsid w:val="0022712D"/>
    <w:rsid w:val="00227222"/>
    <w:rsid w:val="0022750E"/>
    <w:rsid w:val="00227617"/>
    <w:rsid w:val="00227857"/>
    <w:rsid w:val="00227B0D"/>
    <w:rsid w:val="00227B15"/>
    <w:rsid w:val="00227B3E"/>
    <w:rsid w:val="00227BE7"/>
    <w:rsid w:val="00227CA1"/>
    <w:rsid w:val="00227EFE"/>
    <w:rsid w:val="00227F11"/>
    <w:rsid w:val="00227F4D"/>
    <w:rsid w:val="00227F66"/>
    <w:rsid w:val="002303BE"/>
    <w:rsid w:val="002303C3"/>
    <w:rsid w:val="0023047A"/>
    <w:rsid w:val="0023054C"/>
    <w:rsid w:val="00230615"/>
    <w:rsid w:val="0023061C"/>
    <w:rsid w:val="00230692"/>
    <w:rsid w:val="002309A0"/>
    <w:rsid w:val="00230C67"/>
    <w:rsid w:val="00230CEF"/>
    <w:rsid w:val="00230EDB"/>
    <w:rsid w:val="00230F5E"/>
    <w:rsid w:val="00231083"/>
    <w:rsid w:val="0023113F"/>
    <w:rsid w:val="002312D7"/>
    <w:rsid w:val="00231358"/>
    <w:rsid w:val="002313AF"/>
    <w:rsid w:val="0023150E"/>
    <w:rsid w:val="002317D5"/>
    <w:rsid w:val="00231858"/>
    <w:rsid w:val="00231889"/>
    <w:rsid w:val="002318E8"/>
    <w:rsid w:val="00231911"/>
    <w:rsid w:val="00231945"/>
    <w:rsid w:val="0023196F"/>
    <w:rsid w:val="00231994"/>
    <w:rsid w:val="00231A2D"/>
    <w:rsid w:val="00231B1E"/>
    <w:rsid w:val="00231D43"/>
    <w:rsid w:val="00231E7F"/>
    <w:rsid w:val="00231E81"/>
    <w:rsid w:val="00232020"/>
    <w:rsid w:val="002320A2"/>
    <w:rsid w:val="002324B5"/>
    <w:rsid w:val="00232A11"/>
    <w:rsid w:val="00232F2D"/>
    <w:rsid w:val="002332A4"/>
    <w:rsid w:val="00233336"/>
    <w:rsid w:val="002333F0"/>
    <w:rsid w:val="00233432"/>
    <w:rsid w:val="00233538"/>
    <w:rsid w:val="002335C0"/>
    <w:rsid w:val="002335D0"/>
    <w:rsid w:val="00233627"/>
    <w:rsid w:val="0023375D"/>
    <w:rsid w:val="0023385E"/>
    <w:rsid w:val="00233898"/>
    <w:rsid w:val="00233932"/>
    <w:rsid w:val="00233960"/>
    <w:rsid w:val="00233A29"/>
    <w:rsid w:val="00233B16"/>
    <w:rsid w:val="00233C4C"/>
    <w:rsid w:val="00233D5B"/>
    <w:rsid w:val="00233D97"/>
    <w:rsid w:val="00233DE4"/>
    <w:rsid w:val="00233E7B"/>
    <w:rsid w:val="00233FE7"/>
    <w:rsid w:val="0023412E"/>
    <w:rsid w:val="002341D1"/>
    <w:rsid w:val="0023420C"/>
    <w:rsid w:val="0023422E"/>
    <w:rsid w:val="00234296"/>
    <w:rsid w:val="002342CF"/>
    <w:rsid w:val="0023439D"/>
    <w:rsid w:val="00234438"/>
    <w:rsid w:val="002345BA"/>
    <w:rsid w:val="002346DA"/>
    <w:rsid w:val="002347FC"/>
    <w:rsid w:val="0023480B"/>
    <w:rsid w:val="00234B3A"/>
    <w:rsid w:val="00234B41"/>
    <w:rsid w:val="00234BDB"/>
    <w:rsid w:val="00234C1E"/>
    <w:rsid w:val="00234C25"/>
    <w:rsid w:val="00234C95"/>
    <w:rsid w:val="00234D4A"/>
    <w:rsid w:val="00234E35"/>
    <w:rsid w:val="00234E38"/>
    <w:rsid w:val="00234F7C"/>
    <w:rsid w:val="00234F81"/>
    <w:rsid w:val="0023505F"/>
    <w:rsid w:val="00235086"/>
    <w:rsid w:val="00235091"/>
    <w:rsid w:val="002352DC"/>
    <w:rsid w:val="002353A3"/>
    <w:rsid w:val="002353B7"/>
    <w:rsid w:val="0023540C"/>
    <w:rsid w:val="0023541B"/>
    <w:rsid w:val="00235452"/>
    <w:rsid w:val="00235454"/>
    <w:rsid w:val="00235575"/>
    <w:rsid w:val="00235727"/>
    <w:rsid w:val="0023576A"/>
    <w:rsid w:val="002357FC"/>
    <w:rsid w:val="002358A6"/>
    <w:rsid w:val="002358DC"/>
    <w:rsid w:val="00235913"/>
    <w:rsid w:val="00235A67"/>
    <w:rsid w:val="00235BF3"/>
    <w:rsid w:val="00235C39"/>
    <w:rsid w:val="00235D4D"/>
    <w:rsid w:val="00235E1B"/>
    <w:rsid w:val="00236010"/>
    <w:rsid w:val="00236074"/>
    <w:rsid w:val="002360D1"/>
    <w:rsid w:val="002360E3"/>
    <w:rsid w:val="00236144"/>
    <w:rsid w:val="0023620F"/>
    <w:rsid w:val="00236213"/>
    <w:rsid w:val="00236301"/>
    <w:rsid w:val="00236419"/>
    <w:rsid w:val="00236465"/>
    <w:rsid w:val="00236596"/>
    <w:rsid w:val="002366D2"/>
    <w:rsid w:val="00236709"/>
    <w:rsid w:val="002368D4"/>
    <w:rsid w:val="00236929"/>
    <w:rsid w:val="00236984"/>
    <w:rsid w:val="00236993"/>
    <w:rsid w:val="002369B4"/>
    <w:rsid w:val="002369B5"/>
    <w:rsid w:val="002369F0"/>
    <w:rsid w:val="00236A2D"/>
    <w:rsid w:val="00236DC3"/>
    <w:rsid w:val="00236ED7"/>
    <w:rsid w:val="00237048"/>
    <w:rsid w:val="002371A8"/>
    <w:rsid w:val="00237202"/>
    <w:rsid w:val="002372AC"/>
    <w:rsid w:val="002372DD"/>
    <w:rsid w:val="00237387"/>
    <w:rsid w:val="002373CF"/>
    <w:rsid w:val="0023743B"/>
    <w:rsid w:val="0023748E"/>
    <w:rsid w:val="00237554"/>
    <w:rsid w:val="00237576"/>
    <w:rsid w:val="002375DC"/>
    <w:rsid w:val="002377D1"/>
    <w:rsid w:val="00237873"/>
    <w:rsid w:val="002378B2"/>
    <w:rsid w:val="0023790B"/>
    <w:rsid w:val="00237A9E"/>
    <w:rsid w:val="00237BA4"/>
    <w:rsid w:val="00237BE7"/>
    <w:rsid w:val="00237C22"/>
    <w:rsid w:val="00237CB8"/>
    <w:rsid w:val="00237CCE"/>
    <w:rsid w:val="00237E09"/>
    <w:rsid w:val="00237F70"/>
    <w:rsid w:val="002402D4"/>
    <w:rsid w:val="002402D5"/>
    <w:rsid w:val="00240410"/>
    <w:rsid w:val="00240468"/>
    <w:rsid w:val="002405AC"/>
    <w:rsid w:val="002406D2"/>
    <w:rsid w:val="00240761"/>
    <w:rsid w:val="00240868"/>
    <w:rsid w:val="0024092A"/>
    <w:rsid w:val="00240A0E"/>
    <w:rsid w:val="00240AC0"/>
    <w:rsid w:val="00240BB5"/>
    <w:rsid w:val="00240C30"/>
    <w:rsid w:val="00240C90"/>
    <w:rsid w:val="00240CAC"/>
    <w:rsid w:val="00240DC8"/>
    <w:rsid w:val="00240E59"/>
    <w:rsid w:val="00240EAF"/>
    <w:rsid w:val="00240ECB"/>
    <w:rsid w:val="00240ED7"/>
    <w:rsid w:val="00240FB6"/>
    <w:rsid w:val="0024119C"/>
    <w:rsid w:val="002412D3"/>
    <w:rsid w:val="00241392"/>
    <w:rsid w:val="002413AE"/>
    <w:rsid w:val="002413CA"/>
    <w:rsid w:val="002414FA"/>
    <w:rsid w:val="0024163D"/>
    <w:rsid w:val="00241647"/>
    <w:rsid w:val="00241698"/>
    <w:rsid w:val="002418E0"/>
    <w:rsid w:val="0024192F"/>
    <w:rsid w:val="00241B56"/>
    <w:rsid w:val="00241CE2"/>
    <w:rsid w:val="00241DDA"/>
    <w:rsid w:val="00241E45"/>
    <w:rsid w:val="00241FF6"/>
    <w:rsid w:val="00242044"/>
    <w:rsid w:val="0024211D"/>
    <w:rsid w:val="00242221"/>
    <w:rsid w:val="0024234A"/>
    <w:rsid w:val="002423DD"/>
    <w:rsid w:val="00242553"/>
    <w:rsid w:val="00242582"/>
    <w:rsid w:val="00242602"/>
    <w:rsid w:val="0024286D"/>
    <w:rsid w:val="00242873"/>
    <w:rsid w:val="002428E5"/>
    <w:rsid w:val="0024293F"/>
    <w:rsid w:val="002429B5"/>
    <w:rsid w:val="00242A10"/>
    <w:rsid w:val="00242AE8"/>
    <w:rsid w:val="00242C56"/>
    <w:rsid w:val="00242D19"/>
    <w:rsid w:val="00242D9A"/>
    <w:rsid w:val="00242DA2"/>
    <w:rsid w:val="0024303E"/>
    <w:rsid w:val="002432E4"/>
    <w:rsid w:val="00243407"/>
    <w:rsid w:val="0024343C"/>
    <w:rsid w:val="00243499"/>
    <w:rsid w:val="00243579"/>
    <w:rsid w:val="00243629"/>
    <w:rsid w:val="0024375F"/>
    <w:rsid w:val="00243941"/>
    <w:rsid w:val="002439D3"/>
    <w:rsid w:val="002439F8"/>
    <w:rsid w:val="00243BCF"/>
    <w:rsid w:val="00243DA8"/>
    <w:rsid w:val="00243DB5"/>
    <w:rsid w:val="00243DE8"/>
    <w:rsid w:val="00243E91"/>
    <w:rsid w:val="00243EED"/>
    <w:rsid w:val="00243F3E"/>
    <w:rsid w:val="00243F8C"/>
    <w:rsid w:val="0024405A"/>
    <w:rsid w:val="00244190"/>
    <w:rsid w:val="002442AF"/>
    <w:rsid w:val="00244304"/>
    <w:rsid w:val="002444D0"/>
    <w:rsid w:val="0024450B"/>
    <w:rsid w:val="00244526"/>
    <w:rsid w:val="00244618"/>
    <w:rsid w:val="00244652"/>
    <w:rsid w:val="00244797"/>
    <w:rsid w:val="00244799"/>
    <w:rsid w:val="0024479F"/>
    <w:rsid w:val="00244A02"/>
    <w:rsid w:val="00244ACE"/>
    <w:rsid w:val="00244BAC"/>
    <w:rsid w:val="00244BAE"/>
    <w:rsid w:val="00244C66"/>
    <w:rsid w:val="00244C80"/>
    <w:rsid w:val="00244E17"/>
    <w:rsid w:val="00244E88"/>
    <w:rsid w:val="00245003"/>
    <w:rsid w:val="00245012"/>
    <w:rsid w:val="0024501A"/>
    <w:rsid w:val="00245131"/>
    <w:rsid w:val="00245167"/>
    <w:rsid w:val="002452AB"/>
    <w:rsid w:val="002452E9"/>
    <w:rsid w:val="002453EE"/>
    <w:rsid w:val="00245413"/>
    <w:rsid w:val="0024549C"/>
    <w:rsid w:val="00245631"/>
    <w:rsid w:val="002458CF"/>
    <w:rsid w:val="00245A01"/>
    <w:rsid w:val="00245A1D"/>
    <w:rsid w:val="00245A81"/>
    <w:rsid w:val="00245A84"/>
    <w:rsid w:val="00245C5E"/>
    <w:rsid w:val="00245CFD"/>
    <w:rsid w:val="00245D56"/>
    <w:rsid w:val="00245DCD"/>
    <w:rsid w:val="00245EB2"/>
    <w:rsid w:val="00245F4B"/>
    <w:rsid w:val="0024616C"/>
    <w:rsid w:val="002461D8"/>
    <w:rsid w:val="002462DD"/>
    <w:rsid w:val="00246463"/>
    <w:rsid w:val="00246668"/>
    <w:rsid w:val="00246723"/>
    <w:rsid w:val="00246875"/>
    <w:rsid w:val="002469C2"/>
    <w:rsid w:val="002469CE"/>
    <w:rsid w:val="00246A47"/>
    <w:rsid w:val="00246A72"/>
    <w:rsid w:val="00246AFF"/>
    <w:rsid w:val="00246BB8"/>
    <w:rsid w:val="00246C1D"/>
    <w:rsid w:val="00246DC5"/>
    <w:rsid w:val="00247129"/>
    <w:rsid w:val="0024715D"/>
    <w:rsid w:val="002474A5"/>
    <w:rsid w:val="002474EB"/>
    <w:rsid w:val="002474F5"/>
    <w:rsid w:val="002474FD"/>
    <w:rsid w:val="002476D4"/>
    <w:rsid w:val="00247728"/>
    <w:rsid w:val="002477D4"/>
    <w:rsid w:val="00247900"/>
    <w:rsid w:val="00247BF6"/>
    <w:rsid w:val="00247D5B"/>
    <w:rsid w:val="002500ED"/>
    <w:rsid w:val="00250144"/>
    <w:rsid w:val="002503E7"/>
    <w:rsid w:val="00250407"/>
    <w:rsid w:val="00250469"/>
    <w:rsid w:val="0025048B"/>
    <w:rsid w:val="0025055D"/>
    <w:rsid w:val="00250628"/>
    <w:rsid w:val="00250910"/>
    <w:rsid w:val="00250B55"/>
    <w:rsid w:val="00250CB4"/>
    <w:rsid w:val="00250D47"/>
    <w:rsid w:val="00250D6E"/>
    <w:rsid w:val="00250FA1"/>
    <w:rsid w:val="0025105D"/>
    <w:rsid w:val="002510B7"/>
    <w:rsid w:val="0025111A"/>
    <w:rsid w:val="00251213"/>
    <w:rsid w:val="00251276"/>
    <w:rsid w:val="0025135C"/>
    <w:rsid w:val="00251546"/>
    <w:rsid w:val="00251567"/>
    <w:rsid w:val="0025159A"/>
    <w:rsid w:val="0025188B"/>
    <w:rsid w:val="00251A9F"/>
    <w:rsid w:val="00251AE1"/>
    <w:rsid w:val="00251B47"/>
    <w:rsid w:val="00251B67"/>
    <w:rsid w:val="00251BAE"/>
    <w:rsid w:val="00251C02"/>
    <w:rsid w:val="00251C2E"/>
    <w:rsid w:val="00251EC2"/>
    <w:rsid w:val="00251ED1"/>
    <w:rsid w:val="00252248"/>
    <w:rsid w:val="002523D7"/>
    <w:rsid w:val="002524AD"/>
    <w:rsid w:val="00252501"/>
    <w:rsid w:val="0025277A"/>
    <w:rsid w:val="00252822"/>
    <w:rsid w:val="002528BC"/>
    <w:rsid w:val="00252965"/>
    <w:rsid w:val="00252A19"/>
    <w:rsid w:val="00252CA2"/>
    <w:rsid w:val="00252CCA"/>
    <w:rsid w:val="00252D00"/>
    <w:rsid w:val="00252D7E"/>
    <w:rsid w:val="00252DC8"/>
    <w:rsid w:val="0025318A"/>
    <w:rsid w:val="00253384"/>
    <w:rsid w:val="0025340F"/>
    <w:rsid w:val="0025348F"/>
    <w:rsid w:val="002535D8"/>
    <w:rsid w:val="002537CB"/>
    <w:rsid w:val="0025386A"/>
    <w:rsid w:val="0025394F"/>
    <w:rsid w:val="00253B9D"/>
    <w:rsid w:val="00253CBB"/>
    <w:rsid w:val="00253D83"/>
    <w:rsid w:val="002540D1"/>
    <w:rsid w:val="002540E1"/>
    <w:rsid w:val="002540FF"/>
    <w:rsid w:val="002545A2"/>
    <w:rsid w:val="002546B6"/>
    <w:rsid w:val="002546F6"/>
    <w:rsid w:val="00254736"/>
    <w:rsid w:val="0025476D"/>
    <w:rsid w:val="00254A07"/>
    <w:rsid w:val="00254A0A"/>
    <w:rsid w:val="00254A97"/>
    <w:rsid w:val="00254C82"/>
    <w:rsid w:val="00254DE2"/>
    <w:rsid w:val="00254F2C"/>
    <w:rsid w:val="00254FF1"/>
    <w:rsid w:val="00255007"/>
    <w:rsid w:val="00255060"/>
    <w:rsid w:val="0025509A"/>
    <w:rsid w:val="002550D9"/>
    <w:rsid w:val="00255177"/>
    <w:rsid w:val="00255198"/>
    <w:rsid w:val="00255288"/>
    <w:rsid w:val="002553DE"/>
    <w:rsid w:val="002559BC"/>
    <w:rsid w:val="00255B6D"/>
    <w:rsid w:val="00255B8D"/>
    <w:rsid w:val="00255BC0"/>
    <w:rsid w:val="00255F72"/>
    <w:rsid w:val="0025640E"/>
    <w:rsid w:val="00256439"/>
    <w:rsid w:val="002564D8"/>
    <w:rsid w:val="002564F9"/>
    <w:rsid w:val="00256646"/>
    <w:rsid w:val="00256691"/>
    <w:rsid w:val="0025675A"/>
    <w:rsid w:val="00256795"/>
    <w:rsid w:val="0025683F"/>
    <w:rsid w:val="00256850"/>
    <w:rsid w:val="0025685F"/>
    <w:rsid w:val="002568BE"/>
    <w:rsid w:val="0025692C"/>
    <w:rsid w:val="002569C8"/>
    <w:rsid w:val="00256A0F"/>
    <w:rsid w:val="00256AAD"/>
    <w:rsid w:val="00256D21"/>
    <w:rsid w:val="00256E32"/>
    <w:rsid w:val="00256E87"/>
    <w:rsid w:val="00256F29"/>
    <w:rsid w:val="00256FC0"/>
    <w:rsid w:val="00257483"/>
    <w:rsid w:val="002574D9"/>
    <w:rsid w:val="0025753E"/>
    <w:rsid w:val="0025772F"/>
    <w:rsid w:val="00257805"/>
    <w:rsid w:val="00257872"/>
    <w:rsid w:val="00257A4D"/>
    <w:rsid w:val="00257A67"/>
    <w:rsid w:val="00257D7F"/>
    <w:rsid w:val="0026005B"/>
    <w:rsid w:val="002601A5"/>
    <w:rsid w:val="0026025D"/>
    <w:rsid w:val="00260399"/>
    <w:rsid w:val="0026059E"/>
    <w:rsid w:val="002605BC"/>
    <w:rsid w:val="002606E3"/>
    <w:rsid w:val="00260767"/>
    <w:rsid w:val="00260B11"/>
    <w:rsid w:val="00260BAD"/>
    <w:rsid w:val="00260C31"/>
    <w:rsid w:val="00260C76"/>
    <w:rsid w:val="00260DD5"/>
    <w:rsid w:val="00260FE8"/>
    <w:rsid w:val="00261008"/>
    <w:rsid w:val="00261029"/>
    <w:rsid w:val="00261089"/>
    <w:rsid w:val="002615B9"/>
    <w:rsid w:val="002615EC"/>
    <w:rsid w:val="00261673"/>
    <w:rsid w:val="0026192E"/>
    <w:rsid w:val="002619F8"/>
    <w:rsid w:val="00261BA0"/>
    <w:rsid w:val="00261BDC"/>
    <w:rsid w:val="00261C81"/>
    <w:rsid w:val="00261D06"/>
    <w:rsid w:val="00261DB6"/>
    <w:rsid w:val="00261DBD"/>
    <w:rsid w:val="00261DE1"/>
    <w:rsid w:val="00261E36"/>
    <w:rsid w:val="00261EB4"/>
    <w:rsid w:val="00261F17"/>
    <w:rsid w:val="00261FFF"/>
    <w:rsid w:val="002620DC"/>
    <w:rsid w:val="002621C2"/>
    <w:rsid w:val="00262213"/>
    <w:rsid w:val="0026239C"/>
    <w:rsid w:val="0026242F"/>
    <w:rsid w:val="002624CB"/>
    <w:rsid w:val="00262584"/>
    <w:rsid w:val="00262613"/>
    <w:rsid w:val="0026271A"/>
    <w:rsid w:val="00262884"/>
    <w:rsid w:val="0026293B"/>
    <w:rsid w:val="00262ACA"/>
    <w:rsid w:val="00262AE2"/>
    <w:rsid w:val="00262B12"/>
    <w:rsid w:val="00262B7A"/>
    <w:rsid w:val="00262C76"/>
    <w:rsid w:val="00262CE7"/>
    <w:rsid w:val="00262D26"/>
    <w:rsid w:val="00262D2F"/>
    <w:rsid w:val="00262E1F"/>
    <w:rsid w:val="00262EA3"/>
    <w:rsid w:val="00262F51"/>
    <w:rsid w:val="002630BB"/>
    <w:rsid w:val="00263103"/>
    <w:rsid w:val="00263108"/>
    <w:rsid w:val="00263178"/>
    <w:rsid w:val="0026317B"/>
    <w:rsid w:val="002632AC"/>
    <w:rsid w:val="00263302"/>
    <w:rsid w:val="0026346D"/>
    <w:rsid w:val="0026366D"/>
    <w:rsid w:val="00263698"/>
    <w:rsid w:val="00263742"/>
    <w:rsid w:val="002637BA"/>
    <w:rsid w:val="002638FE"/>
    <w:rsid w:val="002639F9"/>
    <w:rsid w:val="00263A06"/>
    <w:rsid w:val="00263ABF"/>
    <w:rsid w:val="00263D14"/>
    <w:rsid w:val="00263D44"/>
    <w:rsid w:val="00263E63"/>
    <w:rsid w:val="00263EC2"/>
    <w:rsid w:val="00263F17"/>
    <w:rsid w:val="00263F3B"/>
    <w:rsid w:val="002640DC"/>
    <w:rsid w:val="00264135"/>
    <w:rsid w:val="002641EE"/>
    <w:rsid w:val="0026453A"/>
    <w:rsid w:val="00264690"/>
    <w:rsid w:val="00264696"/>
    <w:rsid w:val="00264755"/>
    <w:rsid w:val="0026476A"/>
    <w:rsid w:val="002647C3"/>
    <w:rsid w:val="002647F0"/>
    <w:rsid w:val="00264866"/>
    <w:rsid w:val="002649C1"/>
    <w:rsid w:val="002649E5"/>
    <w:rsid w:val="002649F1"/>
    <w:rsid w:val="00264CF2"/>
    <w:rsid w:val="00264DD1"/>
    <w:rsid w:val="002650FF"/>
    <w:rsid w:val="0026518F"/>
    <w:rsid w:val="00265295"/>
    <w:rsid w:val="0026535B"/>
    <w:rsid w:val="0026535D"/>
    <w:rsid w:val="00265543"/>
    <w:rsid w:val="0026554D"/>
    <w:rsid w:val="002655B8"/>
    <w:rsid w:val="0026585A"/>
    <w:rsid w:val="002658BF"/>
    <w:rsid w:val="00265B3A"/>
    <w:rsid w:val="00265BEF"/>
    <w:rsid w:val="00265BFB"/>
    <w:rsid w:val="00265DF8"/>
    <w:rsid w:val="00265EEF"/>
    <w:rsid w:val="00266025"/>
    <w:rsid w:val="00266101"/>
    <w:rsid w:val="002661B5"/>
    <w:rsid w:val="002661C1"/>
    <w:rsid w:val="0026627A"/>
    <w:rsid w:val="002663B3"/>
    <w:rsid w:val="002663FA"/>
    <w:rsid w:val="00266469"/>
    <w:rsid w:val="0026660D"/>
    <w:rsid w:val="00266714"/>
    <w:rsid w:val="00266880"/>
    <w:rsid w:val="00266946"/>
    <w:rsid w:val="002669D8"/>
    <w:rsid w:val="00266B6B"/>
    <w:rsid w:val="00266CF2"/>
    <w:rsid w:val="00266F44"/>
    <w:rsid w:val="00267072"/>
    <w:rsid w:val="002670AB"/>
    <w:rsid w:val="002670EF"/>
    <w:rsid w:val="0026712C"/>
    <w:rsid w:val="0026718D"/>
    <w:rsid w:val="00267276"/>
    <w:rsid w:val="0026731B"/>
    <w:rsid w:val="00267360"/>
    <w:rsid w:val="002675A4"/>
    <w:rsid w:val="0026767A"/>
    <w:rsid w:val="0026774C"/>
    <w:rsid w:val="002677D8"/>
    <w:rsid w:val="0026787A"/>
    <w:rsid w:val="0026788A"/>
    <w:rsid w:val="00267AB0"/>
    <w:rsid w:val="00267B7D"/>
    <w:rsid w:val="00267C7D"/>
    <w:rsid w:val="00267FBD"/>
    <w:rsid w:val="002701BC"/>
    <w:rsid w:val="0027026A"/>
    <w:rsid w:val="0027026B"/>
    <w:rsid w:val="002702B1"/>
    <w:rsid w:val="002703FD"/>
    <w:rsid w:val="002703FF"/>
    <w:rsid w:val="00270523"/>
    <w:rsid w:val="0027053F"/>
    <w:rsid w:val="002705FD"/>
    <w:rsid w:val="0027068B"/>
    <w:rsid w:val="00270726"/>
    <w:rsid w:val="002708DA"/>
    <w:rsid w:val="002709F2"/>
    <w:rsid w:val="00270B65"/>
    <w:rsid w:val="00270B8C"/>
    <w:rsid w:val="00270C2E"/>
    <w:rsid w:val="00270D38"/>
    <w:rsid w:val="00270D60"/>
    <w:rsid w:val="00270D8B"/>
    <w:rsid w:val="00270D96"/>
    <w:rsid w:val="00270DE7"/>
    <w:rsid w:val="00270F5A"/>
    <w:rsid w:val="00270FED"/>
    <w:rsid w:val="0027102A"/>
    <w:rsid w:val="002710A4"/>
    <w:rsid w:val="002710B2"/>
    <w:rsid w:val="0027119D"/>
    <w:rsid w:val="0027119F"/>
    <w:rsid w:val="002711C3"/>
    <w:rsid w:val="002713CF"/>
    <w:rsid w:val="00271615"/>
    <w:rsid w:val="0027166A"/>
    <w:rsid w:val="00271778"/>
    <w:rsid w:val="00271E59"/>
    <w:rsid w:val="00272176"/>
    <w:rsid w:val="00272264"/>
    <w:rsid w:val="0027241A"/>
    <w:rsid w:val="002724AE"/>
    <w:rsid w:val="00272528"/>
    <w:rsid w:val="00272569"/>
    <w:rsid w:val="0027262C"/>
    <w:rsid w:val="002727F8"/>
    <w:rsid w:val="00272961"/>
    <w:rsid w:val="00272A21"/>
    <w:rsid w:val="00272E01"/>
    <w:rsid w:val="00272E09"/>
    <w:rsid w:val="002730DB"/>
    <w:rsid w:val="002731EF"/>
    <w:rsid w:val="0027323C"/>
    <w:rsid w:val="0027343F"/>
    <w:rsid w:val="00273565"/>
    <w:rsid w:val="002735CA"/>
    <w:rsid w:val="00273710"/>
    <w:rsid w:val="00273821"/>
    <w:rsid w:val="00273905"/>
    <w:rsid w:val="0027395D"/>
    <w:rsid w:val="00273CB1"/>
    <w:rsid w:val="00273F56"/>
    <w:rsid w:val="00273F74"/>
    <w:rsid w:val="0027400D"/>
    <w:rsid w:val="0027418C"/>
    <w:rsid w:val="002741A4"/>
    <w:rsid w:val="0027426E"/>
    <w:rsid w:val="002742AF"/>
    <w:rsid w:val="002743A1"/>
    <w:rsid w:val="002744DB"/>
    <w:rsid w:val="0027453F"/>
    <w:rsid w:val="0027454C"/>
    <w:rsid w:val="002746F6"/>
    <w:rsid w:val="002746F8"/>
    <w:rsid w:val="0027477E"/>
    <w:rsid w:val="00274808"/>
    <w:rsid w:val="00274929"/>
    <w:rsid w:val="002749CD"/>
    <w:rsid w:val="00274A49"/>
    <w:rsid w:val="00274B5D"/>
    <w:rsid w:val="00274B8D"/>
    <w:rsid w:val="00274B9C"/>
    <w:rsid w:val="00274CDF"/>
    <w:rsid w:val="00274E20"/>
    <w:rsid w:val="00274E50"/>
    <w:rsid w:val="00274FFE"/>
    <w:rsid w:val="002750DB"/>
    <w:rsid w:val="002750E1"/>
    <w:rsid w:val="002751B1"/>
    <w:rsid w:val="002751B6"/>
    <w:rsid w:val="002752BB"/>
    <w:rsid w:val="0027535C"/>
    <w:rsid w:val="002755A4"/>
    <w:rsid w:val="00275606"/>
    <w:rsid w:val="00275639"/>
    <w:rsid w:val="00275694"/>
    <w:rsid w:val="002756EF"/>
    <w:rsid w:val="00275710"/>
    <w:rsid w:val="00275745"/>
    <w:rsid w:val="002757E3"/>
    <w:rsid w:val="00275841"/>
    <w:rsid w:val="0027586F"/>
    <w:rsid w:val="002759E8"/>
    <w:rsid w:val="00275AF5"/>
    <w:rsid w:val="00275D0C"/>
    <w:rsid w:val="00275E97"/>
    <w:rsid w:val="00275EEF"/>
    <w:rsid w:val="00275F17"/>
    <w:rsid w:val="00275FDC"/>
    <w:rsid w:val="0027602D"/>
    <w:rsid w:val="002761BF"/>
    <w:rsid w:val="0027636C"/>
    <w:rsid w:val="002764A0"/>
    <w:rsid w:val="0027658D"/>
    <w:rsid w:val="002766E3"/>
    <w:rsid w:val="00276732"/>
    <w:rsid w:val="00276B41"/>
    <w:rsid w:val="00276B8C"/>
    <w:rsid w:val="00276C4A"/>
    <w:rsid w:val="00276CD1"/>
    <w:rsid w:val="00276DAF"/>
    <w:rsid w:val="00276E3F"/>
    <w:rsid w:val="00276ED3"/>
    <w:rsid w:val="00276FC1"/>
    <w:rsid w:val="0027707C"/>
    <w:rsid w:val="002771BB"/>
    <w:rsid w:val="002771D7"/>
    <w:rsid w:val="002772A2"/>
    <w:rsid w:val="002773D6"/>
    <w:rsid w:val="002773EB"/>
    <w:rsid w:val="0027748F"/>
    <w:rsid w:val="002774AB"/>
    <w:rsid w:val="002774C4"/>
    <w:rsid w:val="00277576"/>
    <w:rsid w:val="002775DA"/>
    <w:rsid w:val="002776B8"/>
    <w:rsid w:val="002776C4"/>
    <w:rsid w:val="0027795C"/>
    <w:rsid w:val="002779E3"/>
    <w:rsid w:val="002779E8"/>
    <w:rsid w:val="00277ACE"/>
    <w:rsid w:val="00277BEF"/>
    <w:rsid w:val="00277E39"/>
    <w:rsid w:val="0027BA6F"/>
    <w:rsid w:val="0027DDA7"/>
    <w:rsid w:val="0028001A"/>
    <w:rsid w:val="002800CC"/>
    <w:rsid w:val="00280203"/>
    <w:rsid w:val="00280240"/>
    <w:rsid w:val="0028064F"/>
    <w:rsid w:val="002806FF"/>
    <w:rsid w:val="00280878"/>
    <w:rsid w:val="00280896"/>
    <w:rsid w:val="00280906"/>
    <w:rsid w:val="00280987"/>
    <w:rsid w:val="00280A81"/>
    <w:rsid w:val="00280CAD"/>
    <w:rsid w:val="00280E53"/>
    <w:rsid w:val="00281092"/>
    <w:rsid w:val="00281115"/>
    <w:rsid w:val="002812B3"/>
    <w:rsid w:val="00281406"/>
    <w:rsid w:val="002814A1"/>
    <w:rsid w:val="0028153E"/>
    <w:rsid w:val="0028154A"/>
    <w:rsid w:val="00281575"/>
    <w:rsid w:val="002816F3"/>
    <w:rsid w:val="00281756"/>
    <w:rsid w:val="002817AF"/>
    <w:rsid w:val="0028187F"/>
    <w:rsid w:val="00281AC5"/>
    <w:rsid w:val="00281B90"/>
    <w:rsid w:val="00281BCC"/>
    <w:rsid w:val="00281CCB"/>
    <w:rsid w:val="00281D22"/>
    <w:rsid w:val="00281D97"/>
    <w:rsid w:val="00281E89"/>
    <w:rsid w:val="00281F8B"/>
    <w:rsid w:val="002820E9"/>
    <w:rsid w:val="00282218"/>
    <w:rsid w:val="0028225A"/>
    <w:rsid w:val="002822F5"/>
    <w:rsid w:val="002823C1"/>
    <w:rsid w:val="002823CC"/>
    <w:rsid w:val="0028248B"/>
    <w:rsid w:val="0028252C"/>
    <w:rsid w:val="0028256C"/>
    <w:rsid w:val="00282666"/>
    <w:rsid w:val="0028267F"/>
    <w:rsid w:val="00282726"/>
    <w:rsid w:val="0028273A"/>
    <w:rsid w:val="002827A0"/>
    <w:rsid w:val="00282838"/>
    <w:rsid w:val="00282994"/>
    <w:rsid w:val="00282A17"/>
    <w:rsid w:val="00282A5A"/>
    <w:rsid w:val="00282B95"/>
    <w:rsid w:val="00282CE0"/>
    <w:rsid w:val="00282D73"/>
    <w:rsid w:val="00282DFB"/>
    <w:rsid w:val="00282EA4"/>
    <w:rsid w:val="00282F25"/>
    <w:rsid w:val="00282F86"/>
    <w:rsid w:val="00283011"/>
    <w:rsid w:val="0028311E"/>
    <w:rsid w:val="00283139"/>
    <w:rsid w:val="00283178"/>
    <w:rsid w:val="002832BE"/>
    <w:rsid w:val="002832F9"/>
    <w:rsid w:val="0028331C"/>
    <w:rsid w:val="002833BD"/>
    <w:rsid w:val="00283448"/>
    <w:rsid w:val="002834EE"/>
    <w:rsid w:val="0028362B"/>
    <w:rsid w:val="0028363D"/>
    <w:rsid w:val="0028364D"/>
    <w:rsid w:val="00283764"/>
    <w:rsid w:val="00283903"/>
    <w:rsid w:val="002839CA"/>
    <w:rsid w:val="002839DB"/>
    <w:rsid w:val="00283A96"/>
    <w:rsid w:val="00283B0F"/>
    <w:rsid w:val="00283C59"/>
    <w:rsid w:val="00283C85"/>
    <w:rsid w:val="00283CC0"/>
    <w:rsid w:val="00283D2A"/>
    <w:rsid w:val="00283D87"/>
    <w:rsid w:val="00283E2C"/>
    <w:rsid w:val="00283E43"/>
    <w:rsid w:val="00283EF8"/>
    <w:rsid w:val="00283F8E"/>
    <w:rsid w:val="00283FC6"/>
    <w:rsid w:val="00283FE7"/>
    <w:rsid w:val="00284251"/>
    <w:rsid w:val="002842A8"/>
    <w:rsid w:val="00284639"/>
    <w:rsid w:val="002847FB"/>
    <w:rsid w:val="00284939"/>
    <w:rsid w:val="002849CC"/>
    <w:rsid w:val="00284B0A"/>
    <w:rsid w:val="00284BA4"/>
    <w:rsid w:val="00284C7E"/>
    <w:rsid w:val="00284D1B"/>
    <w:rsid w:val="00284D59"/>
    <w:rsid w:val="00284D9D"/>
    <w:rsid w:val="00284E20"/>
    <w:rsid w:val="00284E95"/>
    <w:rsid w:val="00284F82"/>
    <w:rsid w:val="00284FD2"/>
    <w:rsid w:val="002850A5"/>
    <w:rsid w:val="002851AA"/>
    <w:rsid w:val="00285207"/>
    <w:rsid w:val="00285274"/>
    <w:rsid w:val="002854E6"/>
    <w:rsid w:val="0028557A"/>
    <w:rsid w:val="00285593"/>
    <w:rsid w:val="00285689"/>
    <w:rsid w:val="002856DB"/>
    <w:rsid w:val="002856E1"/>
    <w:rsid w:val="00285861"/>
    <w:rsid w:val="002859DC"/>
    <w:rsid w:val="00285A45"/>
    <w:rsid w:val="00285CE5"/>
    <w:rsid w:val="00285D1E"/>
    <w:rsid w:val="00285DD4"/>
    <w:rsid w:val="00285E09"/>
    <w:rsid w:val="00285ED9"/>
    <w:rsid w:val="00285FF0"/>
    <w:rsid w:val="0028608B"/>
    <w:rsid w:val="002860E4"/>
    <w:rsid w:val="0028639A"/>
    <w:rsid w:val="002863D8"/>
    <w:rsid w:val="00286540"/>
    <w:rsid w:val="002865C6"/>
    <w:rsid w:val="00286655"/>
    <w:rsid w:val="002866F1"/>
    <w:rsid w:val="00286909"/>
    <w:rsid w:val="002869D3"/>
    <w:rsid w:val="00286A06"/>
    <w:rsid w:val="00286BEA"/>
    <w:rsid w:val="00286C09"/>
    <w:rsid w:val="00286C8F"/>
    <w:rsid w:val="00286CA0"/>
    <w:rsid w:val="00286CC4"/>
    <w:rsid w:val="00286CED"/>
    <w:rsid w:val="00286DC2"/>
    <w:rsid w:val="002870A4"/>
    <w:rsid w:val="002871CE"/>
    <w:rsid w:val="0028729E"/>
    <w:rsid w:val="002873D0"/>
    <w:rsid w:val="002873E6"/>
    <w:rsid w:val="0028747E"/>
    <w:rsid w:val="002874FF"/>
    <w:rsid w:val="002875EA"/>
    <w:rsid w:val="002876C9"/>
    <w:rsid w:val="0028777F"/>
    <w:rsid w:val="002877B4"/>
    <w:rsid w:val="002878E4"/>
    <w:rsid w:val="002879C4"/>
    <w:rsid w:val="00287A8B"/>
    <w:rsid w:val="00287B58"/>
    <w:rsid w:val="00287C3A"/>
    <w:rsid w:val="00287D87"/>
    <w:rsid w:val="00287DB0"/>
    <w:rsid w:val="00287DFD"/>
    <w:rsid w:val="00287EED"/>
    <w:rsid w:val="00287F0C"/>
    <w:rsid w:val="00287F35"/>
    <w:rsid w:val="00287F74"/>
    <w:rsid w:val="002903AD"/>
    <w:rsid w:val="00290443"/>
    <w:rsid w:val="00290700"/>
    <w:rsid w:val="002909FE"/>
    <w:rsid w:val="00290A1F"/>
    <w:rsid w:val="00290A36"/>
    <w:rsid w:val="00290AB7"/>
    <w:rsid w:val="00290CA7"/>
    <w:rsid w:val="00290F2E"/>
    <w:rsid w:val="00290FD1"/>
    <w:rsid w:val="00290FFE"/>
    <w:rsid w:val="002911CC"/>
    <w:rsid w:val="002911FE"/>
    <w:rsid w:val="0029126B"/>
    <w:rsid w:val="00291323"/>
    <w:rsid w:val="0029141F"/>
    <w:rsid w:val="00291496"/>
    <w:rsid w:val="002914EA"/>
    <w:rsid w:val="002917B1"/>
    <w:rsid w:val="002917B5"/>
    <w:rsid w:val="002917D0"/>
    <w:rsid w:val="002918A8"/>
    <w:rsid w:val="00291AD5"/>
    <w:rsid w:val="00291B6E"/>
    <w:rsid w:val="00291D5D"/>
    <w:rsid w:val="00291EA3"/>
    <w:rsid w:val="0029224D"/>
    <w:rsid w:val="00292321"/>
    <w:rsid w:val="00292428"/>
    <w:rsid w:val="00292451"/>
    <w:rsid w:val="002924B1"/>
    <w:rsid w:val="00292598"/>
    <w:rsid w:val="0029298B"/>
    <w:rsid w:val="00292A2B"/>
    <w:rsid w:val="00292A40"/>
    <w:rsid w:val="00292B1D"/>
    <w:rsid w:val="00292B55"/>
    <w:rsid w:val="00292B98"/>
    <w:rsid w:val="00292D3B"/>
    <w:rsid w:val="00292D7C"/>
    <w:rsid w:val="00292ED7"/>
    <w:rsid w:val="002932D8"/>
    <w:rsid w:val="00293488"/>
    <w:rsid w:val="00293560"/>
    <w:rsid w:val="00293631"/>
    <w:rsid w:val="00293712"/>
    <w:rsid w:val="00293894"/>
    <w:rsid w:val="002938C4"/>
    <w:rsid w:val="00293ACF"/>
    <w:rsid w:val="00293CFA"/>
    <w:rsid w:val="00293D54"/>
    <w:rsid w:val="00293E1A"/>
    <w:rsid w:val="00293ECA"/>
    <w:rsid w:val="00293ECB"/>
    <w:rsid w:val="002944E8"/>
    <w:rsid w:val="0029461D"/>
    <w:rsid w:val="002946B6"/>
    <w:rsid w:val="00294722"/>
    <w:rsid w:val="0029498F"/>
    <w:rsid w:val="00294AA6"/>
    <w:rsid w:val="00294BB0"/>
    <w:rsid w:val="00294C3A"/>
    <w:rsid w:val="00294D3B"/>
    <w:rsid w:val="00294E0A"/>
    <w:rsid w:val="00294FB7"/>
    <w:rsid w:val="00295177"/>
    <w:rsid w:val="002951A0"/>
    <w:rsid w:val="002952F1"/>
    <w:rsid w:val="002953EA"/>
    <w:rsid w:val="0029554B"/>
    <w:rsid w:val="0029581F"/>
    <w:rsid w:val="0029587C"/>
    <w:rsid w:val="00295A30"/>
    <w:rsid w:val="00295CC0"/>
    <w:rsid w:val="00295D78"/>
    <w:rsid w:val="00296141"/>
    <w:rsid w:val="002963AD"/>
    <w:rsid w:val="00296564"/>
    <w:rsid w:val="00296692"/>
    <w:rsid w:val="00296699"/>
    <w:rsid w:val="002966F0"/>
    <w:rsid w:val="002967CA"/>
    <w:rsid w:val="002967EF"/>
    <w:rsid w:val="00296885"/>
    <w:rsid w:val="00296A88"/>
    <w:rsid w:val="00296BBE"/>
    <w:rsid w:val="00296D0F"/>
    <w:rsid w:val="00296DEA"/>
    <w:rsid w:val="0029702D"/>
    <w:rsid w:val="00297071"/>
    <w:rsid w:val="00297139"/>
    <w:rsid w:val="00297148"/>
    <w:rsid w:val="0029717F"/>
    <w:rsid w:val="00297222"/>
    <w:rsid w:val="00297297"/>
    <w:rsid w:val="00297385"/>
    <w:rsid w:val="002973D7"/>
    <w:rsid w:val="002975B9"/>
    <w:rsid w:val="00297609"/>
    <w:rsid w:val="00297626"/>
    <w:rsid w:val="0029770A"/>
    <w:rsid w:val="002979B8"/>
    <w:rsid w:val="00297BA7"/>
    <w:rsid w:val="00297C72"/>
    <w:rsid w:val="00297DFE"/>
    <w:rsid w:val="00297E24"/>
    <w:rsid w:val="002A02A8"/>
    <w:rsid w:val="002A0484"/>
    <w:rsid w:val="002A04C9"/>
    <w:rsid w:val="002A0954"/>
    <w:rsid w:val="002A0980"/>
    <w:rsid w:val="002A09EF"/>
    <w:rsid w:val="002A0D65"/>
    <w:rsid w:val="002A0D9D"/>
    <w:rsid w:val="002A0E68"/>
    <w:rsid w:val="002A0FFB"/>
    <w:rsid w:val="002A1313"/>
    <w:rsid w:val="002A135A"/>
    <w:rsid w:val="002A1490"/>
    <w:rsid w:val="002A15E3"/>
    <w:rsid w:val="002A1628"/>
    <w:rsid w:val="002A1985"/>
    <w:rsid w:val="002A1B21"/>
    <w:rsid w:val="002A1E44"/>
    <w:rsid w:val="002A1FAF"/>
    <w:rsid w:val="002A2141"/>
    <w:rsid w:val="002A229C"/>
    <w:rsid w:val="002A23FB"/>
    <w:rsid w:val="002A2401"/>
    <w:rsid w:val="002A2610"/>
    <w:rsid w:val="002A2620"/>
    <w:rsid w:val="002A26D2"/>
    <w:rsid w:val="002A274A"/>
    <w:rsid w:val="002A2A74"/>
    <w:rsid w:val="002A2B42"/>
    <w:rsid w:val="002A2BC8"/>
    <w:rsid w:val="002A2BFC"/>
    <w:rsid w:val="002A2D08"/>
    <w:rsid w:val="002A2D0A"/>
    <w:rsid w:val="002A2D7D"/>
    <w:rsid w:val="002A2DEB"/>
    <w:rsid w:val="002A2ED1"/>
    <w:rsid w:val="002A2EDB"/>
    <w:rsid w:val="002A2F78"/>
    <w:rsid w:val="002A2F86"/>
    <w:rsid w:val="002A2F95"/>
    <w:rsid w:val="002A30EE"/>
    <w:rsid w:val="002A3144"/>
    <w:rsid w:val="002A322E"/>
    <w:rsid w:val="002A3241"/>
    <w:rsid w:val="002A333A"/>
    <w:rsid w:val="002A3791"/>
    <w:rsid w:val="002A3875"/>
    <w:rsid w:val="002A38D7"/>
    <w:rsid w:val="002A38DE"/>
    <w:rsid w:val="002A38EC"/>
    <w:rsid w:val="002A3905"/>
    <w:rsid w:val="002A39CA"/>
    <w:rsid w:val="002A3A33"/>
    <w:rsid w:val="002A3BBA"/>
    <w:rsid w:val="002A3BC2"/>
    <w:rsid w:val="002A3CF4"/>
    <w:rsid w:val="002A3D65"/>
    <w:rsid w:val="002A4162"/>
    <w:rsid w:val="002A416D"/>
    <w:rsid w:val="002A4472"/>
    <w:rsid w:val="002A46AB"/>
    <w:rsid w:val="002A47C7"/>
    <w:rsid w:val="002A4BED"/>
    <w:rsid w:val="002A4C5E"/>
    <w:rsid w:val="002A4D02"/>
    <w:rsid w:val="002A4E26"/>
    <w:rsid w:val="002A4E7F"/>
    <w:rsid w:val="002A4FB0"/>
    <w:rsid w:val="002A5057"/>
    <w:rsid w:val="002A5071"/>
    <w:rsid w:val="002A51A2"/>
    <w:rsid w:val="002A5243"/>
    <w:rsid w:val="002A5257"/>
    <w:rsid w:val="002A5268"/>
    <w:rsid w:val="002A52A3"/>
    <w:rsid w:val="002A563D"/>
    <w:rsid w:val="002A583F"/>
    <w:rsid w:val="002A58FB"/>
    <w:rsid w:val="002A59D7"/>
    <w:rsid w:val="002A5BEC"/>
    <w:rsid w:val="002A5C48"/>
    <w:rsid w:val="002A5F29"/>
    <w:rsid w:val="002A605E"/>
    <w:rsid w:val="002A60BF"/>
    <w:rsid w:val="002A6107"/>
    <w:rsid w:val="002A6164"/>
    <w:rsid w:val="002A62C5"/>
    <w:rsid w:val="002A62F2"/>
    <w:rsid w:val="002A6577"/>
    <w:rsid w:val="002A66E6"/>
    <w:rsid w:val="002A67B9"/>
    <w:rsid w:val="002A68B5"/>
    <w:rsid w:val="002A68C4"/>
    <w:rsid w:val="002A6B44"/>
    <w:rsid w:val="002A6D27"/>
    <w:rsid w:val="002A6DC6"/>
    <w:rsid w:val="002A6FA4"/>
    <w:rsid w:val="002A6FD9"/>
    <w:rsid w:val="002A72F0"/>
    <w:rsid w:val="002A7416"/>
    <w:rsid w:val="002A746D"/>
    <w:rsid w:val="002A748B"/>
    <w:rsid w:val="002A755B"/>
    <w:rsid w:val="002A7772"/>
    <w:rsid w:val="002A78E7"/>
    <w:rsid w:val="002A7A07"/>
    <w:rsid w:val="002A7A33"/>
    <w:rsid w:val="002A7C98"/>
    <w:rsid w:val="002A7CB4"/>
    <w:rsid w:val="002A7E30"/>
    <w:rsid w:val="002A7E42"/>
    <w:rsid w:val="002A7EBA"/>
    <w:rsid w:val="002B0019"/>
    <w:rsid w:val="002B0117"/>
    <w:rsid w:val="002B030B"/>
    <w:rsid w:val="002B0380"/>
    <w:rsid w:val="002B0711"/>
    <w:rsid w:val="002B0715"/>
    <w:rsid w:val="002B0822"/>
    <w:rsid w:val="002B091D"/>
    <w:rsid w:val="002B0938"/>
    <w:rsid w:val="002B0968"/>
    <w:rsid w:val="002B0D7D"/>
    <w:rsid w:val="002B0E21"/>
    <w:rsid w:val="002B0EA8"/>
    <w:rsid w:val="002B0F62"/>
    <w:rsid w:val="002B0FF6"/>
    <w:rsid w:val="002B11FA"/>
    <w:rsid w:val="002B1249"/>
    <w:rsid w:val="002B12A8"/>
    <w:rsid w:val="002B130E"/>
    <w:rsid w:val="002B15E2"/>
    <w:rsid w:val="002B16D0"/>
    <w:rsid w:val="002B17AA"/>
    <w:rsid w:val="002B1890"/>
    <w:rsid w:val="002B1B61"/>
    <w:rsid w:val="002B1CBE"/>
    <w:rsid w:val="002B1CC1"/>
    <w:rsid w:val="002B1F94"/>
    <w:rsid w:val="002B2151"/>
    <w:rsid w:val="002B21A6"/>
    <w:rsid w:val="002B2249"/>
    <w:rsid w:val="002B2318"/>
    <w:rsid w:val="002B234C"/>
    <w:rsid w:val="002B236C"/>
    <w:rsid w:val="002B24B7"/>
    <w:rsid w:val="002B2525"/>
    <w:rsid w:val="002B29A9"/>
    <w:rsid w:val="002B2A0D"/>
    <w:rsid w:val="002B2BD4"/>
    <w:rsid w:val="002B2D7F"/>
    <w:rsid w:val="002B2F5F"/>
    <w:rsid w:val="002B2FA0"/>
    <w:rsid w:val="002B2FCE"/>
    <w:rsid w:val="002B305F"/>
    <w:rsid w:val="002B3193"/>
    <w:rsid w:val="002B31DD"/>
    <w:rsid w:val="002B3252"/>
    <w:rsid w:val="002B3468"/>
    <w:rsid w:val="002B3469"/>
    <w:rsid w:val="002B36D7"/>
    <w:rsid w:val="002B3A70"/>
    <w:rsid w:val="002B3B40"/>
    <w:rsid w:val="002B3C7F"/>
    <w:rsid w:val="002B3C95"/>
    <w:rsid w:val="002B3E26"/>
    <w:rsid w:val="002B3F65"/>
    <w:rsid w:val="002B3FBF"/>
    <w:rsid w:val="002B4152"/>
    <w:rsid w:val="002B4191"/>
    <w:rsid w:val="002B4265"/>
    <w:rsid w:val="002B4302"/>
    <w:rsid w:val="002B4370"/>
    <w:rsid w:val="002B4568"/>
    <w:rsid w:val="002B4642"/>
    <w:rsid w:val="002B49D3"/>
    <w:rsid w:val="002B4A26"/>
    <w:rsid w:val="002B4C08"/>
    <w:rsid w:val="002B4F03"/>
    <w:rsid w:val="002B511F"/>
    <w:rsid w:val="002B51D1"/>
    <w:rsid w:val="002B5351"/>
    <w:rsid w:val="002B543C"/>
    <w:rsid w:val="002B55A2"/>
    <w:rsid w:val="002B5653"/>
    <w:rsid w:val="002B5787"/>
    <w:rsid w:val="002B57D3"/>
    <w:rsid w:val="002B5B7D"/>
    <w:rsid w:val="002B5B89"/>
    <w:rsid w:val="002B5BA6"/>
    <w:rsid w:val="002B5C02"/>
    <w:rsid w:val="002B5EE9"/>
    <w:rsid w:val="002B5F59"/>
    <w:rsid w:val="002B5F84"/>
    <w:rsid w:val="002B615F"/>
    <w:rsid w:val="002B619C"/>
    <w:rsid w:val="002B61BA"/>
    <w:rsid w:val="002B61E2"/>
    <w:rsid w:val="002B6314"/>
    <w:rsid w:val="002B6331"/>
    <w:rsid w:val="002B639C"/>
    <w:rsid w:val="002B63E3"/>
    <w:rsid w:val="002B653F"/>
    <w:rsid w:val="002B67C4"/>
    <w:rsid w:val="002B6818"/>
    <w:rsid w:val="002B69C7"/>
    <w:rsid w:val="002B6A36"/>
    <w:rsid w:val="002B6ABE"/>
    <w:rsid w:val="002B6B80"/>
    <w:rsid w:val="002B6C9E"/>
    <w:rsid w:val="002B6CC7"/>
    <w:rsid w:val="002B6D01"/>
    <w:rsid w:val="002B6DF1"/>
    <w:rsid w:val="002B6F01"/>
    <w:rsid w:val="002B6FCA"/>
    <w:rsid w:val="002B7077"/>
    <w:rsid w:val="002B708C"/>
    <w:rsid w:val="002B71E5"/>
    <w:rsid w:val="002B73B5"/>
    <w:rsid w:val="002B74FE"/>
    <w:rsid w:val="002B764A"/>
    <w:rsid w:val="002B767D"/>
    <w:rsid w:val="002B7835"/>
    <w:rsid w:val="002B79EF"/>
    <w:rsid w:val="002B7A0D"/>
    <w:rsid w:val="002B7A42"/>
    <w:rsid w:val="002B7A52"/>
    <w:rsid w:val="002B7A64"/>
    <w:rsid w:val="002B7B5D"/>
    <w:rsid w:val="002B7BEF"/>
    <w:rsid w:val="002B7E58"/>
    <w:rsid w:val="002B7F68"/>
    <w:rsid w:val="002C0048"/>
    <w:rsid w:val="002C018D"/>
    <w:rsid w:val="002C01AA"/>
    <w:rsid w:val="002C056F"/>
    <w:rsid w:val="002C06E1"/>
    <w:rsid w:val="002C0871"/>
    <w:rsid w:val="002C0893"/>
    <w:rsid w:val="002C0A25"/>
    <w:rsid w:val="002C0DCA"/>
    <w:rsid w:val="002C1009"/>
    <w:rsid w:val="002C1144"/>
    <w:rsid w:val="002C114E"/>
    <w:rsid w:val="002C11C2"/>
    <w:rsid w:val="002C148C"/>
    <w:rsid w:val="002C14B7"/>
    <w:rsid w:val="002C1538"/>
    <w:rsid w:val="002C1616"/>
    <w:rsid w:val="002C164B"/>
    <w:rsid w:val="002C1690"/>
    <w:rsid w:val="002C17E3"/>
    <w:rsid w:val="002C1826"/>
    <w:rsid w:val="002C183A"/>
    <w:rsid w:val="002C1A5A"/>
    <w:rsid w:val="002C1A8D"/>
    <w:rsid w:val="002C1B30"/>
    <w:rsid w:val="002C1B9A"/>
    <w:rsid w:val="002C1C0C"/>
    <w:rsid w:val="002C1E29"/>
    <w:rsid w:val="002C212A"/>
    <w:rsid w:val="002C223E"/>
    <w:rsid w:val="002C23A4"/>
    <w:rsid w:val="002C23EA"/>
    <w:rsid w:val="002C2408"/>
    <w:rsid w:val="002C2655"/>
    <w:rsid w:val="002C2797"/>
    <w:rsid w:val="002C2AFC"/>
    <w:rsid w:val="002C2B22"/>
    <w:rsid w:val="002C2B25"/>
    <w:rsid w:val="002C2B83"/>
    <w:rsid w:val="002C2C91"/>
    <w:rsid w:val="002C2D63"/>
    <w:rsid w:val="002C2DF2"/>
    <w:rsid w:val="002C2FB3"/>
    <w:rsid w:val="002C3179"/>
    <w:rsid w:val="002C327D"/>
    <w:rsid w:val="002C3397"/>
    <w:rsid w:val="002C33E3"/>
    <w:rsid w:val="002C355A"/>
    <w:rsid w:val="002C36FA"/>
    <w:rsid w:val="002C3777"/>
    <w:rsid w:val="002C3937"/>
    <w:rsid w:val="002C3950"/>
    <w:rsid w:val="002C3A38"/>
    <w:rsid w:val="002C3B9A"/>
    <w:rsid w:val="002C3C56"/>
    <w:rsid w:val="002C3CF1"/>
    <w:rsid w:val="002C3D3B"/>
    <w:rsid w:val="002C3F89"/>
    <w:rsid w:val="002C4093"/>
    <w:rsid w:val="002C4385"/>
    <w:rsid w:val="002C461C"/>
    <w:rsid w:val="002C47E4"/>
    <w:rsid w:val="002C47E6"/>
    <w:rsid w:val="002C4902"/>
    <w:rsid w:val="002C4A8A"/>
    <w:rsid w:val="002C4AF6"/>
    <w:rsid w:val="002C4B0A"/>
    <w:rsid w:val="002C4BA4"/>
    <w:rsid w:val="002C4C32"/>
    <w:rsid w:val="002C4C8B"/>
    <w:rsid w:val="002C4DC6"/>
    <w:rsid w:val="002C4ED4"/>
    <w:rsid w:val="002C5064"/>
    <w:rsid w:val="002C538D"/>
    <w:rsid w:val="002C53A5"/>
    <w:rsid w:val="002C5457"/>
    <w:rsid w:val="002C558E"/>
    <w:rsid w:val="002C580B"/>
    <w:rsid w:val="002C58BC"/>
    <w:rsid w:val="002C5915"/>
    <w:rsid w:val="002C59A6"/>
    <w:rsid w:val="002C59C2"/>
    <w:rsid w:val="002C5AA0"/>
    <w:rsid w:val="002C5BE8"/>
    <w:rsid w:val="002C5C8D"/>
    <w:rsid w:val="002C5CA8"/>
    <w:rsid w:val="002C5DF1"/>
    <w:rsid w:val="002C5DF9"/>
    <w:rsid w:val="002C5EDE"/>
    <w:rsid w:val="002C5FD2"/>
    <w:rsid w:val="002C5FF5"/>
    <w:rsid w:val="002C611D"/>
    <w:rsid w:val="002C63A5"/>
    <w:rsid w:val="002C63E6"/>
    <w:rsid w:val="002C6553"/>
    <w:rsid w:val="002C6569"/>
    <w:rsid w:val="002C6579"/>
    <w:rsid w:val="002C661B"/>
    <w:rsid w:val="002C67CA"/>
    <w:rsid w:val="002C67E5"/>
    <w:rsid w:val="002C6854"/>
    <w:rsid w:val="002C685D"/>
    <w:rsid w:val="002C6AD3"/>
    <w:rsid w:val="002C6BFE"/>
    <w:rsid w:val="002C6CB3"/>
    <w:rsid w:val="002C6E7A"/>
    <w:rsid w:val="002C7055"/>
    <w:rsid w:val="002C70B7"/>
    <w:rsid w:val="002C718D"/>
    <w:rsid w:val="002C71C7"/>
    <w:rsid w:val="002C7242"/>
    <w:rsid w:val="002C72B7"/>
    <w:rsid w:val="002C73F4"/>
    <w:rsid w:val="002C76C3"/>
    <w:rsid w:val="002C76C6"/>
    <w:rsid w:val="002C7834"/>
    <w:rsid w:val="002C7A47"/>
    <w:rsid w:val="002C7B5F"/>
    <w:rsid w:val="002C7B98"/>
    <w:rsid w:val="002C7CB3"/>
    <w:rsid w:val="002C7F79"/>
    <w:rsid w:val="002C7FE5"/>
    <w:rsid w:val="002D00BB"/>
    <w:rsid w:val="002D018F"/>
    <w:rsid w:val="002D027A"/>
    <w:rsid w:val="002D02F8"/>
    <w:rsid w:val="002D03F1"/>
    <w:rsid w:val="002D04FD"/>
    <w:rsid w:val="002D051F"/>
    <w:rsid w:val="002D057E"/>
    <w:rsid w:val="002D05A1"/>
    <w:rsid w:val="002D0624"/>
    <w:rsid w:val="002D069C"/>
    <w:rsid w:val="002D070A"/>
    <w:rsid w:val="002D0785"/>
    <w:rsid w:val="002D098C"/>
    <w:rsid w:val="002D0A8E"/>
    <w:rsid w:val="002D0B73"/>
    <w:rsid w:val="002D0B8F"/>
    <w:rsid w:val="002D0CAF"/>
    <w:rsid w:val="002D0FA8"/>
    <w:rsid w:val="002D107B"/>
    <w:rsid w:val="002D1192"/>
    <w:rsid w:val="002D11B9"/>
    <w:rsid w:val="002D1545"/>
    <w:rsid w:val="002D15C0"/>
    <w:rsid w:val="002D1A75"/>
    <w:rsid w:val="002D1A79"/>
    <w:rsid w:val="002D1A9A"/>
    <w:rsid w:val="002D1BA6"/>
    <w:rsid w:val="002D1C33"/>
    <w:rsid w:val="002D1C35"/>
    <w:rsid w:val="002D1C94"/>
    <w:rsid w:val="002D1D27"/>
    <w:rsid w:val="002D1E32"/>
    <w:rsid w:val="002D1FE5"/>
    <w:rsid w:val="002D206B"/>
    <w:rsid w:val="002D231F"/>
    <w:rsid w:val="002D2342"/>
    <w:rsid w:val="002D2375"/>
    <w:rsid w:val="002D238F"/>
    <w:rsid w:val="002D23AB"/>
    <w:rsid w:val="002D267D"/>
    <w:rsid w:val="002D27BA"/>
    <w:rsid w:val="002D2947"/>
    <w:rsid w:val="002D2C22"/>
    <w:rsid w:val="002D2C7A"/>
    <w:rsid w:val="002D2DD5"/>
    <w:rsid w:val="002D2DF1"/>
    <w:rsid w:val="002D2F6A"/>
    <w:rsid w:val="002D30BF"/>
    <w:rsid w:val="002D3114"/>
    <w:rsid w:val="002D316E"/>
    <w:rsid w:val="002D327B"/>
    <w:rsid w:val="002D33B7"/>
    <w:rsid w:val="002D3474"/>
    <w:rsid w:val="002D35DE"/>
    <w:rsid w:val="002D35F9"/>
    <w:rsid w:val="002D3603"/>
    <w:rsid w:val="002D3863"/>
    <w:rsid w:val="002D3A68"/>
    <w:rsid w:val="002D3A91"/>
    <w:rsid w:val="002D3AD1"/>
    <w:rsid w:val="002D3B90"/>
    <w:rsid w:val="002D3CF7"/>
    <w:rsid w:val="002D3FD4"/>
    <w:rsid w:val="002D40A1"/>
    <w:rsid w:val="002D40BD"/>
    <w:rsid w:val="002D4112"/>
    <w:rsid w:val="002D417A"/>
    <w:rsid w:val="002D4197"/>
    <w:rsid w:val="002D42A5"/>
    <w:rsid w:val="002D42B5"/>
    <w:rsid w:val="002D43F9"/>
    <w:rsid w:val="002D4491"/>
    <w:rsid w:val="002D44F4"/>
    <w:rsid w:val="002D457B"/>
    <w:rsid w:val="002D46FE"/>
    <w:rsid w:val="002D47C0"/>
    <w:rsid w:val="002D47FE"/>
    <w:rsid w:val="002D484E"/>
    <w:rsid w:val="002D48C4"/>
    <w:rsid w:val="002D4984"/>
    <w:rsid w:val="002D4A52"/>
    <w:rsid w:val="002D4A77"/>
    <w:rsid w:val="002D4ABF"/>
    <w:rsid w:val="002D4BE3"/>
    <w:rsid w:val="002D4C0F"/>
    <w:rsid w:val="002D4C5A"/>
    <w:rsid w:val="002D4D86"/>
    <w:rsid w:val="002D4E6B"/>
    <w:rsid w:val="002D4F6A"/>
    <w:rsid w:val="002D4F98"/>
    <w:rsid w:val="002D5076"/>
    <w:rsid w:val="002D517E"/>
    <w:rsid w:val="002D53C6"/>
    <w:rsid w:val="002D5512"/>
    <w:rsid w:val="002D565C"/>
    <w:rsid w:val="002D56D8"/>
    <w:rsid w:val="002D571F"/>
    <w:rsid w:val="002D5741"/>
    <w:rsid w:val="002D579A"/>
    <w:rsid w:val="002D58BD"/>
    <w:rsid w:val="002D598E"/>
    <w:rsid w:val="002D5A6F"/>
    <w:rsid w:val="002D5A72"/>
    <w:rsid w:val="002D5DC3"/>
    <w:rsid w:val="002D6083"/>
    <w:rsid w:val="002D6232"/>
    <w:rsid w:val="002D63A4"/>
    <w:rsid w:val="002D6581"/>
    <w:rsid w:val="002D65EF"/>
    <w:rsid w:val="002D66C6"/>
    <w:rsid w:val="002D68AC"/>
    <w:rsid w:val="002D6A31"/>
    <w:rsid w:val="002D6B78"/>
    <w:rsid w:val="002D6C96"/>
    <w:rsid w:val="002D6D21"/>
    <w:rsid w:val="002D6DC8"/>
    <w:rsid w:val="002D6F34"/>
    <w:rsid w:val="002D716A"/>
    <w:rsid w:val="002D729A"/>
    <w:rsid w:val="002D775B"/>
    <w:rsid w:val="002D77D3"/>
    <w:rsid w:val="002D7B65"/>
    <w:rsid w:val="002D7B9F"/>
    <w:rsid w:val="002D7C46"/>
    <w:rsid w:val="002D7C81"/>
    <w:rsid w:val="002D7D18"/>
    <w:rsid w:val="002D7D71"/>
    <w:rsid w:val="002D7E68"/>
    <w:rsid w:val="002D7F01"/>
    <w:rsid w:val="002D7F5C"/>
    <w:rsid w:val="002D7F96"/>
    <w:rsid w:val="002DD27C"/>
    <w:rsid w:val="002E003F"/>
    <w:rsid w:val="002E00E6"/>
    <w:rsid w:val="002E01B7"/>
    <w:rsid w:val="002E0409"/>
    <w:rsid w:val="002E040D"/>
    <w:rsid w:val="002E042A"/>
    <w:rsid w:val="002E0587"/>
    <w:rsid w:val="002E05B3"/>
    <w:rsid w:val="002E0678"/>
    <w:rsid w:val="002E0740"/>
    <w:rsid w:val="002E0960"/>
    <w:rsid w:val="002E0A61"/>
    <w:rsid w:val="002E0C08"/>
    <w:rsid w:val="002E0C22"/>
    <w:rsid w:val="002E0D23"/>
    <w:rsid w:val="002E0DE1"/>
    <w:rsid w:val="002E0E7D"/>
    <w:rsid w:val="002E1126"/>
    <w:rsid w:val="002E13AD"/>
    <w:rsid w:val="002E16ED"/>
    <w:rsid w:val="002E1717"/>
    <w:rsid w:val="002E1789"/>
    <w:rsid w:val="002E186A"/>
    <w:rsid w:val="002E18B6"/>
    <w:rsid w:val="002E1A33"/>
    <w:rsid w:val="002E1B4C"/>
    <w:rsid w:val="002E1C22"/>
    <w:rsid w:val="002E1F60"/>
    <w:rsid w:val="002E226D"/>
    <w:rsid w:val="002E229E"/>
    <w:rsid w:val="002E24BC"/>
    <w:rsid w:val="002E2569"/>
    <w:rsid w:val="002E2724"/>
    <w:rsid w:val="002E2A9F"/>
    <w:rsid w:val="002E2AE5"/>
    <w:rsid w:val="002E2B15"/>
    <w:rsid w:val="002E2B26"/>
    <w:rsid w:val="002E2B59"/>
    <w:rsid w:val="002E2B96"/>
    <w:rsid w:val="002E2BF8"/>
    <w:rsid w:val="002E2D5B"/>
    <w:rsid w:val="002E2DF8"/>
    <w:rsid w:val="002E2E85"/>
    <w:rsid w:val="002E2FC6"/>
    <w:rsid w:val="002E30BB"/>
    <w:rsid w:val="002E30C0"/>
    <w:rsid w:val="002E311E"/>
    <w:rsid w:val="002E344A"/>
    <w:rsid w:val="002E370F"/>
    <w:rsid w:val="002E3734"/>
    <w:rsid w:val="002E37ED"/>
    <w:rsid w:val="002E38BE"/>
    <w:rsid w:val="002E38C5"/>
    <w:rsid w:val="002E395B"/>
    <w:rsid w:val="002E39E8"/>
    <w:rsid w:val="002E3AC7"/>
    <w:rsid w:val="002E3B7C"/>
    <w:rsid w:val="002E3BCA"/>
    <w:rsid w:val="002E3D3F"/>
    <w:rsid w:val="002E3E52"/>
    <w:rsid w:val="002E3EBC"/>
    <w:rsid w:val="002E3F57"/>
    <w:rsid w:val="002E3FF2"/>
    <w:rsid w:val="002E3FF3"/>
    <w:rsid w:val="002E404C"/>
    <w:rsid w:val="002E472B"/>
    <w:rsid w:val="002E47FA"/>
    <w:rsid w:val="002E4838"/>
    <w:rsid w:val="002E49E3"/>
    <w:rsid w:val="002E4A56"/>
    <w:rsid w:val="002E4B3A"/>
    <w:rsid w:val="002E4B60"/>
    <w:rsid w:val="002E4B9B"/>
    <w:rsid w:val="002E4CA2"/>
    <w:rsid w:val="002E4D05"/>
    <w:rsid w:val="002E4DE8"/>
    <w:rsid w:val="002E4E26"/>
    <w:rsid w:val="002E4E90"/>
    <w:rsid w:val="002E4ECC"/>
    <w:rsid w:val="002E4FFC"/>
    <w:rsid w:val="002E5194"/>
    <w:rsid w:val="002E51C8"/>
    <w:rsid w:val="002E5372"/>
    <w:rsid w:val="002E54A3"/>
    <w:rsid w:val="002E54B9"/>
    <w:rsid w:val="002E5554"/>
    <w:rsid w:val="002E5770"/>
    <w:rsid w:val="002E59C7"/>
    <w:rsid w:val="002E59D9"/>
    <w:rsid w:val="002E5A3D"/>
    <w:rsid w:val="002E5ABC"/>
    <w:rsid w:val="002E5AEE"/>
    <w:rsid w:val="002E5B0B"/>
    <w:rsid w:val="002E5BAF"/>
    <w:rsid w:val="002E5BD7"/>
    <w:rsid w:val="002E5C25"/>
    <w:rsid w:val="002E5CDA"/>
    <w:rsid w:val="002E5D33"/>
    <w:rsid w:val="002E5D57"/>
    <w:rsid w:val="002E5DCB"/>
    <w:rsid w:val="002E5E07"/>
    <w:rsid w:val="002E5FC2"/>
    <w:rsid w:val="002E6014"/>
    <w:rsid w:val="002E617B"/>
    <w:rsid w:val="002E6332"/>
    <w:rsid w:val="002E64D1"/>
    <w:rsid w:val="002E66C8"/>
    <w:rsid w:val="002E67A5"/>
    <w:rsid w:val="002E68B3"/>
    <w:rsid w:val="002E6A3A"/>
    <w:rsid w:val="002E6B25"/>
    <w:rsid w:val="002E6D0E"/>
    <w:rsid w:val="002E6D26"/>
    <w:rsid w:val="002E6F94"/>
    <w:rsid w:val="002E6FF3"/>
    <w:rsid w:val="002E7146"/>
    <w:rsid w:val="002E74FF"/>
    <w:rsid w:val="002E760A"/>
    <w:rsid w:val="002E78D8"/>
    <w:rsid w:val="002E7D42"/>
    <w:rsid w:val="002E7D4F"/>
    <w:rsid w:val="002E7E1C"/>
    <w:rsid w:val="002E7F2D"/>
    <w:rsid w:val="002F0067"/>
    <w:rsid w:val="002F01AC"/>
    <w:rsid w:val="002F01D5"/>
    <w:rsid w:val="002F01E5"/>
    <w:rsid w:val="002F0354"/>
    <w:rsid w:val="002F03E3"/>
    <w:rsid w:val="002F043B"/>
    <w:rsid w:val="002F08C2"/>
    <w:rsid w:val="002F0AE9"/>
    <w:rsid w:val="002F0B52"/>
    <w:rsid w:val="002F0B8E"/>
    <w:rsid w:val="002F0BE1"/>
    <w:rsid w:val="002F0CD8"/>
    <w:rsid w:val="002F0D98"/>
    <w:rsid w:val="002F0E76"/>
    <w:rsid w:val="002F108C"/>
    <w:rsid w:val="002F1144"/>
    <w:rsid w:val="002F11D2"/>
    <w:rsid w:val="002F126A"/>
    <w:rsid w:val="002F13CF"/>
    <w:rsid w:val="002F146C"/>
    <w:rsid w:val="002F14AC"/>
    <w:rsid w:val="002F14DC"/>
    <w:rsid w:val="002F15F9"/>
    <w:rsid w:val="002F1626"/>
    <w:rsid w:val="002F16E7"/>
    <w:rsid w:val="002F184F"/>
    <w:rsid w:val="002F19B5"/>
    <w:rsid w:val="002F1C8E"/>
    <w:rsid w:val="002F236B"/>
    <w:rsid w:val="002F23B3"/>
    <w:rsid w:val="002F24AD"/>
    <w:rsid w:val="002F2541"/>
    <w:rsid w:val="002F2554"/>
    <w:rsid w:val="002F258C"/>
    <w:rsid w:val="002F2631"/>
    <w:rsid w:val="002F27A1"/>
    <w:rsid w:val="002F2802"/>
    <w:rsid w:val="002F2882"/>
    <w:rsid w:val="002F29DB"/>
    <w:rsid w:val="002F2A6E"/>
    <w:rsid w:val="002F2A84"/>
    <w:rsid w:val="002F2AB7"/>
    <w:rsid w:val="002F2AF6"/>
    <w:rsid w:val="002F2B6E"/>
    <w:rsid w:val="002F2BBC"/>
    <w:rsid w:val="002F2C33"/>
    <w:rsid w:val="002F2E7B"/>
    <w:rsid w:val="002F2E9F"/>
    <w:rsid w:val="002F2EB5"/>
    <w:rsid w:val="002F309C"/>
    <w:rsid w:val="002F30AE"/>
    <w:rsid w:val="002F30EC"/>
    <w:rsid w:val="002F313F"/>
    <w:rsid w:val="002F3160"/>
    <w:rsid w:val="002F3349"/>
    <w:rsid w:val="002F3377"/>
    <w:rsid w:val="002F33EB"/>
    <w:rsid w:val="002F342C"/>
    <w:rsid w:val="002F3453"/>
    <w:rsid w:val="002F37D1"/>
    <w:rsid w:val="002F393F"/>
    <w:rsid w:val="002F3A84"/>
    <w:rsid w:val="002F3BBE"/>
    <w:rsid w:val="002F3BD8"/>
    <w:rsid w:val="002F3BE5"/>
    <w:rsid w:val="002F3CDD"/>
    <w:rsid w:val="002F3D41"/>
    <w:rsid w:val="002F3DAA"/>
    <w:rsid w:val="002F3E36"/>
    <w:rsid w:val="002F3EA3"/>
    <w:rsid w:val="002F3FB4"/>
    <w:rsid w:val="002F3FB5"/>
    <w:rsid w:val="002F3FC7"/>
    <w:rsid w:val="002F4015"/>
    <w:rsid w:val="002F4147"/>
    <w:rsid w:val="002F4154"/>
    <w:rsid w:val="002F417C"/>
    <w:rsid w:val="002F4229"/>
    <w:rsid w:val="002F4538"/>
    <w:rsid w:val="002F4595"/>
    <w:rsid w:val="002F4622"/>
    <w:rsid w:val="002F464D"/>
    <w:rsid w:val="002F4880"/>
    <w:rsid w:val="002F4976"/>
    <w:rsid w:val="002F4C3B"/>
    <w:rsid w:val="002F4CE3"/>
    <w:rsid w:val="002F4CFB"/>
    <w:rsid w:val="002F4D87"/>
    <w:rsid w:val="002F510E"/>
    <w:rsid w:val="002F51CE"/>
    <w:rsid w:val="002F53DC"/>
    <w:rsid w:val="002F54A0"/>
    <w:rsid w:val="002F56EF"/>
    <w:rsid w:val="002F5713"/>
    <w:rsid w:val="002F578F"/>
    <w:rsid w:val="002F5834"/>
    <w:rsid w:val="002F5ADA"/>
    <w:rsid w:val="002F5CFA"/>
    <w:rsid w:val="002F5D85"/>
    <w:rsid w:val="002F5DDF"/>
    <w:rsid w:val="002F5E9A"/>
    <w:rsid w:val="002F5F22"/>
    <w:rsid w:val="002F5F40"/>
    <w:rsid w:val="002F5F94"/>
    <w:rsid w:val="002F6074"/>
    <w:rsid w:val="002F6271"/>
    <w:rsid w:val="002F6311"/>
    <w:rsid w:val="002F6460"/>
    <w:rsid w:val="002F652D"/>
    <w:rsid w:val="002F65B5"/>
    <w:rsid w:val="002F65BE"/>
    <w:rsid w:val="002F66B6"/>
    <w:rsid w:val="002F6769"/>
    <w:rsid w:val="002F6844"/>
    <w:rsid w:val="002F69A1"/>
    <w:rsid w:val="002F6A67"/>
    <w:rsid w:val="002F6B56"/>
    <w:rsid w:val="002F6F0D"/>
    <w:rsid w:val="002F6F30"/>
    <w:rsid w:val="002F72C2"/>
    <w:rsid w:val="002F73F7"/>
    <w:rsid w:val="002F741F"/>
    <w:rsid w:val="002F7421"/>
    <w:rsid w:val="002F7435"/>
    <w:rsid w:val="002F7493"/>
    <w:rsid w:val="002F74F6"/>
    <w:rsid w:val="002F76FE"/>
    <w:rsid w:val="002F7788"/>
    <w:rsid w:val="002F78C6"/>
    <w:rsid w:val="002F79D8"/>
    <w:rsid w:val="002F7A47"/>
    <w:rsid w:val="002F7ABE"/>
    <w:rsid w:val="002F7BEB"/>
    <w:rsid w:val="002F7D0C"/>
    <w:rsid w:val="002F7D2A"/>
    <w:rsid w:val="002F7D80"/>
    <w:rsid w:val="002F7F0D"/>
    <w:rsid w:val="0030006D"/>
    <w:rsid w:val="003001A3"/>
    <w:rsid w:val="003001C0"/>
    <w:rsid w:val="0030023E"/>
    <w:rsid w:val="003003A9"/>
    <w:rsid w:val="003004E1"/>
    <w:rsid w:val="00300B41"/>
    <w:rsid w:val="00300CCA"/>
    <w:rsid w:val="00300CF9"/>
    <w:rsid w:val="00301046"/>
    <w:rsid w:val="00301070"/>
    <w:rsid w:val="003014CD"/>
    <w:rsid w:val="003017BE"/>
    <w:rsid w:val="00301808"/>
    <w:rsid w:val="00301900"/>
    <w:rsid w:val="00301904"/>
    <w:rsid w:val="00301916"/>
    <w:rsid w:val="00301923"/>
    <w:rsid w:val="00301DFD"/>
    <w:rsid w:val="00301E26"/>
    <w:rsid w:val="003020F3"/>
    <w:rsid w:val="00302134"/>
    <w:rsid w:val="003021EA"/>
    <w:rsid w:val="00302273"/>
    <w:rsid w:val="00302465"/>
    <w:rsid w:val="0030255E"/>
    <w:rsid w:val="003026E3"/>
    <w:rsid w:val="00302799"/>
    <w:rsid w:val="0030296B"/>
    <w:rsid w:val="00302DAD"/>
    <w:rsid w:val="00302F0B"/>
    <w:rsid w:val="00303113"/>
    <w:rsid w:val="00303148"/>
    <w:rsid w:val="0030314C"/>
    <w:rsid w:val="003031FA"/>
    <w:rsid w:val="00303219"/>
    <w:rsid w:val="003033EF"/>
    <w:rsid w:val="0030342B"/>
    <w:rsid w:val="00303589"/>
    <w:rsid w:val="00303604"/>
    <w:rsid w:val="00303609"/>
    <w:rsid w:val="003037E9"/>
    <w:rsid w:val="0030392B"/>
    <w:rsid w:val="00303A44"/>
    <w:rsid w:val="00303ACB"/>
    <w:rsid w:val="00303B97"/>
    <w:rsid w:val="00303E09"/>
    <w:rsid w:val="00303F9E"/>
    <w:rsid w:val="00303FD9"/>
    <w:rsid w:val="00304131"/>
    <w:rsid w:val="00304587"/>
    <w:rsid w:val="003045C4"/>
    <w:rsid w:val="003049DF"/>
    <w:rsid w:val="00304A2E"/>
    <w:rsid w:val="00304A4C"/>
    <w:rsid w:val="00304B54"/>
    <w:rsid w:val="00304BAC"/>
    <w:rsid w:val="00304C02"/>
    <w:rsid w:val="00304C0E"/>
    <w:rsid w:val="00304C56"/>
    <w:rsid w:val="00304CB3"/>
    <w:rsid w:val="0030507F"/>
    <w:rsid w:val="00305186"/>
    <w:rsid w:val="0030545B"/>
    <w:rsid w:val="0030552D"/>
    <w:rsid w:val="00305639"/>
    <w:rsid w:val="003056C0"/>
    <w:rsid w:val="0030577E"/>
    <w:rsid w:val="0030586F"/>
    <w:rsid w:val="003058C6"/>
    <w:rsid w:val="0030595F"/>
    <w:rsid w:val="00305CEE"/>
    <w:rsid w:val="00305DD6"/>
    <w:rsid w:val="00305E42"/>
    <w:rsid w:val="00305EC8"/>
    <w:rsid w:val="00305EFD"/>
    <w:rsid w:val="0030646B"/>
    <w:rsid w:val="003064F0"/>
    <w:rsid w:val="00306736"/>
    <w:rsid w:val="003067DC"/>
    <w:rsid w:val="003068F0"/>
    <w:rsid w:val="00306AA7"/>
    <w:rsid w:val="00306B9F"/>
    <w:rsid w:val="00306CBC"/>
    <w:rsid w:val="00307001"/>
    <w:rsid w:val="0030705E"/>
    <w:rsid w:val="0030722D"/>
    <w:rsid w:val="00307339"/>
    <w:rsid w:val="003074E1"/>
    <w:rsid w:val="00307556"/>
    <w:rsid w:val="00307828"/>
    <w:rsid w:val="00307994"/>
    <w:rsid w:val="00307996"/>
    <w:rsid w:val="003079B7"/>
    <w:rsid w:val="00307C72"/>
    <w:rsid w:val="00307CA5"/>
    <w:rsid w:val="00307D85"/>
    <w:rsid w:val="00307E89"/>
    <w:rsid w:val="00307F65"/>
    <w:rsid w:val="00307FE0"/>
    <w:rsid w:val="003100CB"/>
    <w:rsid w:val="003100CF"/>
    <w:rsid w:val="003100FA"/>
    <w:rsid w:val="003101E7"/>
    <w:rsid w:val="003102E9"/>
    <w:rsid w:val="00310329"/>
    <w:rsid w:val="003104B8"/>
    <w:rsid w:val="003104D6"/>
    <w:rsid w:val="003105E8"/>
    <w:rsid w:val="00310609"/>
    <w:rsid w:val="0031060A"/>
    <w:rsid w:val="0031067F"/>
    <w:rsid w:val="003106CB"/>
    <w:rsid w:val="00310B15"/>
    <w:rsid w:val="00310C08"/>
    <w:rsid w:val="00310C29"/>
    <w:rsid w:val="00310D76"/>
    <w:rsid w:val="00310F1B"/>
    <w:rsid w:val="00310F82"/>
    <w:rsid w:val="00310FE1"/>
    <w:rsid w:val="00311029"/>
    <w:rsid w:val="003112F1"/>
    <w:rsid w:val="00311366"/>
    <w:rsid w:val="003114DA"/>
    <w:rsid w:val="003115A5"/>
    <w:rsid w:val="00311735"/>
    <w:rsid w:val="0031181E"/>
    <w:rsid w:val="003119DF"/>
    <w:rsid w:val="00311AA3"/>
    <w:rsid w:val="00311AC0"/>
    <w:rsid w:val="00311B70"/>
    <w:rsid w:val="00311C0C"/>
    <w:rsid w:val="00311E0E"/>
    <w:rsid w:val="00311E58"/>
    <w:rsid w:val="00311EFE"/>
    <w:rsid w:val="0031204C"/>
    <w:rsid w:val="0031206B"/>
    <w:rsid w:val="003120F9"/>
    <w:rsid w:val="003122BD"/>
    <w:rsid w:val="0031241D"/>
    <w:rsid w:val="00312492"/>
    <w:rsid w:val="00312545"/>
    <w:rsid w:val="00312552"/>
    <w:rsid w:val="0031260F"/>
    <w:rsid w:val="00312705"/>
    <w:rsid w:val="003128D5"/>
    <w:rsid w:val="00312A4D"/>
    <w:rsid w:val="00312A78"/>
    <w:rsid w:val="00312AE2"/>
    <w:rsid w:val="00312D2A"/>
    <w:rsid w:val="00312D71"/>
    <w:rsid w:val="00312D7E"/>
    <w:rsid w:val="00312E7E"/>
    <w:rsid w:val="00312F26"/>
    <w:rsid w:val="00312FE7"/>
    <w:rsid w:val="003131FD"/>
    <w:rsid w:val="003132E8"/>
    <w:rsid w:val="00313336"/>
    <w:rsid w:val="003134B5"/>
    <w:rsid w:val="0031351E"/>
    <w:rsid w:val="00313545"/>
    <w:rsid w:val="00313559"/>
    <w:rsid w:val="0031358C"/>
    <w:rsid w:val="00313627"/>
    <w:rsid w:val="00313703"/>
    <w:rsid w:val="0031370A"/>
    <w:rsid w:val="003138CD"/>
    <w:rsid w:val="00313952"/>
    <w:rsid w:val="00313989"/>
    <w:rsid w:val="003139FD"/>
    <w:rsid w:val="00313C24"/>
    <w:rsid w:val="00313C6A"/>
    <w:rsid w:val="00313E90"/>
    <w:rsid w:val="00313FE9"/>
    <w:rsid w:val="00313FEF"/>
    <w:rsid w:val="00314121"/>
    <w:rsid w:val="0031416C"/>
    <w:rsid w:val="003141D1"/>
    <w:rsid w:val="00314298"/>
    <w:rsid w:val="003142B9"/>
    <w:rsid w:val="00314336"/>
    <w:rsid w:val="003144B4"/>
    <w:rsid w:val="003145F7"/>
    <w:rsid w:val="00314650"/>
    <w:rsid w:val="0031468B"/>
    <w:rsid w:val="00314941"/>
    <w:rsid w:val="00314945"/>
    <w:rsid w:val="003149D3"/>
    <w:rsid w:val="00314A3C"/>
    <w:rsid w:val="00314AE0"/>
    <w:rsid w:val="00314B12"/>
    <w:rsid w:val="00314BAD"/>
    <w:rsid w:val="00314EF3"/>
    <w:rsid w:val="0031503B"/>
    <w:rsid w:val="00315222"/>
    <w:rsid w:val="0031531D"/>
    <w:rsid w:val="00315352"/>
    <w:rsid w:val="003153DB"/>
    <w:rsid w:val="003153E3"/>
    <w:rsid w:val="00315494"/>
    <w:rsid w:val="0031554E"/>
    <w:rsid w:val="0031556E"/>
    <w:rsid w:val="0031568E"/>
    <w:rsid w:val="00315736"/>
    <w:rsid w:val="003157D1"/>
    <w:rsid w:val="003158A9"/>
    <w:rsid w:val="00315A33"/>
    <w:rsid w:val="00315A34"/>
    <w:rsid w:val="00315BB9"/>
    <w:rsid w:val="00315BDA"/>
    <w:rsid w:val="00315C55"/>
    <w:rsid w:val="00315CAB"/>
    <w:rsid w:val="00315E4B"/>
    <w:rsid w:val="00315E7C"/>
    <w:rsid w:val="00315F21"/>
    <w:rsid w:val="00315F9B"/>
    <w:rsid w:val="00315FD7"/>
    <w:rsid w:val="003160DF"/>
    <w:rsid w:val="00316233"/>
    <w:rsid w:val="003163A3"/>
    <w:rsid w:val="003163F1"/>
    <w:rsid w:val="0031666D"/>
    <w:rsid w:val="003167FC"/>
    <w:rsid w:val="00316847"/>
    <w:rsid w:val="003169DC"/>
    <w:rsid w:val="00316A7B"/>
    <w:rsid w:val="00316B27"/>
    <w:rsid w:val="00316B40"/>
    <w:rsid w:val="00316D84"/>
    <w:rsid w:val="00316F70"/>
    <w:rsid w:val="00317057"/>
    <w:rsid w:val="00317112"/>
    <w:rsid w:val="00317123"/>
    <w:rsid w:val="00317124"/>
    <w:rsid w:val="00317244"/>
    <w:rsid w:val="00317432"/>
    <w:rsid w:val="0031745F"/>
    <w:rsid w:val="003175D7"/>
    <w:rsid w:val="003175F9"/>
    <w:rsid w:val="003175FE"/>
    <w:rsid w:val="003176EC"/>
    <w:rsid w:val="003177EE"/>
    <w:rsid w:val="00317836"/>
    <w:rsid w:val="00317908"/>
    <w:rsid w:val="00317A4B"/>
    <w:rsid w:val="00317AFC"/>
    <w:rsid w:val="00317BDA"/>
    <w:rsid w:val="00317C1E"/>
    <w:rsid w:val="00317C9A"/>
    <w:rsid w:val="00317CDC"/>
    <w:rsid w:val="00317E6D"/>
    <w:rsid w:val="00317F3F"/>
    <w:rsid w:val="003200A6"/>
    <w:rsid w:val="00320203"/>
    <w:rsid w:val="00320355"/>
    <w:rsid w:val="003204CC"/>
    <w:rsid w:val="0032051C"/>
    <w:rsid w:val="00320538"/>
    <w:rsid w:val="00320567"/>
    <w:rsid w:val="00320623"/>
    <w:rsid w:val="0032072C"/>
    <w:rsid w:val="00320862"/>
    <w:rsid w:val="003209B6"/>
    <w:rsid w:val="003209F5"/>
    <w:rsid w:val="00320AB8"/>
    <w:rsid w:val="00320C8B"/>
    <w:rsid w:val="00320D4E"/>
    <w:rsid w:val="00320E00"/>
    <w:rsid w:val="00320F43"/>
    <w:rsid w:val="00320FCB"/>
    <w:rsid w:val="00321373"/>
    <w:rsid w:val="003213BA"/>
    <w:rsid w:val="003213FE"/>
    <w:rsid w:val="00321464"/>
    <w:rsid w:val="0032146F"/>
    <w:rsid w:val="0032151B"/>
    <w:rsid w:val="003216E8"/>
    <w:rsid w:val="003217F9"/>
    <w:rsid w:val="003218E9"/>
    <w:rsid w:val="0032194E"/>
    <w:rsid w:val="00321B4B"/>
    <w:rsid w:val="00321B4E"/>
    <w:rsid w:val="00321C17"/>
    <w:rsid w:val="00321E59"/>
    <w:rsid w:val="00322139"/>
    <w:rsid w:val="00322440"/>
    <w:rsid w:val="0032244D"/>
    <w:rsid w:val="00322525"/>
    <w:rsid w:val="003226A7"/>
    <w:rsid w:val="00322723"/>
    <w:rsid w:val="00322756"/>
    <w:rsid w:val="00322A5D"/>
    <w:rsid w:val="00322B9F"/>
    <w:rsid w:val="00322C87"/>
    <w:rsid w:val="00322F20"/>
    <w:rsid w:val="00322F2A"/>
    <w:rsid w:val="00322F61"/>
    <w:rsid w:val="00322F89"/>
    <w:rsid w:val="003230A2"/>
    <w:rsid w:val="00323112"/>
    <w:rsid w:val="00323142"/>
    <w:rsid w:val="003231AF"/>
    <w:rsid w:val="003231E8"/>
    <w:rsid w:val="00323279"/>
    <w:rsid w:val="00323352"/>
    <w:rsid w:val="00323403"/>
    <w:rsid w:val="0032341D"/>
    <w:rsid w:val="00323442"/>
    <w:rsid w:val="0032348D"/>
    <w:rsid w:val="0032354B"/>
    <w:rsid w:val="003237C9"/>
    <w:rsid w:val="0032386D"/>
    <w:rsid w:val="0032388B"/>
    <w:rsid w:val="003238FD"/>
    <w:rsid w:val="00323A31"/>
    <w:rsid w:val="00323A80"/>
    <w:rsid w:val="00323AED"/>
    <w:rsid w:val="00323D82"/>
    <w:rsid w:val="00323F46"/>
    <w:rsid w:val="00323FC5"/>
    <w:rsid w:val="00324089"/>
    <w:rsid w:val="003240BE"/>
    <w:rsid w:val="0032425D"/>
    <w:rsid w:val="0032430E"/>
    <w:rsid w:val="003243DF"/>
    <w:rsid w:val="003244C4"/>
    <w:rsid w:val="00324594"/>
    <w:rsid w:val="00324683"/>
    <w:rsid w:val="003247B0"/>
    <w:rsid w:val="00324817"/>
    <w:rsid w:val="00324828"/>
    <w:rsid w:val="0032494A"/>
    <w:rsid w:val="00324AB2"/>
    <w:rsid w:val="00324B29"/>
    <w:rsid w:val="00324B31"/>
    <w:rsid w:val="00324B96"/>
    <w:rsid w:val="00324BE9"/>
    <w:rsid w:val="00324D18"/>
    <w:rsid w:val="00324D5D"/>
    <w:rsid w:val="00324FAB"/>
    <w:rsid w:val="00324FD8"/>
    <w:rsid w:val="00324FEF"/>
    <w:rsid w:val="003252BD"/>
    <w:rsid w:val="0032536E"/>
    <w:rsid w:val="003253E1"/>
    <w:rsid w:val="00325407"/>
    <w:rsid w:val="003254C9"/>
    <w:rsid w:val="0032550E"/>
    <w:rsid w:val="00325536"/>
    <w:rsid w:val="00325B48"/>
    <w:rsid w:val="00325E16"/>
    <w:rsid w:val="00325EFE"/>
    <w:rsid w:val="00326197"/>
    <w:rsid w:val="00326242"/>
    <w:rsid w:val="00326281"/>
    <w:rsid w:val="00326316"/>
    <w:rsid w:val="0032632C"/>
    <w:rsid w:val="00326453"/>
    <w:rsid w:val="00326462"/>
    <w:rsid w:val="003265B3"/>
    <w:rsid w:val="0032679A"/>
    <w:rsid w:val="003267F2"/>
    <w:rsid w:val="003268FB"/>
    <w:rsid w:val="00326B38"/>
    <w:rsid w:val="00326BE9"/>
    <w:rsid w:val="00326E72"/>
    <w:rsid w:val="00326EE8"/>
    <w:rsid w:val="00327118"/>
    <w:rsid w:val="003272A3"/>
    <w:rsid w:val="00327309"/>
    <w:rsid w:val="00327461"/>
    <w:rsid w:val="003274AF"/>
    <w:rsid w:val="0032757E"/>
    <w:rsid w:val="00327587"/>
    <w:rsid w:val="003275A0"/>
    <w:rsid w:val="003275D6"/>
    <w:rsid w:val="003276D5"/>
    <w:rsid w:val="003276FF"/>
    <w:rsid w:val="00327A81"/>
    <w:rsid w:val="00327AFB"/>
    <w:rsid w:val="00327B40"/>
    <w:rsid w:val="00327D61"/>
    <w:rsid w:val="00327F40"/>
    <w:rsid w:val="00327F9D"/>
    <w:rsid w:val="00330063"/>
    <w:rsid w:val="0033041D"/>
    <w:rsid w:val="003304F4"/>
    <w:rsid w:val="00330644"/>
    <w:rsid w:val="003306E9"/>
    <w:rsid w:val="003306F2"/>
    <w:rsid w:val="00330747"/>
    <w:rsid w:val="003307E0"/>
    <w:rsid w:val="00330891"/>
    <w:rsid w:val="00330AE0"/>
    <w:rsid w:val="00330BDB"/>
    <w:rsid w:val="00330C83"/>
    <w:rsid w:val="00330F2E"/>
    <w:rsid w:val="003311BA"/>
    <w:rsid w:val="003311D3"/>
    <w:rsid w:val="003311DA"/>
    <w:rsid w:val="0033123A"/>
    <w:rsid w:val="0033138C"/>
    <w:rsid w:val="00331409"/>
    <w:rsid w:val="00331438"/>
    <w:rsid w:val="003314FD"/>
    <w:rsid w:val="0033163A"/>
    <w:rsid w:val="00331658"/>
    <w:rsid w:val="003317F0"/>
    <w:rsid w:val="0033185D"/>
    <w:rsid w:val="00331870"/>
    <w:rsid w:val="00331BD7"/>
    <w:rsid w:val="00331C7F"/>
    <w:rsid w:val="00331CC3"/>
    <w:rsid w:val="00331E18"/>
    <w:rsid w:val="00331E5F"/>
    <w:rsid w:val="00331EAE"/>
    <w:rsid w:val="00331F99"/>
    <w:rsid w:val="003320E1"/>
    <w:rsid w:val="00332346"/>
    <w:rsid w:val="00332582"/>
    <w:rsid w:val="003325CF"/>
    <w:rsid w:val="00332622"/>
    <w:rsid w:val="00332657"/>
    <w:rsid w:val="00332716"/>
    <w:rsid w:val="0033298F"/>
    <w:rsid w:val="00332B0A"/>
    <w:rsid w:val="00332B2E"/>
    <w:rsid w:val="00332C03"/>
    <w:rsid w:val="00332C30"/>
    <w:rsid w:val="00332C33"/>
    <w:rsid w:val="00332CCF"/>
    <w:rsid w:val="00332EA1"/>
    <w:rsid w:val="00332F37"/>
    <w:rsid w:val="00333096"/>
    <w:rsid w:val="003330A4"/>
    <w:rsid w:val="00333109"/>
    <w:rsid w:val="003331FF"/>
    <w:rsid w:val="0033325E"/>
    <w:rsid w:val="003333EB"/>
    <w:rsid w:val="003333FE"/>
    <w:rsid w:val="003334A0"/>
    <w:rsid w:val="00333601"/>
    <w:rsid w:val="00333687"/>
    <w:rsid w:val="003336B2"/>
    <w:rsid w:val="003336D2"/>
    <w:rsid w:val="0033389F"/>
    <w:rsid w:val="003339A0"/>
    <w:rsid w:val="00333A1A"/>
    <w:rsid w:val="00333B75"/>
    <w:rsid w:val="00333E33"/>
    <w:rsid w:val="00333E77"/>
    <w:rsid w:val="00333ECC"/>
    <w:rsid w:val="00333FDD"/>
    <w:rsid w:val="00334082"/>
    <w:rsid w:val="003340D1"/>
    <w:rsid w:val="0033425E"/>
    <w:rsid w:val="00334285"/>
    <w:rsid w:val="003343FE"/>
    <w:rsid w:val="0033451B"/>
    <w:rsid w:val="00334601"/>
    <w:rsid w:val="003346D4"/>
    <w:rsid w:val="0033481A"/>
    <w:rsid w:val="00334950"/>
    <w:rsid w:val="00334AE2"/>
    <w:rsid w:val="00334B6E"/>
    <w:rsid w:val="00334D11"/>
    <w:rsid w:val="00334EB3"/>
    <w:rsid w:val="00334FF1"/>
    <w:rsid w:val="00335286"/>
    <w:rsid w:val="003352C1"/>
    <w:rsid w:val="003352CB"/>
    <w:rsid w:val="00335349"/>
    <w:rsid w:val="0033534D"/>
    <w:rsid w:val="003353C4"/>
    <w:rsid w:val="003354C9"/>
    <w:rsid w:val="003354F3"/>
    <w:rsid w:val="0033550A"/>
    <w:rsid w:val="00335668"/>
    <w:rsid w:val="003357E1"/>
    <w:rsid w:val="0033583B"/>
    <w:rsid w:val="0033584D"/>
    <w:rsid w:val="00335902"/>
    <w:rsid w:val="00335915"/>
    <w:rsid w:val="00335930"/>
    <w:rsid w:val="00335AC4"/>
    <w:rsid w:val="00335ADD"/>
    <w:rsid w:val="00335B4F"/>
    <w:rsid w:val="00335C50"/>
    <w:rsid w:val="00335F3A"/>
    <w:rsid w:val="00335F53"/>
    <w:rsid w:val="00336064"/>
    <w:rsid w:val="00336067"/>
    <w:rsid w:val="0033616C"/>
    <w:rsid w:val="003361B5"/>
    <w:rsid w:val="00336698"/>
    <w:rsid w:val="003367EF"/>
    <w:rsid w:val="003368E2"/>
    <w:rsid w:val="00336B1D"/>
    <w:rsid w:val="00336B84"/>
    <w:rsid w:val="00336CBC"/>
    <w:rsid w:val="00336F34"/>
    <w:rsid w:val="0033700A"/>
    <w:rsid w:val="003370F4"/>
    <w:rsid w:val="0033725B"/>
    <w:rsid w:val="003373C5"/>
    <w:rsid w:val="0033758C"/>
    <w:rsid w:val="003375DA"/>
    <w:rsid w:val="00337671"/>
    <w:rsid w:val="0033780A"/>
    <w:rsid w:val="0033781B"/>
    <w:rsid w:val="00337896"/>
    <w:rsid w:val="00337956"/>
    <w:rsid w:val="00337C5D"/>
    <w:rsid w:val="00337F67"/>
    <w:rsid w:val="00337F6E"/>
    <w:rsid w:val="00340040"/>
    <w:rsid w:val="00340093"/>
    <w:rsid w:val="003400FD"/>
    <w:rsid w:val="0034020C"/>
    <w:rsid w:val="0034032C"/>
    <w:rsid w:val="003404EF"/>
    <w:rsid w:val="00340501"/>
    <w:rsid w:val="003406EA"/>
    <w:rsid w:val="00340816"/>
    <w:rsid w:val="00340865"/>
    <w:rsid w:val="00340A76"/>
    <w:rsid w:val="00340B0A"/>
    <w:rsid w:val="00340C2C"/>
    <w:rsid w:val="00340C83"/>
    <w:rsid w:val="00340D76"/>
    <w:rsid w:val="00340DCB"/>
    <w:rsid w:val="00340FA1"/>
    <w:rsid w:val="00341045"/>
    <w:rsid w:val="00341109"/>
    <w:rsid w:val="003412E6"/>
    <w:rsid w:val="00341342"/>
    <w:rsid w:val="00341348"/>
    <w:rsid w:val="00341522"/>
    <w:rsid w:val="00341549"/>
    <w:rsid w:val="0034155A"/>
    <w:rsid w:val="003415A2"/>
    <w:rsid w:val="00341600"/>
    <w:rsid w:val="00341674"/>
    <w:rsid w:val="003416B1"/>
    <w:rsid w:val="003416B6"/>
    <w:rsid w:val="0034172D"/>
    <w:rsid w:val="003418EE"/>
    <w:rsid w:val="0034194E"/>
    <w:rsid w:val="00341A3B"/>
    <w:rsid w:val="00341AA1"/>
    <w:rsid w:val="00341CC9"/>
    <w:rsid w:val="00341D47"/>
    <w:rsid w:val="00341F0F"/>
    <w:rsid w:val="00341F45"/>
    <w:rsid w:val="003420E0"/>
    <w:rsid w:val="003424CE"/>
    <w:rsid w:val="00342559"/>
    <w:rsid w:val="003425C5"/>
    <w:rsid w:val="00342828"/>
    <w:rsid w:val="00342B58"/>
    <w:rsid w:val="00342B7D"/>
    <w:rsid w:val="00342BA0"/>
    <w:rsid w:val="00342C32"/>
    <w:rsid w:val="00342D56"/>
    <w:rsid w:val="00342E98"/>
    <w:rsid w:val="00343092"/>
    <w:rsid w:val="0034325B"/>
    <w:rsid w:val="003432AC"/>
    <w:rsid w:val="003434BA"/>
    <w:rsid w:val="003434BD"/>
    <w:rsid w:val="003434F3"/>
    <w:rsid w:val="003435A6"/>
    <w:rsid w:val="00343871"/>
    <w:rsid w:val="003438B1"/>
    <w:rsid w:val="003438F6"/>
    <w:rsid w:val="00343947"/>
    <w:rsid w:val="00343961"/>
    <w:rsid w:val="00343BB2"/>
    <w:rsid w:val="00343C30"/>
    <w:rsid w:val="00343D73"/>
    <w:rsid w:val="00343D95"/>
    <w:rsid w:val="00343E4B"/>
    <w:rsid w:val="00343EE3"/>
    <w:rsid w:val="0034405B"/>
    <w:rsid w:val="003440E8"/>
    <w:rsid w:val="003440ED"/>
    <w:rsid w:val="00344389"/>
    <w:rsid w:val="003444D9"/>
    <w:rsid w:val="003448E0"/>
    <w:rsid w:val="00344A23"/>
    <w:rsid w:val="00344BCA"/>
    <w:rsid w:val="00344CFA"/>
    <w:rsid w:val="00344DA9"/>
    <w:rsid w:val="00344DC0"/>
    <w:rsid w:val="00344E85"/>
    <w:rsid w:val="00344EF0"/>
    <w:rsid w:val="00345002"/>
    <w:rsid w:val="00345082"/>
    <w:rsid w:val="00345096"/>
    <w:rsid w:val="0034509D"/>
    <w:rsid w:val="00345109"/>
    <w:rsid w:val="0034518A"/>
    <w:rsid w:val="0034519D"/>
    <w:rsid w:val="003451F5"/>
    <w:rsid w:val="0034522A"/>
    <w:rsid w:val="003452A5"/>
    <w:rsid w:val="003452E9"/>
    <w:rsid w:val="0034539D"/>
    <w:rsid w:val="0034539F"/>
    <w:rsid w:val="003454A7"/>
    <w:rsid w:val="00345508"/>
    <w:rsid w:val="003455AB"/>
    <w:rsid w:val="003455F5"/>
    <w:rsid w:val="00345646"/>
    <w:rsid w:val="00345802"/>
    <w:rsid w:val="00345884"/>
    <w:rsid w:val="00345BCC"/>
    <w:rsid w:val="00345D06"/>
    <w:rsid w:val="00345E36"/>
    <w:rsid w:val="00345E6B"/>
    <w:rsid w:val="0034604D"/>
    <w:rsid w:val="0034616D"/>
    <w:rsid w:val="003461C2"/>
    <w:rsid w:val="00346291"/>
    <w:rsid w:val="00346313"/>
    <w:rsid w:val="003463AE"/>
    <w:rsid w:val="003463D9"/>
    <w:rsid w:val="00346473"/>
    <w:rsid w:val="00346487"/>
    <w:rsid w:val="003464BC"/>
    <w:rsid w:val="003464CE"/>
    <w:rsid w:val="003464D6"/>
    <w:rsid w:val="0034654A"/>
    <w:rsid w:val="003466CD"/>
    <w:rsid w:val="003467B5"/>
    <w:rsid w:val="00346802"/>
    <w:rsid w:val="00346824"/>
    <w:rsid w:val="00346C0A"/>
    <w:rsid w:val="00346E66"/>
    <w:rsid w:val="003470A0"/>
    <w:rsid w:val="00347275"/>
    <w:rsid w:val="0034727E"/>
    <w:rsid w:val="0034759F"/>
    <w:rsid w:val="00347708"/>
    <w:rsid w:val="0034775D"/>
    <w:rsid w:val="00347915"/>
    <w:rsid w:val="00347A4C"/>
    <w:rsid w:val="00347B16"/>
    <w:rsid w:val="00347B4D"/>
    <w:rsid w:val="00347B7D"/>
    <w:rsid w:val="00347C5D"/>
    <w:rsid w:val="00347D34"/>
    <w:rsid w:val="00347EA1"/>
    <w:rsid w:val="003500C4"/>
    <w:rsid w:val="00350139"/>
    <w:rsid w:val="003504FB"/>
    <w:rsid w:val="0035055C"/>
    <w:rsid w:val="00350666"/>
    <w:rsid w:val="00350A5C"/>
    <w:rsid w:val="00350AD4"/>
    <w:rsid w:val="00350B30"/>
    <w:rsid w:val="00350BFA"/>
    <w:rsid w:val="00350CED"/>
    <w:rsid w:val="00350D00"/>
    <w:rsid w:val="00350DD6"/>
    <w:rsid w:val="00350DF0"/>
    <w:rsid w:val="00350E93"/>
    <w:rsid w:val="00350EBE"/>
    <w:rsid w:val="00351106"/>
    <w:rsid w:val="0035116E"/>
    <w:rsid w:val="00351261"/>
    <w:rsid w:val="00351328"/>
    <w:rsid w:val="0035140F"/>
    <w:rsid w:val="0035160B"/>
    <w:rsid w:val="0035163B"/>
    <w:rsid w:val="00351718"/>
    <w:rsid w:val="003517F1"/>
    <w:rsid w:val="00351872"/>
    <w:rsid w:val="003518F9"/>
    <w:rsid w:val="00351966"/>
    <w:rsid w:val="0035198E"/>
    <w:rsid w:val="00351DB0"/>
    <w:rsid w:val="00351E36"/>
    <w:rsid w:val="00351EB4"/>
    <w:rsid w:val="00351FED"/>
    <w:rsid w:val="00352184"/>
    <w:rsid w:val="00352213"/>
    <w:rsid w:val="0035226D"/>
    <w:rsid w:val="0035227E"/>
    <w:rsid w:val="00352344"/>
    <w:rsid w:val="00352546"/>
    <w:rsid w:val="00352613"/>
    <w:rsid w:val="00352735"/>
    <w:rsid w:val="00352783"/>
    <w:rsid w:val="003528DC"/>
    <w:rsid w:val="00352A01"/>
    <w:rsid w:val="00352A7B"/>
    <w:rsid w:val="00352B46"/>
    <w:rsid w:val="00352CD2"/>
    <w:rsid w:val="00352E3A"/>
    <w:rsid w:val="00352E83"/>
    <w:rsid w:val="00352FDC"/>
    <w:rsid w:val="0035304D"/>
    <w:rsid w:val="003532A3"/>
    <w:rsid w:val="00353413"/>
    <w:rsid w:val="003537DD"/>
    <w:rsid w:val="003537F5"/>
    <w:rsid w:val="003539ED"/>
    <w:rsid w:val="00353B54"/>
    <w:rsid w:val="00353B96"/>
    <w:rsid w:val="00353C23"/>
    <w:rsid w:val="00353C9D"/>
    <w:rsid w:val="00353D47"/>
    <w:rsid w:val="00353E25"/>
    <w:rsid w:val="00353F37"/>
    <w:rsid w:val="00353F43"/>
    <w:rsid w:val="0035401B"/>
    <w:rsid w:val="0035405B"/>
    <w:rsid w:val="0035417B"/>
    <w:rsid w:val="0035431B"/>
    <w:rsid w:val="0035446D"/>
    <w:rsid w:val="00354647"/>
    <w:rsid w:val="003546C0"/>
    <w:rsid w:val="0035474C"/>
    <w:rsid w:val="003547BB"/>
    <w:rsid w:val="003549DC"/>
    <w:rsid w:val="00354A0B"/>
    <w:rsid w:val="00354A76"/>
    <w:rsid w:val="00354B6F"/>
    <w:rsid w:val="00354B82"/>
    <w:rsid w:val="00354DA3"/>
    <w:rsid w:val="00354F40"/>
    <w:rsid w:val="003550AE"/>
    <w:rsid w:val="00355139"/>
    <w:rsid w:val="003551D3"/>
    <w:rsid w:val="003551E2"/>
    <w:rsid w:val="003551FA"/>
    <w:rsid w:val="00355383"/>
    <w:rsid w:val="0035557E"/>
    <w:rsid w:val="00355B38"/>
    <w:rsid w:val="00355B62"/>
    <w:rsid w:val="00355B7A"/>
    <w:rsid w:val="00355BE5"/>
    <w:rsid w:val="00355E20"/>
    <w:rsid w:val="00355EE5"/>
    <w:rsid w:val="00355F78"/>
    <w:rsid w:val="00356047"/>
    <w:rsid w:val="003561E9"/>
    <w:rsid w:val="003561EB"/>
    <w:rsid w:val="003562BA"/>
    <w:rsid w:val="003562C9"/>
    <w:rsid w:val="00356545"/>
    <w:rsid w:val="003566D3"/>
    <w:rsid w:val="0035677C"/>
    <w:rsid w:val="003567BA"/>
    <w:rsid w:val="00356916"/>
    <w:rsid w:val="00356A3D"/>
    <w:rsid w:val="00356C0B"/>
    <w:rsid w:val="00356EAE"/>
    <w:rsid w:val="00356ECF"/>
    <w:rsid w:val="00356F8F"/>
    <w:rsid w:val="00356FF4"/>
    <w:rsid w:val="0035703C"/>
    <w:rsid w:val="00357113"/>
    <w:rsid w:val="0035712C"/>
    <w:rsid w:val="00357191"/>
    <w:rsid w:val="0035724B"/>
    <w:rsid w:val="003573C2"/>
    <w:rsid w:val="003573FA"/>
    <w:rsid w:val="00357449"/>
    <w:rsid w:val="003574E9"/>
    <w:rsid w:val="0035752B"/>
    <w:rsid w:val="0035764C"/>
    <w:rsid w:val="00357964"/>
    <w:rsid w:val="003579B8"/>
    <w:rsid w:val="00357BC0"/>
    <w:rsid w:val="00357CCB"/>
    <w:rsid w:val="00357DFB"/>
    <w:rsid w:val="00357EA8"/>
    <w:rsid w:val="00357F67"/>
    <w:rsid w:val="00360178"/>
    <w:rsid w:val="00360312"/>
    <w:rsid w:val="003603EF"/>
    <w:rsid w:val="00360403"/>
    <w:rsid w:val="003604A0"/>
    <w:rsid w:val="00360533"/>
    <w:rsid w:val="0036098F"/>
    <w:rsid w:val="00360D3D"/>
    <w:rsid w:val="00360F07"/>
    <w:rsid w:val="00360F38"/>
    <w:rsid w:val="00361072"/>
    <w:rsid w:val="00361197"/>
    <w:rsid w:val="003614AA"/>
    <w:rsid w:val="0036167C"/>
    <w:rsid w:val="00361704"/>
    <w:rsid w:val="003617A7"/>
    <w:rsid w:val="00361835"/>
    <w:rsid w:val="003618AA"/>
    <w:rsid w:val="00361B46"/>
    <w:rsid w:val="00361CF6"/>
    <w:rsid w:val="00361DBC"/>
    <w:rsid w:val="00361ED7"/>
    <w:rsid w:val="00361F18"/>
    <w:rsid w:val="00362012"/>
    <w:rsid w:val="003620F7"/>
    <w:rsid w:val="00362154"/>
    <w:rsid w:val="003621F9"/>
    <w:rsid w:val="003622D9"/>
    <w:rsid w:val="003623DB"/>
    <w:rsid w:val="003623EE"/>
    <w:rsid w:val="003624B7"/>
    <w:rsid w:val="003627B7"/>
    <w:rsid w:val="0036287D"/>
    <w:rsid w:val="00362956"/>
    <w:rsid w:val="003629E0"/>
    <w:rsid w:val="003629F5"/>
    <w:rsid w:val="00362ADE"/>
    <w:rsid w:val="00362C48"/>
    <w:rsid w:val="00362D33"/>
    <w:rsid w:val="00362D91"/>
    <w:rsid w:val="00362DDC"/>
    <w:rsid w:val="00362E0A"/>
    <w:rsid w:val="00362F26"/>
    <w:rsid w:val="003630E8"/>
    <w:rsid w:val="00363180"/>
    <w:rsid w:val="0036330A"/>
    <w:rsid w:val="00363540"/>
    <w:rsid w:val="003635C0"/>
    <w:rsid w:val="003637FC"/>
    <w:rsid w:val="0036381D"/>
    <w:rsid w:val="003638F3"/>
    <w:rsid w:val="00363CF2"/>
    <w:rsid w:val="00363EA1"/>
    <w:rsid w:val="00363EAC"/>
    <w:rsid w:val="00363EBC"/>
    <w:rsid w:val="00363F59"/>
    <w:rsid w:val="00363F7A"/>
    <w:rsid w:val="003640A8"/>
    <w:rsid w:val="00364178"/>
    <w:rsid w:val="00364322"/>
    <w:rsid w:val="00364479"/>
    <w:rsid w:val="003644A1"/>
    <w:rsid w:val="003646C2"/>
    <w:rsid w:val="003647B3"/>
    <w:rsid w:val="00364987"/>
    <w:rsid w:val="00364CC4"/>
    <w:rsid w:val="00364D89"/>
    <w:rsid w:val="003650CD"/>
    <w:rsid w:val="00365213"/>
    <w:rsid w:val="00365262"/>
    <w:rsid w:val="00365386"/>
    <w:rsid w:val="003653E8"/>
    <w:rsid w:val="003655C4"/>
    <w:rsid w:val="003656C8"/>
    <w:rsid w:val="00365705"/>
    <w:rsid w:val="0036571C"/>
    <w:rsid w:val="003658D7"/>
    <w:rsid w:val="003659AD"/>
    <w:rsid w:val="00365A49"/>
    <w:rsid w:val="00365B03"/>
    <w:rsid w:val="00365B1B"/>
    <w:rsid w:val="00365B7E"/>
    <w:rsid w:val="00365C02"/>
    <w:rsid w:val="00365C0B"/>
    <w:rsid w:val="00365CDA"/>
    <w:rsid w:val="00365DFB"/>
    <w:rsid w:val="00365F02"/>
    <w:rsid w:val="00365F66"/>
    <w:rsid w:val="0036605E"/>
    <w:rsid w:val="003660E6"/>
    <w:rsid w:val="00366120"/>
    <w:rsid w:val="00366121"/>
    <w:rsid w:val="00366500"/>
    <w:rsid w:val="00366591"/>
    <w:rsid w:val="003665DE"/>
    <w:rsid w:val="003665EC"/>
    <w:rsid w:val="0036677C"/>
    <w:rsid w:val="0036679D"/>
    <w:rsid w:val="00366945"/>
    <w:rsid w:val="00366BD3"/>
    <w:rsid w:val="00366D22"/>
    <w:rsid w:val="00366EBF"/>
    <w:rsid w:val="00366EF2"/>
    <w:rsid w:val="00366FB6"/>
    <w:rsid w:val="0036706C"/>
    <w:rsid w:val="003675B2"/>
    <w:rsid w:val="003675B9"/>
    <w:rsid w:val="0036763A"/>
    <w:rsid w:val="00367880"/>
    <w:rsid w:val="00367901"/>
    <w:rsid w:val="003679DF"/>
    <w:rsid w:val="00367A3D"/>
    <w:rsid w:val="00367D6F"/>
    <w:rsid w:val="00367E4E"/>
    <w:rsid w:val="00367EFA"/>
    <w:rsid w:val="00370015"/>
    <w:rsid w:val="00370048"/>
    <w:rsid w:val="0037006C"/>
    <w:rsid w:val="0037014F"/>
    <w:rsid w:val="003701E2"/>
    <w:rsid w:val="0037020F"/>
    <w:rsid w:val="00370284"/>
    <w:rsid w:val="00370584"/>
    <w:rsid w:val="003705C3"/>
    <w:rsid w:val="003705F3"/>
    <w:rsid w:val="00370786"/>
    <w:rsid w:val="003707D7"/>
    <w:rsid w:val="00370857"/>
    <w:rsid w:val="003708E8"/>
    <w:rsid w:val="0037094B"/>
    <w:rsid w:val="003709BA"/>
    <w:rsid w:val="00370B94"/>
    <w:rsid w:val="00370DF0"/>
    <w:rsid w:val="00370E7A"/>
    <w:rsid w:val="00370F30"/>
    <w:rsid w:val="00371071"/>
    <w:rsid w:val="0037136A"/>
    <w:rsid w:val="003713B8"/>
    <w:rsid w:val="003713BE"/>
    <w:rsid w:val="00371478"/>
    <w:rsid w:val="0037162F"/>
    <w:rsid w:val="00371771"/>
    <w:rsid w:val="00371839"/>
    <w:rsid w:val="0037184C"/>
    <w:rsid w:val="003718CD"/>
    <w:rsid w:val="00371AB8"/>
    <w:rsid w:val="00371ABD"/>
    <w:rsid w:val="00371B3E"/>
    <w:rsid w:val="003720E2"/>
    <w:rsid w:val="003720FF"/>
    <w:rsid w:val="0037212D"/>
    <w:rsid w:val="0037213C"/>
    <w:rsid w:val="003721F9"/>
    <w:rsid w:val="0037243C"/>
    <w:rsid w:val="003725C5"/>
    <w:rsid w:val="0037261A"/>
    <w:rsid w:val="00372B44"/>
    <w:rsid w:val="00372BB3"/>
    <w:rsid w:val="00372E8B"/>
    <w:rsid w:val="00372E94"/>
    <w:rsid w:val="00372F2D"/>
    <w:rsid w:val="00373132"/>
    <w:rsid w:val="0037330E"/>
    <w:rsid w:val="00373612"/>
    <w:rsid w:val="0037366F"/>
    <w:rsid w:val="00373789"/>
    <w:rsid w:val="003738B0"/>
    <w:rsid w:val="00373934"/>
    <w:rsid w:val="003739E9"/>
    <w:rsid w:val="00373A72"/>
    <w:rsid w:val="00373BC8"/>
    <w:rsid w:val="00373CF6"/>
    <w:rsid w:val="00373D4E"/>
    <w:rsid w:val="00373D53"/>
    <w:rsid w:val="00373DC0"/>
    <w:rsid w:val="00373E12"/>
    <w:rsid w:val="00373ECE"/>
    <w:rsid w:val="00373F2A"/>
    <w:rsid w:val="00373FD6"/>
    <w:rsid w:val="00374181"/>
    <w:rsid w:val="00374429"/>
    <w:rsid w:val="003746DB"/>
    <w:rsid w:val="003749F5"/>
    <w:rsid w:val="00374BC1"/>
    <w:rsid w:val="00374BD2"/>
    <w:rsid w:val="00374BFB"/>
    <w:rsid w:val="00374CF8"/>
    <w:rsid w:val="00374D3C"/>
    <w:rsid w:val="00374DA8"/>
    <w:rsid w:val="00374DB4"/>
    <w:rsid w:val="00374E04"/>
    <w:rsid w:val="00374F22"/>
    <w:rsid w:val="0037547C"/>
    <w:rsid w:val="003755C8"/>
    <w:rsid w:val="00375726"/>
    <w:rsid w:val="00375966"/>
    <w:rsid w:val="003759DF"/>
    <w:rsid w:val="00375AAC"/>
    <w:rsid w:val="00375AD8"/>
    <w:rsid w:val="00375FEC"/>
    <w:rsid w:val="00376104"/>
    <w:rsid w:val="0037612D"/>
    <w:rsid w:val="00376285"/>
    <w:rsid w:val="00376360"/>
    <w:rsid w:val="00376379"/>
    <w:rsid w:val="00376465"/>
    <w:rsid w:val="003764EE"/>
    <w:rsid w:val="00376623"/>
    <w:rsid w:val="0037670D"/>
    <w:rsid w:val="00376781"/>
    <w:rsid w:val="00376894"/>
    <w:rsid w:val="00376A58"/>
    <w:rsid w:val="00376B0A"/>
    <w:rsid w:val="00376B3E"/>
    <w:rsid w:val="00376B6B"/>
    <w:rsid w:val="00376BD8"/>
    <w:rsid w:val="00376CBA"/>
    <w:rsid w:val="00376E3A"/>
    <w:rsid w:val="00376F70"/>
    <w:rsid w:val="00377157"/>
    <w:rsid w:val="0037716F"/>
    <w:rsid w:val="00377563"/>
    <w:rsid w:val="00377639"/>
    <w:rsid w:val="0037763A"/>
    <w:rsid w:val="00377755"/>
    <w:rsid w:val="003778A2"/>
    <w:rsid w:val="003778AD"/>
    <w:rsid w:val="003778CD"/>
    <w:rsid w:val="00377910"/>
    <w:rsid w:val="0037793B"/>
    <w:rsid w:val="00377ACA"/>
    <w:rsid w:val="00377B07"/>
    <w:rsid w:val="00377D22"/>
    <w:rsid w:val="00377D73"/>
    <w:rsid w:val="00377F6F"/>
    <w:rsid w:val="0037A3F5"/>
    <w:rsid w:val="003800ED"/>
    <w:rsid w:val="0038013B"/>
    <w:rsid w:val="0038016A"/>
    <w:rsid w:val="00380277"/>
    <w:rsid w:val="003802D4"/>
    <w:rsid w:val="003802DE"/>
    <w:rsid w:val="003803B0"/>
    <w:rsid w:val="00380477"/>
    <w:rsid w:val="003804B6"/>
    <w:rsid w:val="003804D4"/>
    <w:rsid w:val="00380649"/>
    <w:rsid w:val="003806F1"/>
    <w:rsid w:val="00380749"/>
    <w:rsid w:val="003808E0"/>
    <w:rsid w:val="003809EF"/>
    <w:rsid w:val="00380A5F"/>
    <w:rsid w:val="00380B9B"/>
    <w:rsid w:val="00380C93"/>
    <w:rsid w:val="00380CD6"/>
    <w:rsid w:val="00380D49"/>
    <w:rsid w:val="00380EE5"/>
    <w:rsid w:val="00380EF4"/>
    <w:rsid w:val="00381136"/>
    <w:rsid w:val="0038134B"/>
    <w:rsid w:val="0038144C"/>
    <w:rsid w:val="00381577"/>
    <w:rsid w:val="003819B0"/>
    <w:rsid w:val="00381A48"/>
    <w:rsid w:val="00381B26"/>
    <w:rsid w:val="00381B5B"/>
    <w:rsid w:val="00381CF9"/>
    <w:rsid w:val="00381D3E"/>
    <w:rsid w:val="00381D4C"/>
    <w:rsid w:val="00381E1A"/>
    <w:rsid w:val="00381E3E"/>
    <w:rsid w:val="00381E85"/>
    <w:rsid w:val="00381F86"/>
    <w:rsid w:val="00382077"/>
    <w:rsid w:val="003820AE"/>
    <w:rsid w:val="003820D4"/>
    <w:rsid w:val="00382143"/>
    <w:rsid w:val="00382278"/>
    <w:rsid w:val="00382427"/>
    <w:rsid w:val="00382521"/>
    <w:rsid w:val="003825AF"/>
    <w:rsid w:val="00382694"/>
    <w:rsid w:val="003827A9"/>
    <w:rsid w:val="003827BC"/>
    <w:rsid w:val="00382805"/>
    <w:rsid w:val="003828F3"/>
    <w:rsid w:val="003829A9"/>
    <w:rsid w:val="003829E6"/>
    <w:rsid w:val="003829E9"/>
    <w:rsid w:val="00382AD3"/>
    <w:rsid w:val="00382B74"/>
    <w:rsid w:val="00382CD5"/>
    <w:rsid w:val="00382DD0"/>
    <w:rsid w:val="00382EAB"/>
    <w:rsid w:val="00382F41"/>
    <w:rsid w:val="003830B3"/>
    <w:rsid w:val="00383351"/>
    <w:rsid w:val="003833C6"/>
    <w:rsid w:val="00383435"/>
    <w:rsid w:val="003834D1"/>
    <w:rsid w:val="0038351E"/>
    <w:rsid w:val="0038369F"/>
    <w:rsid w:val="003836A5"/>
    <w:rsid w:val="003836F3"/>
    <w:rsid w:val="00383841"/>
    <w:rsid w:val="003839DE"/>
    <w:rsid w:val="00383A72"/>
    <w:rsid w:val="00383B28"/>
    <w:rsid w:val="00383D45"/>
    <w:rsid w:val="00383D50"/>
    <w:rsid w:val="00383F35"/>
    <w:rsid w:val="00383F63"/>
    <w:rsid w:val="0038406B"/>
    <w:rsid w:val="00384070"/>
    <w:rsid w:val="003840EB"/>
    <w:rsid w:val="0038433F"/>
    <w:rsid w:val="00384381"/>
    <w:rsid w:val="003843F3"/>
    <w:rsid w:val="00384492"/>
    <w:rsid w:val="0038479B"/>
    <w:rsid w:val="00384959"/>
    <w:rsid w:val="00384C7F"/>
    <w:rsid w:val="00384DD9"/>
    <w:rsid w:val="00384E58"/>
    <w:rsid w:val="0038534E"/>
    <w:rsid w:val="00385394"/>
    <w:rsid w:val="00385744"/>
    <w:rsid w:val="003857AA"/>
    <w:rsid w:val="00385A65"/>
    <w:rsid w:val="00385E0A"/>
    <w:rsid w:val="00385E11"/>
    <w:rsid w:val="00385F6E"/>
    <w:rsid w:val="00385FA2"/>
    <w:rsid w:val="00385FC1"/>
    <w:rsid w:val="00386220"/>
    <w:rsid w:val="00386250"/>
    <w:rsid w:val="003863F4"/>
    <w:rsid w:val="003863F7"/>
    <w:rsid w:val="00386426"/>
    <w:rsid w:val="003864BE"/>
    <w:rsid w:val="00386700"/>
    <w:rsid w:val="00386705"/>
    <w:rsid w:val="00386857"/>
    <w:rsid w:val="0038693E"/>
    <w:rsid w:val="00386942"/>
    <w:rsid w:val="00386B4B"/>
    <w:rsid w:val="00386BCE"/>
    <w:rsid w:val="00386E0D"/>
    <w:rsid w:val="0038713F"/>
    <w:rsid w:val="003872F1"/>
    <w:rsid w:val="0038737E"/>
    <w:rsid w:val="00387398"/>
    <w:rsid w:val="003874DD"/>
    <w:rsid w:val="00387556"/>
    <w:rsid w:val="003875CA"/>
    <w:rsid w:val="003879B4"/>
    <w:rsid w:val="003879E8"/>
    <w:rsid w:val="00387A35"/>
    <w:rsid w:val="00387E5B"/>
    <w:rsid w:val="00387F50"/>
    <w:rsid w:val="00390283"/>
    <w:rsid w:val="003902E6"/>
    <w:rsid w:val="00390354"/>
    <w:rsid w:val="00390398"/>
    <w:rsid w:val="00390491"/>
    <w:rsid w:val="0039049B"/>
    <w:rsid w:val="00390506"/>
    <w:rsid w:val="00390567"/>
    <w:rsid w:val="003906FD"/>
    <w:rsid w:val="003907A4"/>
    <w:rsid w:val="003907E1"/>
    <w:rsid w:val="003909F7"/>
    <w:rsid w:val="00390B5E"/>
    <w:rsid w:val="00390EEC"/>
    <w:rsid w:val="00390EF2"/>
    <w:rsid w:val="00390F5F"/>
    <w:rsid w:val="00390FC0"/>
    <w:rsid w:val="003910C6"/>
    <w:rsid w:val="00391249"/>
    <w:rsid w:val="003913B4"/>
    <w:rsid w:val="0039141C"/>
    <w:rsid w:val="00391523"/>
    <w:rsid w:val="00391718"/>
    <w:rsid w:val="003917DF"/>
    <w:rsid w:val="00391B09"/>
    <w:rsid w:val="00391BF5"/>
    <w:rsid w:val="00391D48"/>
    <w:rsid w:val="00391D88"/>
    <w:rsid w:val="00391D97"/>
    <w:rsid w:val="00391DB0"/>
    <w:rsid w:val="00391E6B"/>
    <w:rsid w:val="00391F57"/>
    <w:rsid w:val="0039205B"/>
    <w:rsid w:val="003920E4"/>
    <w:rsid w:val="00392202"/>
    <w:rsid w:val="0039238C"/>
    <w:rsid w:val="00392432"/>
    <w:rsid w:val="00392655"/>
    <w:rsid w:val="003926FE"/>
    <w:rsid w:val="00392724"/>
    <w:rsid w:val="003928B6"/>
    <w:rsid w:val="003929C7"/>
    <w:rsid w:val="00392BFB"/>
    <w:rsid w:val="00392CF0"/>
    <w:rsid w:val="00392DF6"/>
    <w:rsid w:val="00392E07"/>
    <w:rsid w:val="00392F7E"/>
    <w:rsid w:val="0039302C"/>
    <w:rsid w:val="003930AF"/>
    <w:rsid w:val="00393137"/>
    <w:rsid w:val="003932CA"/>
    <w:rsid w:val="003935C5"/>
    <w:rsid w:val="0039362D"/>
    <w:rsid w:val="00393734"/>
    <w:rsid w:val="003937A1"/>
    <w:rsid w:val="003937A6"/>
    <w:rsid w:val="00393809"/>
    <w:rsid w:val="0039387D"/>
    <w:rsid w:val="003938AA"/>
    <w:rsid w:val="00393905"/>
    <w:rsid w:val="00393A64"/>
    <w:rsid w:val="00393AA0"/>
    <w:rsid w:val="00393BBE"/>
    <w:rsid w:val="00393BD2"/>
    <w:rsid w:val="00393C27"/>
    <w:rsid w:val="00393C40"/>
    <w:rsid w:val="00393DEE"/>
    <w:rsid w:val="00393F7C"/>
    <w:rsid w:val="00393FB0"/>
    <w:rsid w:val="00394221"/>
    <w:rsid w:val="00394314"/>
    <w:rsid w:val="0039441B"/>
    <w:rsid w:val="0039446A"/>
    <w:rsid w:val="003944A0"/>
    <w:rsid w:val="00394662"/>
    <w:rsid w:val="00394681"/>
    <w:rsid w:val="003946D3"/>
    <w:rsid w:val="003946DD"/>
    <w:rsid w:val="00394771"/>
    <w:rsid w:val="0039488B"/>
    <w:rsid w:val="003948B8"/>
    <w:rsid w:val="00394A97"/>
    <w:rsid w:val="00394B1C"/>
    <w:rsid w:val="00394F42"/>
    <w:rsid w:val="0039504D"/>
    <w:rsid w:val="0039521C"/>
    <w:rsid w:val="0039539F"/>
    <w:rsid w:val="003954CF"/>
    <w:rsid w:val="0039553F"/>
    <w:rsid w:val="0039554C"/>
    <w:rsid w:val="0039559F"/>
    <w:rsid w:val="003955B8"/>
    <w:rsid w:val="003955D3"/>
    <w:rsid w:val="0039577F"/>
    <w:rsid w:val="003957A6"/>
    <w:rsid w:val="003958EF"/>
    <w:rsid w:val="00395AD0"/>
    <w:rsid w:val="00395D13"/>
    <w:rsid w:val="00395E49"/>
    <w:rsid w:val="00395E7D"/>
    <w:rsid w:val="00395F99"/>
    <w:rsid w:val="0039603A"/>
    <w:rsid w:val="00396103"/>
    <w:rsid w:val="00396127"/>
    <w:rsid w:val="003961A8"/>
    <w:rsid w:val="003961AC"/>
    <w:rsid w:val="0039639A"/>
    <w:rsid w:val="00396679"/>
    <w:rsid w:val="003967F3"/>
    <w:rsid w:val="00396863"/>
    <w:rsid w:val="003968CF"/>
    <w:rsid w:val="00396927"/>
    <w:rsid w:val="00396BFD"/>
    <w:rsid w:val="00396C14"/>
    <w:rsid w:val="00396D16"/>
    <w:rsid w:val="00396D9E"/>
    <w:rsid w:val="00396DBA"/>
    <w:rsid w:val="00396DE1"/>
    <w:rsid w:val="00396E2B"/>
    <w:rsid w:val="00396EC2"/>
    <w:rsid w:val="00396EE4"/>
    <w:rsid w:val="00396F25"/>
    <w:rsid w:val="003971C3"/>
    <w:rsid w:val="0039753F"/>
    <w:rsid w:val="003975CC"/>
    <w:rsid w:val="00397675"/>
    <w:rsid w:val="00397A83"/>
    <w:rsid w:val="00397BEE"/>
    <w:rsid w:val="00397BF2"/>
    <w:rsid w:val="00397CDF"/>
    <w:rsid w:val="00397CFC"/>
    <w:rsid w:val="00397D74"/>
    <w:rsid w:val="00397DCD"/>
    <w:rsid w:val="00397DCF"/>
    <w:rsid w:val="00397E71"/>
    <w:rsid w:val="003A0153"/>
    <w:rsid w:val="003A01F6"/>
    <w:rsid w:val="003A0364"/>
    <w:rsid w:val="003A04AE"/>
    <w:rsid w:val="003A0536"/>
    <w:rsid w:val="003A05C3"/>
    <w:rsid w:val="003A067D"/>
    <w:rsid w:val="003A0760"/>
    <w:rsid w:val="003A0825"/>
    <w:rsid w:val="003A083B"/>
    <w:rsid w:val="003A09AC"/>
    <w:rsid w:val="003A0A7E"/>
    <w:rsid w:val="003A0BE2"/>
    <w:rsid w:val="003A0CB7"/>
    <w:rsid w:val="003A0D0D"/>
    <w:rsid w:val="003A0DF4"/>
    <w:rsid w:val="003A0DF6"/>
    <w:rsid w:val="003A0E56"/>
    <w:rsid w:val="003A0E66"/>
    <w:rsid w:val="003A10DB"/>
    <w:rsid w:val="003A127D"/>
    <w:rsid w:val="003A129A"/>
    <w:rsid w:val="003A1355"/>
    <w:rsid w:val="003A1455"/>
    <w:rsid w:val="003A1480"/>
    <w:rsid w:val="003A14DB"/>
    <w:rsid w:val="003A14DD"/>
    <w:rsid w:val="003A151A"/>
    <w:rsid w:val="003A1882"/>
    <w:rsid w:val="003A1908"/>
    <w:rsid w:val="003A1B4A"/>
    <w:rsid w:val="003A1BF6"/>
    <w:rsid w:val="003A1C0E"/>
    <w:rsid w:val="003A1CAE"/>
    <w:rsid w:val="003A1D69"/>
    <w:rsid w:val="003A1DE1"/>
    <w:rsid w:val="003A1F4A"/>
    <w:rsid w:val="003A1FB4"/>
    <w:rsid w:val="003A2071"/>
    <w:rsid w:val="003A20B7"/>
    <w:rsid w:val="003A2132"/>
    <w:rsid w:val="003A2255"/>
    <w:rsid w:val="003A22EA"/>
    <w:rsid w:val="003A24F3"/>
    <w:rsid w:val="003A2504"/>
    <w:rsid w:val="003A276C"/>
    <w:rsid w:val="003A285B"/>
    <w:rsid w:val="003A2906"/>
    <w:rsid w:val="003A2C44"/>
    <w:rsid w:val="003A2CE6"/>
    <w:rsid w:val="003A2E4D"/>
    <w:rsid w:val="003A2E78"/>
    <w:rsid w:val="003A2F64"/>
    <w:rsid w:val="003A2F71"/>
    <w:rsid w:val="003A2FF6"/>
    <w:rsid w:val="003A3281"/>
    <w:rsid w:val="003A3489"/>
    <w:rsid w:val="003A3542"/>
    <w:rsid w:val="003A3630"/>
    <w:rsid w:val="003A363D"/>
    <w:rsid w:val="003A3713"/>
    <w:rsid w:val="003A371E"/>
    <w:rsid w:val="003A38BE"/>
    <w:rsid w:val="003A390E"/>
    <w:rsid w:val="003A3B46"/>
    <w:rsid w:val="003A3D11"/>
    <w:rsid w:val="003A3D39"/>
    <w:rsid w:val="003A3E91"/>
    <w:rsid w:val="003A3F70"/>
    <w:rsid w:val="003A3FFD"/>
    <w:rsid w:val="003A4333"/>
    <w:rsid w:val="003A43D7"/>
    <w:rsid w:val="003A44F0"/>
    <w:rsid w:val="003A4638"/>
    <w:rsid w:val="003A46E0"/>
    <w:rsid w:val="003A4890"/>
    <w:rsid w:val="003A48A1"/>
    <w:rsid w:val="003A4922"/>
    <w:rsid w:val="003A4DBD"/>
    <w:rsid w:val="003A4EB2"/>
    <w:rsid w:val="003A4F52"/>
    <w:rsid w:val="003A5005"/>
    <w:rsid w:val="003A507C"/>
    <w:rsid w:val="003A5138"/>
    <w:rsid w:val="003A5172"/>
    <w:rsid w:val="003A53C2"/>
    <w:rsid w:val="003A5539"/>
    <w:rsid w:val="003A5556"/>
    <w:rsid w:val="003A561E"/>
    <w:rsid w:val="003A565C"/>
    <w:rsid w:val="003A56B8"/>
    <w:rsid w:val="003A56CC"/>
    <w:rsid w:val="003A57FC"/>
    <w:rsid w:val="003A58F0"/>
    <w:rsid w:val="003A5CC1"/>
    <w:rsid w:val="003A5D75"/>
    <w:rsid w:val="003A5E24"/>
    <w:rsid w:val="003A61C2"/>
    <w:rsid w:val="003A623F"/>
    <w:rsid w:val="003A6302"/>
    <w:rsid w:val="003A662C"/>
    <w:rsid w:val="003A66AF"/>
    <w:rsid w:val="003A66E2"/>
    <w:rsid w:val="003A68B1"/>
    <w:rsid w:val="003A6A00"/>
    <w:rsid w:val="003A6AF6"/>
    <w:rsid w:val="003A6B06"/>
    <w:rsid w:val="003A6B75"/>
    <w:rsid w:val="003A6C5D"/>
    <w:rsid w:val="003A6C8F"/>
    <w:rsid w:val="003A6D96"/>
    <w:rsid w:val="003A6E5C"/>
    <w:rsid w:val="003A6FBE"/>
    <w:rsid w:val="003A71B6"/>
    <w:rsid w:val="003A71EF"/>
    <w:rsid w:val="003A7411"/>
    <w:rsid w:val="003A7453"/>
    <w:rsid w:val="003A752D"/>
    <w:rsid w:val="003A7648"/>
    <w:rsid w:val="003A767B"/>
    <w:rsid w:val="003A76C2"/>
    <w:rsid w:val="003A7922"/>
    <w:rsid w:val="003A7AE5"/>
    <w:rsid w:val="003A7BB9"/>
    <w:rsid w:val="003A7BC4"/>
    <w:rsid w:val="003A7C90"/>
    <w:rsid w:val="003A7E98"/>
    <w:rsid w:val="003A7F4D"/>
    <w:rsid w:val="003B00C9"/>
    <w:rsid w:val="003B016F"/>
    <w:rsid w:val="003B024D"/>
    <w:rsid w:val="003B02C5"/>
    <w:rsid w:val="003B0363"/>
    <w:rsid w:val="003B045B"/>
    <w:rsid w:val="003B048B"/>
    <w:rsid w:val="003B061E"/>
    <w:rsid w:val="003B0700"/>
    <w:rsid w:val="003B071B"/>
    <w:rsid w:val="003B0ACA"/>
    <w:rsid w:val="003B0DD9"/>
    <w:rsid w:val="003B122A"/>
    <w:rsid w:val="003B12A0"/>
    <w:rsid w:val="003B1530"/>
    <w:rsid w:val="003B1584"/>
    <w:rsid w:val="003B1767"/>
    <w:rsid w:val="003B17DB"/>
    <w:rsid w:val="003B1839"/>
    <w:rsid w:val="003B1842"/>
    <w:rsid w:val="003B184D"/>
    <w:rsid w:val="003B1896"/>
    <w:rsid w:val="003B18EC"/>
    <w:rsid w:val="003B18F3"/>
    <w:rsid w:val="003B1978"/>
    <w:rsid w:val="003B198D"/>
    <w:rsid w:val="003B19FC"/>
    <w:rsid w:val="003B1AA5"/>
    <w:rsid w:val="003B1AAF"/>
    <w:rsid w:val="003B1BDC"/>
    <w:rsid w:val="003B1D49"/>
    <w:rsid w:val="003B1D58"/>
    <w:rsid w:val="003B1E21"/>
    <w:rsid w:val="003B1E87"/>
    <w:rsid w:val="003B2177"/>
    <w:rsid w:val="003B2252"/>
    <w:rsid w:val="003B2351"/>
    <w:rsid w:val="003B2363"/>
    <w:rsid w:val="003B23C6"/>
    <w:rsid w:val="003B25FC"/>
    <w:rsid w:val="003B2765"/>
    <w:rsid w:val="003B27CE"/>
    <w:rsid w:val="003B27E4"/>
    <w:rsid w:val="003B287E"/>
    <w:rsid w:val="003B28BF"/>
    <w:rsid w:val="003B2A61"/>
    <w:rsid w:val="003B2C12"/>
    <w:rsid w:val="003B2C83"/>
    <w:rsid w:val="003B2E84"/>
    <w:rsid w:val="003B3018"/>
    <w:rsid w:val="003B3080"/>
    <w:rsid w:val="003B30B8"/>
    <w:rsid w:val="003B31C8"/>
    <w:rsid w:val="003B3283"/>
    <w:rsid w:val="003B3294"/>
    <w:rsid w:val="003B369E"/>
    <w:rsid w:val="003B370F"/>
    <w:rsid w:val="003B3758"/>
    <w:rsid w:val="003B3773"/>
    <w:rsid w:val="003B39E3"/>
    <w:rsid w:val="003B3A38"/>
    <w:rsid w:val="003B3AFD"/>
    <w:rsid w:val="003B3B90"/>
    <w:rsid w:val="003B3C75"/>
    <w:rsid w:val="003B3CA4"/>
    <w:rsid w:val="003B3D4D"/>
    <w:rsid w:val="003B3DC4"/>
    <w:rsid w:val="003B3EA6"/>
    <w:rsid w:val="003B3FE0"/>
    <w:rsid w:val="003B4108"/>
    <w:rsid w:val="003B422A"/>
    <w:rsid w:val="003B4349"/>
    <w:rsid w:val="003B4461"/>
    <w:rsid w:val="003B458B"/>
    <w:rsid w:val="003B45F4"/>
    <w:rsid w:val="003B46B8"/>
    <w:rsid w:val="003B489E"/>
    <w:rsid w:val="003B48F0"/>
    <w:rsid w:val="003B4A51"/>
    <w:rsid w:val="003B4A7A"/>
    <w:rsid w:val="003B4A8C"/>
    <w:rsid w:val="003B4AED"/>
    <w:rsid w:val="003B4C23"/>
    <w:rsid w:val="003B4CB3"/>
    <w:rsid w:val="003B4D46"/>
    <w:rsid w:val="003B4E27"/>
    <w:rsid w:val="003B533C"/>
    <w:rsid w:val="003B5359"/>
    <w:rsid w:val="003B53CD"/>
    <w:rsid w:val="003B5465"/>
    <w:rsid w:val="003B54E3"/>
    <w:rsid w:val="003B56B6"/>
    <w:rsid w:val="003B56B7"/>
    <w:rsid w:val="003B56FA"/>
    <w:rsid w:val="003B573F"/>
    <w:rsid w:val="003B5C82"/>
    <w:rsid w:val="003B5E07"/>
    <w:rsid w:val="003B5E8C"/>
    <w:rsid w:val="003B6069"/>
    <w:rsid w:val="003B62F9"/>
    <w:rsid w:val="003B645E"/>
    <w:rsid w:val="003B6555"/>
    <w:rsid w:val="003B68BB"/>
    <w:rsid w:val="003B6AB6"/>
    <w:rsid w:val="003B6D27"/>
    <w:rsid w:val="003B6F11"/>
    <w:rsid w:val="003B70A6"/>
    <w:rsid w:val="003B7163"/>
    <w:rsid w:val="003B7177"/>
    <w:rsid w:val="003B717E"/>
    <w:rsid w:val="003B72B1"/>
    <w:rsid w:val="003B7512"/>
    <w:rsid w:val="003B7724"/>
    <w:rsid w:val="003B7C17"/>
    <w:rsid w:val="003B7CCE"/>
    <w:rsid w:val="003B7D4E"/>
    <w:rsid w:val="003B7EF9"/>
    <w:rsid w:val="003C0010"/>
    <w:rsid w:val="003C0011"/>
    <w:rsid w:val="003C023A"/>
    <w:rsid w:val="003C0362"/>
    <w:rsid w:val="003C04A7"/>
    <w:rsid w:val="003C0503"/>
    <w:rsid w:val="003C06B1"/>
    <w:rsid w:val="003C06BD"/>
    <w:rsid w:val="003C0732"/>
    <w:rsid w:val="003C07B5"/>
    <w:rsid w:val="003C081B"/>
    <w:rsid w:val="003C087C"/>
    <w:rsid w:val="003C0B19"/>
    <w:rsid w:val="003C0CE3"/>
    <w:rsid w:val="003C0CED"/>
    <w:rsid w:val="003C0DB2"/>
    <w:rsid w:val="003C1023"/>
    <w:rsid w:val="003C1184"/>
    <w:rsid w:val="003C1357"/>
    <w:rsid w:val="003C1411"/>
    <w:rsid w:val="003C148A"/>
    <w:rsid w:val="003C14A4"/>
    <w:rsid w:val="003C16FE"/>
    <w:rsid w:val="003C17C6"/>
    <w:rsid w:val="003C1AD2"/>
    <w:rsid w:val="003C1C30"/>
    <w:rsid w:val="003C1D23"/>
    <w:rsid w:val="003C1D5F"/>
    <w:rsid w:val="003C1D71"/>
    <w:rsid w:val="003C1D81"/>
    <w:rsid w:val="003C1EC2"/>
    <w:rsid w:val="003C1F10"/>
    <w:rsid w:val="003C1FD7"/>
    <w:rsid w:val="003C20C0"/>
    <w:rsid w:val="003C20EF"/>
    <w:rsid w:val="003C2274"/>
    <w:rsid w:val="003C2288"/>
    <w:rsid w:val="003C22D2"/>
    <w:rsid w:val="003C2331"/>
    <w:rsid w:val="003C2478"/>
    <w:rsid w:val="003C27BD"/>
    <w:rsid w:val="003C2B28"/>
    <w:rsid w:val="003C2B3D"/>
    <w:rsid w:val="003C2B73"/>
    <w:rsid w:val="003C2BCF"/>
    <w:rsid w:val="003C2D5E"/>
    <w:rsid w:val="003C2E12"/>
    <w:rsid w:val="003C2E39"/>
    <w:rsid w:val="003C2FF2"/>
    <w:rsid w:val="003C3041"/>
    <w:rsid w:val="003C30BD"/>
    <w:rsid w:val="003C33DF"/>
    <w:rsid w:val="003C361B"/>
    <w:rsid w:val="003C37C1"/>
    <w:rsid w:val="003C39C8"/>
    <w:rsid w:val="003C3A27"/>
    <w:rsid w:val="003C3C49"/>
    <w:rsid w:val="003C3C5D"/>
    <w:rsid w:val="003C3E25"/>
    <w:rsid w:val="003C3E43"/>
    <w:rsid w:val="003C3F71"/>
    <w:rsid w:val="003C436D"/>
    <w:rsid w:val="003C453B"/>
    <w:rsid w:val="003C4566"/>
    <w:rsid w:val="003C4598"/>
    <w:rsid w:val="003C461D"/>
    <w:rsid w:val="003C467C"/>
    <w:rsid w:val="003C4683"/>
    <w:rsid w:val="003C46C9"/>
    <w:rsid w:val="003C4956"/>
    <w:rsid w:val="003C4998"/>
    <w:rsid w:val="003C49F8"/>
    <w:rsid w:val="003C4A38"/>
    <w:rsid w:val="003C4A75"/>
    <w:rsid w:val="003C4B62"/>
    <w:rsid w:val="003C4C14"/>
    <w:rsid w:val="003C4DFB"/>
    <w:rsid w:val="003C4E53"/>
    <w:rsid w:val="003C4F82"/>
    <w:rsid w:val="003C4FBB"/>
    <w:rsid w:val="003C5193"/>
    <w:rsid w:val="003C522B"/>
    <w:rsid w:val="003C5250"/>
    <w:rsid w:val="003C545E"/>
    <w:rsid w:val="003C54C4"/>
    <w:rsid w:val="003C556B"/>
    <w:rsid w:val="003C5645"/>
    <w:rsid w:val="003C5661"/>
    <w:rsid w:val="003C57FF"/>
    <w:rsid w:val="003C5A80"/>
    <w:rsid w:val="003C5B60"/>
    <w:rsid w:val="003C5C31"/>
    <w:rsid w:val="003C5C40"/>
    <w:rsid w:val="003C5C5B"/>
    <w:rsid w:val="003C5D42"/>
    <w:rsid w:val="003C5E29"/>
    <w:rsid w:val="003C61D7"/>
    <w:rsid w:val="003C62BE"/>
    <w:rsid w:val="003C63B2"/>
    <w:rsid w:val="003C65FF"/>
    <w:rsid w:val="003C66FB"/>
    <w:rsid w:val="003C6704"/>
    <w:rsid w:val="003C6716"/>
    <w:rsid w:val="003C6778"/>
    <w:rsid w:val="003C67D5"/>
    <w:rsid w:val="003C6844"/>
    <w:rsid w:val="003C68C7"/>
    <w:rsid w:val="003C6BA8"/>
    <w:rsid w:val="003C6BBF"/>
    <w:rsid w:val="003C6C78"/>
    <w:rsid w:val="003C6EF5"/>
    <w:rsid w:val="003C7054"/>
    <w:rsid w:val="003C709E"/>
    <w:rsid w:val="003C70BA"/>
    <w:rsid w:val="003C70D1"/>
    <w:rsid w:val="003C70E1"/>
    <w:rsid w:val="003C70FA"/>
    <w:rsid w:val="003C7189"/>
    <w:rsid w:val="003C7205"/>
    <w:rsid w:val="003C7337"/>
    <w:rsid w:val="003C7495"/>
    <w:rsid w:val="003C74D6"/>
    <w:rsid w:val="003C751A"/>
    <w:rsid w:val="003C760D"/>
    <w:rsid w:val="003C7632"/>
    <w:rsid w:val="003C76ED"/>
    <w:rsid w:val="003C7822"/>
    <w:rsid w:val="003C797F"/>
    <w:rsid w:val="003C7ADB"/>
    <w:rsid w:val="003C7CE4"/>
    <w:rsid w:val="003C7E67"/>
    <w:rsid w:val="003C7F0E"/>
    <w:rsid w:val="003D017E"/>
    <w:rsid w:val="003D01BC"/>
    <w:rsid w:val="003D0397"/>
    <w:rsid w:val="003D075B"/>
    <w:rsid w:val="003D0797"/>
    <w:rsid w:val="003D097C"/>
    <w:rsid w:val="003D0A77"/>
    <w:rsid w:val="003D0CC8"/>
    <w:rsid w:val="003D0DD6"/>
    <w:rsid w:val="003D0F24"/>
    <w:rsid w:val="003D0FCF"/>
    <w:rsid w:val="003D1048"/>
    <w:rsid w:val="003D10C3"/>
    <w:rsid w:val="003D1256"/>
    <w:rsid w:val="003D126C"/>
    <w:rsid w:val="003D137E"/>
    <w:rsid w:val="003D1721"/>
    <w:rsid w:val="003D1842"/>
    <w:rsid w:val="003D1896"/>
    <w:rsid w:val="003D1ACE"/>
    <w:rsid w:val="003D1C1F"/>
    <w:rsid w:val="003D1C35"/>
    <w:rsid w:val="003D1CBC"/>
    <w:rsid w:val="003D1F12"/>
    <w:rsid w:val="003D2084"/>
    <w:rsid w:val="003D2119"/>
    <w:rsid w:val="003D2271"/>
    <w:rsid w:val="003D234B"/>
    <w:rsid w:val="003D23BF"/>
    <w:rsid w:val="003D2507"/>
    <w:rsid w:val="003D2609"/>
    <w:rsid w:val="003D280E"/>
    <w:rsid w:val="003D28B8"/>
    <w:rsid w:val="003D2989"/>
    <w:rsid w:val="003D2A4C"/>
    <w:rsid w:val="003D2ABC"/>
    <w:rsid w:val="003D2B87"/>
    <w:rsid w:val="003D2C24"/>
    <w:rsid w:val="003D2C9B"/>
    <w:rsid w:val="003D2CA9"/>
    <w:rsid w:val="003D2F11"/>
    <w:rsid w:val="003D2F84"/>
    <w:rsid w:val="003D311C"/>
    <w:rsid w:val="003D3280"/>
    <w:rsid w:val="003D3291"/>
    <w:rsid w:val="003D3343"/>
    <w:rsid w:val="003D347B"/>
    <w:rsid w:val="003D3806"/>
    <w:rsid w:val="003D3925"/>
    <w:rsid w:val="003D3AD5"/>
    <w:rsid w:val="003D3C4D"/>
    <w:rsid w:val="003D3E2D"/>
    <w:rsid w:val="003D3EB5"/>
    <w:rsid w:val="003D3EC1"/>
    <w:rsid w:val="003D3F9C"/>
    <w:rsid w:val="003D3FED"/>
    <w:rsid w:val="003D406B"/>
    <w:rsid w:val="003D40DC"/>
    <w:rsid w:val="003D447C"/>
    <w:rsid w:val="003D4738"/>
    <w:rsid w:val="003D482F"/>
    <w:rsid w:val="003D4982"/>
    <w:rsid w:val="003D4A03"/>
    <w:rsid w:val="003D4B2D"/>
    <w:rsid w:val="003D4BFB"/>
    <w:rsid w:val="003D4CF5"/>
    <w:rsid w:val="003D4D20"/>
    <w:rsid w:val="003D4D2E"/>
    <w:rsid w:val="003D4D54"/>
    <w:rsid w:val="003D4DDC"/>
    <w:rsid w:val="003D5247"/>
    <w:rsid w:val="003D5344"/>
    <w:rsid w:val="003D5525"/>
    <w:rsid w:val="003D553F"/>
    <w:rsid w:val="003D5543"/>
    <w:rsid w:val="003D55DA"/>
    <w:rsid w:val="003D5669"/>
    <w:rsid w:val="003D56DB"/>
    <w:rsid w:val="003D599F"/>
    <w:rsid w:val="003D59BC"/>
    <w:rsid w:val="003D5B8A"/>
    <w:rsid w:val="003D5C7D"/>
    <w:rsid w:val="003D5CED"/>
    <w:rsid w:val="003D5D8A"/>
    <w:rsid w:val="003D5E48"/>
    <w:rsid w:val="003D6037"/>
    <w:rsid w:val="003D6075"/>
    <w:rsid w:val="003D60AD"/>
    <w:rsid w:val="003D627A"/>
    <w:rsid w:val="003D6423"/>
    <w:rsid w:val="003D6457"/>
    <w:rsid w:val="003D64D3"/>
    <w:rsid w:val="003D66D9"/>
    <w:rsid w:val="003D6799"/>
    <w:rsid w:val="003D692E"/>
    <w:rsid w:val="003D6B79"/>
    <w:rsid w:val="003D6B82"/>
    <w:rsid w:val="003D6BE0"/>
    <w:rsid w:val="003D6E15"/>
    <w:rsid w:val="003D6FC7"/>
    <w:rsid w:val="003D6FDD"/>
    <w:rsid w:val="003D7024"/>
    <w:rsid w:val="003D7032"/>
    <w:rsid w:val="003D71C0"/>
    <w:rsid w:val="003D726E"/>
    <w:rsid w:val="003D72E2"/>
    <w:rsid w:val="003D75C1"/>
    <w:rsid w:val="003D75DD"/>
    <w:rsid w:val="003D778A"/>
    <w:rsid w:val="003D780C"/>
    <w:rsid w:val="003D784E"/>
    <w:rsid w:val="003D788F"/>
    <w:rsid w:val="003D78FF"/>
    <w:rsid w:val="003D7B98"/>
    <w:rsid w:val="003D7D4E"/>
    <w:rsid w:val="003DE01B"/>
    <w:rsid w:val="003E0454"/>
    <w:rsid w:val="003E05E4"/>
    <w:rsid w:val="003E064F"/>
    <w:rsid w:val="003E069C"/>
    <w:rsid w:val="003E07BD"/>
    <w:rsid w:val="003E0847"/>
    <w:rsid w:val="003E08B6"/>
    <w:rsid w:val="003E0A9C"/>
    <w:rsid w:val="003E0B8D"/>
    <w:rsid w:val="003E0B91"/>
    <w:rsid w:val="003E0BFA"/>
    <w:rsid w:val="003E0C3B"/>
    <w:rsid w:val="003E0C99"/>
    <w:rsid w:val="003E0CA3"/>
    <w:rsid w:val="003E0D31"/>
    <w:rsid w:val="003E0D54"/>
    <w:rsid w:val="003E0D8F"/>
    <w:rsid w:val="003E0E5C"/>
    <w:rsid w:val="003E0EF6"/>
    <w:rsid w:val="003E1198"/>
    <w:rsid w:val="003E138A"/>
    <w:rsid w:val="003E146B"/>
    <w:rsid w:val="003E14B7"/>
    <w:rsid w:val="003E1683"/>
    <w:rsid w:val="003E1780"/>
    <w:rsid w:val="003E184C"/>
    <w:rsid w:val="003E185B"/>
    <w:rsid w:val="003E1ADC"/>
    <w:rsid w:val="003E1AEC"/>
    <w:rsid w:val="003E1B0D"/>
    <w:rsid w:val="003E1BBD"/>
    <w:rsid w:val="003E1C09"/>
    <w:rsid w:val="003E1DA0"/>
    <w:rsid w:val="003E1DF5"/>
    <w:rsid w:val="003E1FB9"/>
    <w:rsid w:val="003E1FC9"/>
    <w:rsid w:val="003E209C"/>
    <w:rsid w:val="003E22B6"/>
    <w:rsid w:val="003E2393"/>
    <w:rsid w:val="003E245D"/>
    <w:rsid w:val="003E2463"/>
    <w:rsid w:val="003E24DF"/>
    <w:rsid w:val="003E2531"/>
    <w:rsid w:val="003E2558"/>
    <w:rsid w:val="003E25D8"/>
    <w:rsid w:val="003E2758"/>
    <w:rsid w:val="003E27D5"/>
    <w:rsid w:val="003E2882"/>
    <w:rsid w:val="003E2AB9"/>
    <w:rsid w:val="003E2BB4"/>
    <w:rsid w:val="003E2C05"/>
    <w:rsid w:val="003E2E6A"/>
    <w:rsid w:val="003E2F3E"/>
    <w:rsid w:val="003E2F81"/>
    <w:rsid w:val="003E3103"/>
    <w:rsid w:val="003E3425"/>
    <w:rsid w:val="003E350D"/>
    <w:rsid w:val="003E3625"/>
    <w:rsid w:val="003E3697"/>
    <w:rsid w:val="003E36EB"/>
    <w:rsid w:val="003E377E"/>
    <w:rsid w:val="003E3796"/>
    <w:rsid w:val="003E3882"/>
    <w:rsid w:val="003E398F"/>
    <w:rsid w:val="003E39E4"/>
    <w:rsid w:val="003E39EC"/>
    <w:rsid w:val="003E3A55"/>
    <w:rsid w:val="003E3C1C"/>
    <w:rsid w:val="003E3D21"/>
    <w:rsid w:val="003E3DDE"/>
    <w:rsid w:val="003E3F81"/>
    <w:rsid w:val="003E3FEF"/>
    <w:rsid w:val="003E4198"/>
    <w:rsid w:val="003E42FD"/>
    <w:rsid w:val="003E433D"/>
    <w:rsid w:val="003E447A"/>
    <w:rsid w:val="003E448F"/>
    <w:rsid w:val="003E474C"/>
    <w:rsid w:val="003E47BA"/>
    <w:rsid w:val="003E4873"/>
    <w:rsid w:val="003E4957"/>
    <w:rsid w:val="003E4B92"/>
    <w:rsid w:val="003E4BC7"/>
    <w:rsid w:val="003E4CC8"/>
    <w:rsid w:val="003E4DBB"/>
    <w:rsid w:val="003E4DC0"/>
    <w:rsid w:val="003E4F4F"/>
    <w:rsid w:val="003E4F6D"/>
    <w:rsid w:val="003E522E"/>
    <w:rsid w:val="003E530E"/>
    <w:rsid w:val="003E53F9"/>
    <w:rsid w:val="003E5541"/>
    <w:rsid w:val="003E5685"/>
    <w:rsid w:val="003E56A5"/>
    <w:rsid w:val="003E56E0"/>
    <w:rsid w:val="003E570E"/>
    <w:rsid w:val="003E59BF"/>
    <w:rsid w:val="003E59F7"/>
    <w:rsid w:val="003E5D5C"/>
    <w:rsid w:val="003E5E22"/>
    <w:rsid w:val="003E5E52"/>
    <w:rsid w:val="003E608E"/>
    <w:rsid w:val="003E6112"/>
    <w:rsid w:val="003E61FC"/>
    <w:rsid w:val="003E626E"/>
    <w:rsid w:val="003E67A0"/>
    <w:rsid w:val="003E6826"/>
    <w:rsid w:val="003E68B9"/>
    <w:rsid w:val="003E68C6"/>
    <w:rsid w:val="003E6920"/>
    <w:rsid w:val="003E6A0D"/>
    <w:rsid w:val="003E6B84"/>
    <w:rsid w:val="003E7011"/>
    <w:rsid w:val="003E71A0"/>
    <w:rsid w:val="003E72CE"/>
    <w:rsid w:val="003E73F6"/>
    <w:rsid w:val="003E751F"/>
    <w:rsid w:val="003E761D"/>
    <w:rsid w:val="003E77C5"/>
    <w:rsid w:val="003E77D2"/>
    <w:rsid w:val="003E799B"/>
    <w:rsid w:val="003E79D5"/>
    <w:rsid w:val="003E79F8"/>
    <w:rsid w:val="003E7A1C"/>
    <w:rsid w:val="003E7A90"/>
    <w:rsid w:val="003E7A9E"/>
    <w:rsid w:val="003E7AE7"/>
    <w:rsid w:val="003E7CEA"/>
    <w:rsid w:val="003E7D10"/>
    <w:rsid w:val="003E7E95"/>
    <w:rsid w:val="003E7F81"/>
    <w:rsid w:val="003F0141"/>
    <w:rsid w:val="003F019F"/>
    <w:rsid w:val="003F01DE"/>
    <w:rsid w:val="003F02EE"/>
    <w:rsid w:val="003F02F6"/>
    <w:rsid w:val="003F037D"/>
    <w:rsid w:val="003F03A6"/>
    <w:rsid w:val="003F047A"/>
    <w:rsid w:val="003F0617"/>
    <w:rsid w:val="003F06FC"/>
    <w:rsid w:val="003F0753"/>
    <w:rsid w:val="003F0860"/>
    <w:rsid w:val="003F08E6"/>
    <w:rsid w:val="003F0911"/>
    <w:rsid w:val="003F096F"/>
    <w:rsid w:val="003F0A14"/>
    <w:rsid w:val="003F0A66"/>
    <w:rsid w:val="003F0B61"/>
    <w:rsid w:val="003F0C5C"/>
    <w:rsid w:val="003F0C73"/>
    <w:rsid w:val="003F0C9E"/>
    <w:rsid w:val="003F0E86"/>
    <w:rsid w:val="003F10A5"/>
    <w:rsid w:val="003F186E"/>
    <w:rsid w:val="003F18F8"/>
    <w:rsid w:val="003F19F4"/>
    <w:rsid w:val="003F19F6"/>
    <w:rsid w:val="003F1C2C"/>
    <w:rsid w:val="003F1D7A"/>
    <w:rsid w:val="003F1F2A"/>
    <w:rsid w:val="003F1F49"/>
    <w:rsid w:val="003F1F8E"/>
    <w:rsid w:val="003F1F91"/>
    <w:rsid w:val="003F2033"/>
    <w:rsid w:val="003F213E"/>
    <w:rsid w:val="003F22E8"/>
    <w:rsid w:val="003F2301"/>
    <w:rsid w:val="003F235D"/>
    <w:rsid w:val="003F2398"/>
    <w:rsid w:val="003F23AB"/>
    <w:rsid w:val="003F23BB"/>
    <w:rsid w:val="003F2445"/>
    <w:rsid w:val="003F2449"/>
    <w:rsid w:val="003F24D7"/>
    <w:rsid w:val="003F254A"/>
    <w:rsid w:val="003F2694"/>
    <w:rsid w:val="003F269E"/>
    <w:rsid w:val="003F2850"/>
    <w:rsid w:val="003F2914"/>
    <w:rsid w:val="003F2B6D"/>
    <w:rsid w:val="003F2CB4"/>
    <w:rsid w:val="003F2DCC"/>
    <w:rsid w:val="003F306C"/>
    <w:rsid w:val="003F326B"/>
    <w:rsid w:val="003F3376"/>
    <w:rsid w:val="003F3428"/>
    <w:rsid w:val="003F3466"/>
    <w:rsid w:val="003F36EE"/>
    <w:rsid w:val="003F3AB0"/>
    <w:rsid w:val="003F3AB1"/>
    <w:rsid w:val="003F3B72"/>
    <w:rsid w:val="003F3CD4"/>
    <w:rsid w:val="003F3D44"/>
    <w:rsid w:val="003F3EAC"/>
    <w:rsid w:val="003F4029"/>
    <w:rsid w:val="003F40B8"/>
    <w:rsid w:val="003F413E"/>
    <w:rsid w:val="003F4234"/>
    <w:rsid w:val="003F43B6"/>
    <w:rsid w:val="003F4556"/>
    <w:rsid w:val="003F461F"/>
    <w:rsid w:val="003F475C"/>
    <w:rsid w:val="003F47D0"/>
    <w:rsid w:val="003F49D1"/>
    <w:rsid w:val="003F4B95"/>
    <w:rsid w:val="003F4E83"/>
    <w:rsid w:val="003F4F34"/>
    <w:rsid w:val="003F4FF7"/>
    <w:rsid w:val="003F5127"/>
    <w:rsid w:val="003F522C"/>
    <w:rsid w:val="003F5248"/>
    <w:rsid w:val="003F5309"/>
    <w:rsid w:val="003F54D7"/>
    <w:rsid w:val="003F5652"/>
    <w:rsid w:val="003F58A4"/>
    <w:rsid w:val="003F595A"/>
    <w:rsid w:val="003F59F3"/>
    <w:rsid w:val="003F5A7E"/>
    <w:rsid w:val="003F5AC2"/>
    <w:rsid w:val="003F5F09"/>
    <w:rsid w:val="003F60DE"/>
    <w:rsid w:val="003F62EA"/>
    <w:rsid w:val="003F62F3"/>
    <w:rsid w:val="003F6403"/>
    <w:rsid w:val="003F655D"/>
    <w:rsid w:val="003F65CF"/>
    <w:rsid w:val="003F65D1"/>
    <w:rsid w:val="003F66F1"/>
    <w:rsid w:val="003F6872"/>
    <w:rsid w:val="003F68C8"/>
    <w:rsid w:val="003F68EF"/>
    <w:rsid w:val="003F6943"/>
    <w:rsid w:val="003F6953"/>
    <w:rsid w:val="003F69AA"/>
    <w:rsid w:val="003F6AC8"/>
    <w:rsid w:val="003F6B87"/>
    <w:rsid w:val="003F6BE8"/>
    <w:rsid w:val="003F6C1C"/>
    <w:rsid w:val="003F6D40"/>
    <w:rsid w:val="003F6D4A"/>
    <w:rsid w:val="003F6D57"/>
    <w:rsid w:val="003F6DC8"/>
    <w:rsid w:val="003F6DCC"/>
    <w:rsid w:val="003F6FBC"/>
    <w:rsid w:val="003F70D2"/>
    <w:rsid w:val="003F71AE"/>
    <w:rsid w:val="003F73BD"/>
    <w:rsid w:val="003F767B"/>
    <w:rsid w:val="003F76BD"/>
    <w:rsid w:val="003F7871"/>
    <w:rsid w:val="003F7909"/>
    <w:rsid w:val="003F7943"/>
    <w:rsid w:val="003F7961"/>
    <w:rsid w:val="003F7B61"/>
    <w:rsid w:val="003F7C22"/>
    <w:rsid w:val="003F7DB1"/>
    <w:rsid w:val="003F7FEB"/>
    <w:rsid w:val="004000CA"/>
    <w:rsid w:val="00400107"/>
    <w:rsid w:val="004002CA"/>
    <w:rsid w:val="004003FA"/>
    <w:rsid w:val="00400407"/>
    <w:rsid w:val="00400466"/>
    <w:rsid w:val="0040077F"/>
    <w:rsid w:val="004007F2"/>
    <w:rsid w:val="004008AD"/>
    <w:rsid w:val="004008D3"/>
    <w:rsid w:val="0040091E"/>
    <w:rsid w:val="0040092A"/>
    <w:rsid w:val="00400AAB"/>
    <w:rsid w:val="00400BA0"/>
    <w:rsid w:val="00400CBC"/>
    <w:rsid w:val="00400ED8"/>
    <w:rsid w:val="00400F2A"/>
    <w:rsid w:val="00400FB4"/>
    <w:rsid w:val="00400FEC"/>
    <w:rsid w:val="00401177"/>
    <w:rsid w:val="004011FF"/>
    <w:rsid w:val="004012D1"/>
    <w:rsid w:val="0040130A"/>
    <w:rsid w:val="00401539"/>
    <w:rsid w:val="004015E5"/>
    <w:rsid w:val="0040168E"/>
    <w:rsid w:val="0040184F"/>
    <w:rsid w:val="00401858"/>
    <w:rsid w:val="004018E5"/>
    <w:rsid w:val="00401A6D"/>
    <w:rsid w:val="00401AA6"/>
    <w:rsid w:val="00401ABF"/>
    <w:rsid w:val="00401AD7"/>
    <w:rsid w:val="00401BA6"/>
    <w:rsid w:val="00401BE7"/>
    <w:rsid w:val="00401BFA"/>
    <w:rsid w:val="00401C20"/>
    <w:rsid w:val="00401EA6"/>
    <w:rsid w:val="00402010"/>
    <w:rsid w:val="004020F2"/>
    <w:rsid w:val="004021B8"/>
    <w:rsid w:val="004021E0"/>
    <w:rsid w:val="0040235B"/>
    <w:rsid w:val="004025D7"/>
    <w:rsid w:val="004027B5"/>
    <w:rsid w:val="00402816"/>
    <w:rsid w:val="00402846"/>
    <w:rsid w:val="004028E8"/>
    <w:rsid w:val="0040294D"/>
    <w:rsid w:val="004029D2"/>
    <w:rsid w:val="00402A30"/>
    <w:rsid w:val="00402A32"/>
    <w:rsid w:val="00402BDB"/>
    <w:rsid w:val="00402DD3"/>
    <w:rsid w:val="00402EF4"/>
    <w:rsid w:val="00402FD9"/>
    <w:rsid w:val="0040309A"/>
    <w:rsid w:val="0040318C"/>
    <w:rsid w:val="0040333C"/>
    <w:rsid w:val="004033F1"/>
    <w:rsid w:val="004033F3"/>
    <w:rsid w:val="0040341B"/>
    <w:rsid w:val="00403441"/>
    <w:rsid w:val="004034DC"/>
    <w:rsid w:val="00403527"/>
    <w:rsid w:val="00403566"/>
    <w:rsid w:val="004035E3"/>
    <w:rsid w:val="004036B4"/>
    <w:rsid w:val="004036D7"/>
    <w:rsid w:val="00403704"/>
    <w:rsid w:val="00403731"/>
    <w:rsid w:val="004037E0"/>
    <w:rsid w:val="0040383C"/>
    <w:rsid w:val="0040385C"/>
    <w:rsid w:val="00403A7C"/>
    <w:rsid w:val="00403B3A"/>
    <w:rsid w:val="00403C11"/>
    <w:rsid w:val="00403CF1"/>
    <w:rsid w:val="00403D2B"/>
    <w:rsid w:val="00403D3E"/>
    <w:rsid w:val="00403FC0"/>
    <w:rsid w:val="004042E5"/>
    <w:rsid w:val="004044E7"/>
    <w:rsid w:val="00404533"/>
    <w:rsid w:val="004046C7"/>
    <w:rsid w:val="00404B14"/>
    <w:rsid w:val="00404BBF"/>
    <w:rsid w:val="0040511F"/>
    <w:rsid w:val="004051B6"/>
    <w:rsid w:val="00405275"/>
    <w:rsid w:val="0040547F"/>
    <w:rsid w:val="0040550D"/>
    <w:rsid w:val="0040567C"/>
    <w:rsid w:val="0040568C"/>
    <w:rsid w:val="00405695"/>
    <w:rsid w:val="004058F7"/>
    <w:rsid w:val="00405B27"/>
    <w:rsid w:val="00405B53"/>
    <w:rsid w:val="00405C30"/>
    <w:rsid w:val="00405C6A"/>
    <w:rsid w:val="00405EE7"/>
    <w:rsid w:val="00405EEB"/>
    <w:rsid w:val="00405FBA"/>
    <w:rsid w:val="00405FCA"/>
    <w:rsid w:val="00406040"/>
    <w:rsid w:val="00406054"/>
    <w:rsid w:val="00406204"/>
    <w:rsid w:val="0040620E"/>
    <w:rsid w:val="004062DF"/>
    <w:rsid w:val="00406303"/>
    <w:rsid w:val="0040642F"/>
    <w:rsid w:val="004064DE"/>
    <w:rsid w:val="00406906"/>
    <w:rsid w:val="00406998"/>
    <w:rsid w:val="004069F8"/>
    <w:rsid w:val="00406A85"/>
    <w:rsid w:val="00406ADE"/>
    <w:rsid w:val="00406AED"/>
    <w:rsid w:val="00406C91"/>
    <w:rsid w:val="00406CA2"/>
    <w:rsid w:val="004070B3"/>
    <w:rsid w:val="0040713B"/>
    <w:rsid w:val="0040716A"/>
    <w:rsid w:val="0040717F"/>
    <w:rsid w:val="004072D5"/>
    <w:rsid w:val="004072D6"/>
    <w:rsid w:val="00407401"/>
    <w:rsid w:val="004075B3"/>
    <w:rsid w:val="0040770F"/>
    <w:rsid w:val="0040779E"/>
    <w:rsid w:val="00407A4C"/>
    <w:rsid w:val="00407C89"/>
    <w:rsid w:val="00407CFD"/>
    <w:rsid w:val="00407DF2"/>
    <w:rsid w:val="00407E35"/>
    <w:rsid w:val="00407E4C"/>
    <w:rsid w:val="0041002C"/>
    <w:rsid w:val="00410077"/>
    <w:rsid w:val="004100C3"/>
    <w:rsid w:val="0041024A"/>
    <w:rsid w:val="00410265"/>
    <w:rsid w:val="004102E2"/>
    <w:rsid w:val="00410357"/>
    <w:rsid w:val="00410512"/>
    <w:rsid w:val="00410540"/>
    <w:rsid w:val="00410962"/>
    <w:rsid w:val="00410987"/>
    <w:rsid w:val="00410A3B"/>
    <w:rsid w:val="00410AAF"/>
    <w:rsid w:val="00410B00"/>
    <w:rsid w:val="00410B73"/>
    <w:rsid w:val="00410D2B"/>
    <w:rsid w:val="00411084"/>
    <w:rsid w:val="00411161"/>
    <w:rsid w:val="004111CE"/>
    <w:rsid w:val="004112A1"/>
    <w:rsid w:val="004115EA"/>
    <w:rsid w:val="004116E5"/>
    <w:rsid w:val="004117BA"/>
    <w:rsid w:val="004117EA"/>
    <w:rsid w:val="00411969"/>
    <w:rsid w:val="00411BE0"/>
    <w:rsid w:val="00411C45"/>
    <w:rsid w:val="00411EA0"/>
    <w:rsid w:val="00411FA8"/>
    <w:rsid w:val="00412138"/>
    <w:rsid w:val="0041218A"/>
    <w:rsid w:val="0041232B"/>
    <w:rsid w:val="004123AC"/>
    <w:rsid w:val="00412490"/>
    <w:rsid w:val="00412551"/>
    <w:rsid w:val="00412737"/>
    <w:rsid w:val="004129AF"/>
    <w:rsid w:val="004129BC"/>
    <w:rsid w:val="00412A98"/>
    <w:rsid w:val="00412B38"/>
    <w:rsid w:val="00412BE8"/>
    <w:rsid w:val="00412E96"/>
    <w:rsid w:val="00412F41"/>
    <w:rsid w:val="00412FB2"/>
    <w:rsid w:val="00412FCE"/>
    <w:rsid w:val="00413046"/>
    <w:rsid w:val="004130B9"/>
    <w:rsid w:val="00413153"/>
    <w:rsid w:val="0041319E"/>
    <w:rsid w:val="0041323D"/>
    <w:rsid w:val="00413320"/>
    <w:rsid w:val="00413384"/>
    <w:rsid w:val="0041355F"/>
    <w:rsid w:val="00413697"/>
    <w:rsid w:val="0041370B"/>
    <w:rsid w:val="00413739"/>
    <w:rsid w:val="00413872"/>
    <w:rsid w:val="00413929"/>
    <w:rsid w:val="00413C60"/>
    <w:rsid w:val="00413DAE"/>
    <w:rsid w:val="00413EEE"/>
    <w:rsid w:val="0041405B"/>
    <w:rsid w:val="004140F9"/>
    <w:rsid w:val="00414362"/>
    <w:rsid w:val="0041448A"/>
    <w:rsid w:val="004145EF"/>
    <w:rsid w:val="0041462E"/>
    <w:rsid w:val="00414659"/>
    <w:rsid w:val="0041477D"/>
    <w:rsid w:val="004147C7"/>
    <w:rsid w:val="00414818"/>
    <w:rsid w:val="0041486D"/>
    <w:rsid w:val="004148C7"/>
    <w:rsid w:val="004148EB"/>
    <w:rsid w:val="00414922"/>
    <w:rsid w:val="00414CF2"/>
    <w:rsid w:val="00414CFF"/>
    <w:rsid w:val="00414D31"/>
    <w:rsid w:val="00414E43"/>
    <w:rsid w:val="00414F9C"/>
    <w:rsid w:val="0041502B"/>
    <w:rsid w:val="0041503D"/>
    <w:rsid w:val="00415185"/>
    <w:rsid w:val="004151C6"/>
    <w:rsid w:val="00415204"/>
    <w:rsid w:val="00415238"/>
    <w:rsid w:val="004152E0"/>
    <w:rsid w:val="00415384"/>
    <w:rsid w:val="0041568B"/>
    <w:rsid w:val="00415780"/>
    <w:rsid w:val="004158A8"/>
    <w:rsid w:val="004158B3"/>
    <w:rsid w:val="004158E2"/>
    <w:rsid w:val="00415929"/>
    <w:rsid w:val="004159FC"/>
    <w:rsid w:val="00415AAC"/>
    <w:rsid w:val="00415BA7"/>
    <w:rsid w:val="00415D7F"/>
    <w:rsid w:val="0041603D"/>
    <w:rsid w:val="00416107"/>
    <w:rsid w:val="0041623C"/>
    <w:rsid w:val="004162BA"/>
    <w:rsid w:val="00416316"/>
    <w:rsid w:val="00416380"/>
    <w:rsid w:val="004163F3"/>
    <w:rsid w:val="0041645E"/>
    <w:rsid w:val="004164E2"/>
    <w:rsid w:val="004165F0"/>
    <w:rsid w:val="00416724"/>
    <w:rsid w:val="00416747"/>
    <w:rsid w:val="004167BA"/>
    <w:rsid w:val="00416839"/>
    <w:rsid w:val="0041691D"/>
    <w:rsid w:val="00416945"/>
    <w:rsid w:val="004169D7"/>
    <w:rsid w:val="00416C34"/>
    <w:rsid w:val="00416DAE"/>
    <w:rsid w:val="00416E7E"/>
    <w:rsid w:val="00416F8E"/>
    <w:rsid w:val="00417017"/>
    <w:rsid w:val="00417172"/>
    <w:rsid w:val="004171F0"/>
    <w:rsid w:val="0041757E"/>
    <w:rsid w:val="004175CF"/>
    <w:rsid w:val="004177F4"/>
    <w:rsid w:val="00417948"/>
    <w:rsid w:val="00417BD9"/>
    <w:rsid w:val="00417E18"/>
    <w:rsid w:val="00417E51"/>
    <w:rsid w:val="00417F2E"/>
    <w:rsid w:val="00417F49"/>
    <w:rsid w:val="00417F70"/>
    <w:rsid w:val="0042020B"/>
    <w:rsid w:val="00420389"/>
    <w:rsid w:val="004203A0"/>
    <w:rsid w:val="0042062A"/>
    <w:rsid w:val="004208C2"/>
    <w:rsid w:val="004209B1"/>
    <w:rsid w:val="00420A63"/>
    <w:rsid w:val="00420EFE"/>
    <w:rsid w:val="00420F1D"/>
    <w:rsid w:val="00420F75"/>
    <w:rsid w:val="00421198"/>
    <w:rsid w:val="0042137D"/>
    <w:rsid w:val="004213BD"/>
    <w:rsid w:val="00421581"/>
    <w:rsid w:val="0042166B"/>
    <w:rsid w:val="004216AF"/>
    <w:rsid w:val="004216CE"/>
    <w:rsid w:val="004216E8"/>
    <w:rsid w:val="00421769"/>
    <w:rsid w:val="00421897"/>
    <w:rsid w:val="00421A87"/>
    <w:rsid w:val="00421B2C"/>
    <w:rsid w:val="00421CF9"/>
    <w:rsid w:val="00421CFE"/>
    <w:rsid w:val="00422095"/>
    <w:rsid w:val="0042211C"/>
    <w:rsid w:val="00422345"/>
    <w:rsid w:val="0042235C"/>
    <w:rsid w:val="0042238F"/>
    <w:rsid w:val="004223CB"/>
    <w:rsid w:val="004226F2"/>
    <w:rsid w:val="004226FD"/>
    <w:rsid w:val="00422763"/>
    <w:rsid w:val="004227BE"/>
    <w:rsid w:val="0042287E"/>
    <w:rsid w:val="00422881"/>
    <w:rsid w:val="0042288D"/>
    <w:rsid w:val="00422A04"/>
    <w:rsid w:val="00422A0B"/>
    <w:rsid w:val="00422BE0"/>
    <w:rsid w:val="00422D0D"/>
    <w:rsid w:val="00422E9E"/>
    <w:rsid w:val="00422EE4"/>
    <w:rsid w:val="00422F57"/>
    <w:rsid w:val="00422F92"/>
    <w:rsid w:val="004231ED"/>
    <w:rsid w:val="0042323A"/>
    <w:rsid w:val="00423244"/>
    <w:rsid w:val="0042330C"/>
    <w:rsid w:val="00423363"/>
    <w:rsid w:val="004233C9"/>
    <w:rsid w:val="004234D9"/>
    <w:rsid w:val="0042371E"/>
    <w:rsid w:val="004238CA"/>
    <w:rsid w:val="00423946"/>
    <w:rsid w:val="004239F6"/>
    <w:rsid w:val="00423A3A"/>
    <w:rsid w:val="00423A67"/>
    <w:rsid w:val="00423D7A"/>
    <w:rsid w:val="00423E8F"/>
    <w:rsid w:val="00423E9B"/>
    <w:rsid w:val="00424014"/>
    <w:rsid w:val="004240E5"/>
    <w:rsid w:val="004246C5"/>
    <w:rsid w:val="0042472C"/>
    <w:rsid w:val="0042477A"/>
    <w:rsid w:val="00424CB1"/>
    <w:rsid w:val="00424CE0"/>
    <w:rsid w:val="00424EE1"/>
    <w:rsid w:val="00424F3B"/>
    <w:rsid w:val="00424F91"/>
    <w:rsid w:val="00424FA7"/>
    <w:rsid w:val="00424FB7"/>
    <w:rsid w:val="004254CB"/>
    <w:rsid w:val="004254E1"/>
    <w:rsid w:val="0042557F"/>
    <w:rsid w:val="004256B2"/>
    <w:rsid w:val="00425756"/>
    <w:rsid w:val="004258B2"/>
    <w:rsid w:val="00425A1A"/>
    <w:rsid w:val="00425A54"/>
    <w:rsid w:val="00425C9D"/>
    <w:rsid w:val="00425E6A"/>
    <w:rsid w:val="00425EE9"/>
    <w:rsid w:val="00425F60"/>
    <w:rsid w:val="00426005"/>
    <w:rsid w:val="0042600A"/>
    <w:rsid w:val="00426036"/>
    <w:rsid w:val="004263A6"/>
    <w:rsid w:val="004263BC"/>
    <w:rsid w:val="0042653C"/>
    <w:rsid w:val="0042667F"/>
    <w:rsid w:val="004266DE"/>
    <w:rsid w:val="004268DB"/>
    <w:rsid w:val="00426944"/>
    <w:rsid w:val="00426ABD"/>
    <w:rsid w:val="00426B7B"/>
    <w:rsid w:val="00426C1A"/>
    <w:rsid w:val="00426D18"/>
    <w:rsid w:val="00426FBE"/>
    <w:rsid w:val="00427022"/>
    <w:rsid w:val="004271CC"/>
    <w:rsid w:val="00427267"/>
    <w:rsid w:val="00427283"/>
    <w:rsid w:val="004273A4"/>
    <w:rsid w:val="00427465"/>
    <w:rsid w:val="0042746D"/>
    <w:rsid w:val="00427478"/>
    <w:rsid w:val="004274A2"/>
    <w:rsid w:val="004275A4"/>
    <w:rsid w:val="004276A7"/>
    <w:rsid w:val="0042783A"/>
    <w:rsid w:val="00427958"/>
    <w:rsid w:val="00427983"/>
    <w:rsid w:val="00427A04"/>
    <w:rsid w:val="00427B7D"/>
    <w:rsid w:val="00427C26"/>
    <w:rsid w:val="00427C69"/>
    <w:rsid w:val="00427E94"/>
    <w:rsid w:val="004300B5"/>
    <w:rsid w:val="00430317"/>
    <w:rsid w:val="004304AD"/>
    <w:rsid w:val="0043072D"/>
    <w:rsid w:val="00430790"/>
    <w:rsid w:val="00430884"/>
    <w:rsid w:val="00430AE9"/>
    <w:rsid w:val="00430B5B"/>
    <w:rsid w:val="00430B84"/>
    <w:rsid w:val="00430C34"/>
    <w:rsid w:val="00430CF3"/>
    <w:rsid w:val="00430D94"/>
    <w:rsid w:val="00430F61"/>
    <w:rsid w:val="0043114F"/>
    <w:rsid w:val="0043126A"/>
    <w:rsid w:val="004313DE"/>
    <w:rsid w:val="004313FE"/>
    <w:rsid w:val="00431412"/>
    <w:rsid w:val="00431601"/>
    <w:rsid w:val="00431608"/>
    <w:rsid w:val="0043163D"/>
    <w:rsid w:val="00431786"/>
    <w:rsid w:val="00431877"/>
    <w:rsid w:val="00431A52"/>
    <w:rsid w:val="00431D6B"/>
    <w:rsid w:val="00431DAC"/>
    <w:rsid w:val="00431F8F"/>
    <w:rsid w:val="004320FC"/>
    <w:rsid w:val="004321CF"/>
    <w:rsid w:val="004323A1"/>
    <w:rsid w:val="0043242A"/>
    <w:rsid w:val="00432450"/>
    <w:rsid w:val="00432451"/>
    <w:rsid w:val="00432501"/>
    <w:rsid w:val="00432524"/>
    <w:rsid w:val="00432561"/>
    <w:rsid w:val="0043263F"/>
    <w:rsid w:val="004326D1"/>
    <w:rsid w:val="00432708"/>
    <w:rsid w:val="0043279C"/>
    <w:rsid w:val="00432813"/>
    <w:rsid w:val="004329A2"/>
    <w:rsid w:val="00432AAB"/>
    <w:rsid w:val="00432ACE"/>
    <w:rsid w:val="00432B40"/>
    <w:rsid w:val="00432B9D"/>
    <w:rsid w:val="00432C17"/>
    <w:rsid w:val="00432F08"/>
    <w:rsid w:val="00433047"/>
    <w:rsid w:val="00433097"/>
    <w:rsid w:val="0043327A"/>
    <w:rsid w:val="004332D2"/>
    <w:rsid w:val="00433344"/>
    <w:rsid w:val="004333E9"/>
    <w:rsid w:val="00433518"/>
    <w:rsid w:val="0043368E"/>
    <w:rsid w:val="00433691"/>
    <w:rsid w:val="00433812"/>
    <w:rsid w:val="004338F0"/>
    <w:rsid w:val="00433C5F"/>
    <w:rsid w:val="00433CB1"/>
    <w:rsid w:val="00433DCC"/>
    <w:rsid w:val="00433E52"/>
    <w:rsid w:val="00433ECE"/>
    <w:rsid w:val="00433EE8"/>
    <w:rsid w:val="00433F39"/>
    <w:rsid w:val="00433FDF"/>
    <w:rsid w:val="00434113"/>
    <w:rsid w:val="0043425E"/>
    <w:rsid w:val="00434311"/>
    <w:rsid w:val="00434324"/>
    <w:rsid w:val="00434383"/>
    <w:rsid w:val="004344AD"/>
    <w:rsid w:val="0043453C"/>
    <w:rsid w:val="00434786"/>
    <w:rsid w:val="004347BA"/>
    <w:rsid w:val="00434853"/>
    <w:rsid w:val="00434911"/>
    <w:rsid w:val="0043497A"/>
    <w:rsid w:val="004349E8"/>
    <w:rsid w:val="004349ED"/>
    <w:rsid w:val="00434CA0"/>
    <w:rsid w:val="00434D78"/>
    <w:rsid w:val="00434E88"/>
    <w:rsid w:val="00434FE6"/>
    <w:rsid w:val="0043509F"/>
    <w:rsid w:val="00435198"/>
    <w:rsid w:val="004351A9"/>
    <w:rsid w:val="004351AE"/>
    <w:rsid w:val="00435478"/>
    <w:rsid w:val="0043550F"/>
    <w:rsid w:val="0043563A"/>
    <w:rsid w:val="004357C4"/>
    <w:rsid w:val="0043582D"/>
    <w:rsid w:val="004358C4"/>
    <w:rsid w:val="00435916"/>
    <w:rsid w:val="0043591E"/>
    <w:rsid w:val="00435AE4"/>
    <w:rsid w:val="00435C0E"/>
    <w:rsid w:val="00435CAF"/>
    <w:rsid w:val="00435D08"/>
    <w:rsid w:val="00435DB1"/>
    <w:rsid w:val="00435E04"/>
    <w:rsid w:val="00435E20"/>
    <w:rsid w:val="00435E31"/>
    <w:rsid w:val="00435E7A"/>
    <w:rsid w:val="00435EDC"/>
    <w:rsid w:val="0043602F"/>
    <w:rsid w:val="004361B2"/>
    <w:rsid w:val="004361F7"/>
    <w:rsid w:val="004362EC"/>
    <w:rsid w:val="00436313"/>
    <w:rsid w:val="0043653F"/>
    <w:rsid w:val="004366C4"/>
    <w:rsid w:val="0043693B"/>
    <w:rsid w:val="00436BA5"/>
    <w:rsid w:val="00436C1D"/>
    <w:rsid w:val="00436D5B"/>
    <w:rsid w:val="00436E37"/>
    <w:rsid w:val="00436F41"/>
    <w:rsid w:val="004372B5"/>
    <w:rsid w:val="00437302"/>
    <w:rsid w:val="0043741D"/>
    <w:rsid w:val="00437471"/>
    <w:rsid w:val="00437540"/>
    <w:rsid w:val="00437637"/>
    <w:rsid w:val="0043767D"/>
    <w:rsid w:val="0043771D"/>
    <w:rsid w:val="00437933"/>
    <w:rsid w:val="00437AE4"/>
    <w:rsid w:val="00437BC3"/>
    <w:rsid w:val="00437C96"/>
    <w:rsid w:val="00437DAB"/>
    <w:rsid w:val="00437DB3"/>
    <w:rsid w:val="00437F1A"/>
    <w:rsid w:val="00440058"/>
    <w:rsid w:val="004400C9"/>
    <w:rsid w:val="004402BE"/>
    <w:rsid w:val="004403B9"/>
    <w:rsid w:val="004403ED"/>
    <w:rsid w:val="0044041B"/>
    <w:rsid w:val="00440436"/>
    <w:rsid w:val="004406B0"/>
    <w:rsid w:val="004407D5"/>
    <w:rsid w:val="00440958"/>
    <w:rsid w:val="00440973"/>
    <w:rsid w:val="0044097F"/>
    <w:rsid w:val="0044098F"/>
    <w:rsid w:val="004409D5"/>
    <w:rsid w:val="004409FA"/>
    <w:rsid w:val="00440A59"/>
    <w:rsid w:val="00440BA3"/>
    <w:rsid w:val="00440BE3"/>
    <w:rsid w:val="00440C59"/>
    <w:rsid w:val="00440C8B"/>
    <w:rsid w:val="00440E4C"/>
    <w:rsid w:val="00440E8C"/>
    <w:rsid w:val="00440EE8"/>
    <w:rsid w:val="00440F2E"/>
    <w:rsid w:val="00441027"/>
    <w:rsid w:val="00441048"/>
    <w:rsid w:val="004411E0"/>
    <w:rsid w:val="00441639"/>
    <w:rsid w:val="004416FE"/>
    <w:rsid w:val="00441900"/>
    <w:rsid w:val="0044191B"/>
    <w:rsid w:val="0044191F"/>
    <w:rsid w:val="00441975"/>
    <w:rsid w:val="00441AF6"/>
    <w:rsid w:val="00441C34"/>
    <w:rsid w:val="00441C43"/>
    <w:rsid w:val="00441D3A"/>
    <w:rsid w:val="00441E29"/>
    <w:rsid w:val="00441E62"/>
    <w:rsid w:val="004423CB"/>
    <w:rsid w:val="004424D1"/>
    <w:rsid w:val="00442598"/>
    <w:rsid w:val="004425CF"/>
    <w:rsid w:val="004426DF"/>
    <w:rsid w:val="0044275B"/>
    <w:rsid w:val="00442764"/>
    <w:rsid w:val="00442920"/>
    <w:rsid w:val="00442968"/>
    <w:rsid w:val="00442B7A"/>
    <w:rsid w:val="00442DB7"/>
    <w:rsid w:val="00442DD5"/>
    <w:rsid w:val="00442F0D"/>
    <w:rsid w:val="00443050"/>
    <w:rsid w:val="004431E4"/>
    <w:rsid w:val="004433D7"/>
    <w:rsid w:val="00443463"/>
    <w:rsid w:val="004434BE"/>
    <w:rsid w:val="004436C3"/>
    <w:rsid w:val="00443873"/>
    <w:rsid w:val="004438DD"/>
    <w:rsid w:val="004439C4"/>
    <w:rsid w:val="00443A3B"/>
    <w:rsid w:val="00443C63"/>
    <w:rsid w:val="00443C6F"/>
    <w:rsid w:val="00443CFF"/>
    <w:rsid w:val="00443D06"/>
    <w:rsid w:val="00443D16"/>
    <w:rsid w:val="00443D7A"/>
    <w:rsid w:val="00443DD6"/>
    <w:rsid w:val="00443DD8"/>
    <w:rsid w:val="00443EDA"/>
    <w:rsid w:val="00443EDE"/>
    <w:rsid w:val="00443F1C"/>
    <w:rsid w:val="00443F8B"/>
    <w:rsid w:val="0044402D"/>
    <w:rsid w:val="0044402E"/>
    <w:rsid w:val="0044414C"/>
    <w:rsid w:val="00444151"/>
    <w:rsid w:val="00444160"/>
    <w:rsid w:val="00444217"/>
    <w:rsid w:val="004442CA"/>
    <w:rsid w:val="0044435C"/>
    <w:rsid w:val="004445FC"/>
    <w:rsid w:val="0044464D"/>
    <w:rsid w:val="004446A3"/>
    <w:rsid w:val="00444745"/>
    <w:rsid w:val="0044486E"/>
    <w:rsid w:val="00444C0A"/>
    <w:rsid w:val="00444CBD"/>
    <w:rsid w:val="00444D57"/>
    <w:rsid w:val="00444D65"/>
    <w:rsid w:val="00444DD0"/>
    <w:rsid w:val="00444EC8"/>
    <w:rsid w:val="00444FD6"/>
    <w:rsid w:val="00445188"/>
    <w:rsid w:val="00445227"/>
    <w:rsid w:val="00445275"/>
    <w:rsid w:val="00445388"/>
    <w:rsid w:val="00445626"/>
    <w:rsid w:val="004456E6"/>
    <w:rsid w:val="004459B0"/>
    <w:rsid w:val="004459DC"/>
    <w:rsid w:val="00445A02"/>
    <w:rsid w:val="00445A12"/>
    <w:rsid w:val="00445A57"/>
    <w:rsid w:val="00445AA5"/>
    <w:rsid w:val="00445B41"/>
    <w:rsid w:val="00445B48"/>
    <w:rsid w:val="00445B7E"/>
    <w:rsid w:val="00445D83"/>
    <w:rsid w:val="00445F8E"/>
    <w:rsid w:val="00445F9E"/>
    <w:rsid w:val="00445FAE"/>
    <w:rsid w:val="0044614D"/>
    <w:rsid w:val="0044623D"/>
    <w:rsid w:val="0044624F"/>
    <w:rsid w:val="0044627F"/>
    <w:rsid w:val="00446340"/>
    <w:rsid w:val="00446420"/>
    <w:rsid w:val="0044656C"/>
    <w:rsid w:val="0044669A"/>
    <w:rsid w:val="00446861"/>
    <w:rsid w:val="00446991"/>
    <w:rsid w:val="00446A8A"/>
    <w:rsid w:val="00446BA9"/>
    <w:rsid w:val="00446BBB"/>
    <w:rsid w:val="00446C1D"/>
    <w:rsid w:val="00446C6F"/>
    <w:rsid w:val="00446C8E"/>
    <w:rsid w:val="00446D55"/>
    <w:rsid w:val="00446DAA"/>
    <w:rsid w:val="00446EF1"/>
    <w:rsid w:val="0044700F"/>
    <w:rsid w:val="00447185"/>
    <w:rsid w:val="0044722D"/>
    <w:rsid w:val="004472A2"/>
    <w:rsid w:val="00447316"/>
    <w:rsid w:val="00447326"/>
    <w:rsid w:val="00447348"/>
    <w:rsid w:val="004473A4"/>
    <w:rsid w:val="004473EB"/>
    <w:rsid w:val="004473FE"/>
    <w:rsid w:val="00447547"/>
    <w:rsid w:val="00447630"/>
    <w:rsid w:val="004476E3"/>
    <w:rsid w:val="00447723"/>
    <w:rsid w:val="004477FD"/>
    <w:rsid w:val="0044789A"/>
    <w:rsid w:val="00447B56"/>
    <w:rsid w:val="00447B6E"/>
    <w:rsid w:val="00447B8B"/>
    <w:rsid w:val="00447C48"/>
    <w:rsid w:val="00447F29"/>
    <w:rsid w:val="00447F70"/>
    <w:rsid w:val="0045009B"/>
    <w:rsid w:val="004500DA"/>
    <w:rsid w:val="00450186"/>
    <w:rsid w:val="00450194"/>
    <w:rsid w:val="004501CB"/>
    <w:rsid w:val="00450313"/>
    <w:rsid w:val="00450346"/>
    <w:rsid w:val="004504E2"/>
    <w:rsid w:val="0045059F"/>
    <w:rsid w:val="00450693"/>
    <w:rsid w:val="004507A1"/>
    <w:rsid w:val="004508CE"/>
    <w:rsid w:val="004508FB"/>
    <w:rsid w:val="0045092B"/>
    <w:rsid w:val="00450A96"/>
    <w:rsid w:val="00450D2E"/>
    <w:rsid w:val="00450D57"/>
    <w:rsid w:val="00450FCB"/>
    <w:rsid w:val="00451020"/>
    <w:rsid w:val="00451151"/>
    <w:rsid w:val="00451187"/>
    <w:rsid w:val="0045147B"/>
    <w:rsid w:val="00451488"/>
    <w:rsid w:val="004514EE"/>
    <w:rsid w:val="004514F9"/>
    <w:rsid w:val="0045153E"/>
    <w:rsid w:val="004515D4"/>
    <w:rsid w:val="0045171C"/>
    <w:rsid w:val="00451786"/>
    <w:rsid w:val="004517FF"/>
    <w:rsid w:val="00451AC2"/>
    <w:rsid w:val="00451BFD"/>
    <w:rsid w:val="00451C02"/>
    <w:rsid w:val="00451C92"/>
    <w:rsid w:val="00451F8E"/>
    <w:rsid w:val="004520CC"/>
    <w:rsid w:val="0045210F"/>
    <w:rsid w:val="004521B0"/>
    <w:rsid w:val="00452525"/>
    <w:rsid w:val="004525CE"/>
    <w:rsid w:val="00452789"/>
    <w:rsid w:val="004527E3"/>
    <w:rsid w:val="00452811"/>
    <w:rsid w:val="00452BF8"/>
    <w:rsid w:val="00452DC9"/>
    <w:rsid w:val="00452E84"/>
    <w:rsid w:val="00452F74"/>
    <w:rsid w:val="0045304E"/>
    <w:rsid w:val="004531C0"/>
    <w:rsid w:val="004531FD"/>
    <w:rsid w:val="004532E8"/>
    <w:rsid w:val="00453537"/>
    <w:rsid w:val="00453576"/>
    <w:rsid w:val="00453597"/>
    <w:rsid w:val="004535AD"/>
    <w:rsid w:val="00453659"/>
    <w:rsid w:val="004536D4"/>
    <w:rsid w:val="004537E7"/>
    <w:rsid w:val="00453908"/>
    <w:rsid w:val="004539D7"/>
    <w:rsid w:val="00453A49"/>
    <w:rsid w:val="00453B71"/>
    <w:rsid w:val="00453C5B"/>
    <w:rsid w:val="00453E05"/>
    <w:rsid w:val="00453E33"/>
    <w:rsid w:val="00453FBA"/>
    <w:rsid w:val="00454007"/>
    <w:rsid w:val="0045413F"/>
    <w:rsid w:val="0045418B"/>
    <w:rsid w:val="004542C4"/>
    <w:rsid w:val="004542E3"/>
    <w:rsid w:val="0045461F"/>
    <w:rsid w:val="00454695"/>
    <w:rsid w:val="004546EE"/>
    <w:rsid w:val="004547DC"/>
    <w:rsid w:val="00454800"/>
    <w:rsid w:val="004548D6"/>
    <w:rsid w:val="00454917"/>
    <w:rsid w:val="004549CA"/>
    <w:rsid w:val="00454C1F"/>
    <w:rsid w:val="00454C4D"/>
    <w:rsid w:val="00454C58"/>
    <w:rsid w:val="00454DAF"/>
    <w:rsid w:val="00454ECE"/>
    <w:rsid w:val="00454F44"/>
    <w:rsid w:val="00454FC2"/>
    <w:rsid w:val="0045516C"/>
    <w:rsid w:val="0045519D"/>
    <w:rsid w:val="004552E8"/>
    <w:rsid w:val="004553E1"/>
    <w:rsid w:val="004554EA"/>
    <w:rsid w:val="0045559F"/>
    <w:rsid w:val="00455614"/>
    <w:rsid w:val="00455629"/>
    <w:rsid w:val="00455830"/>
    <w:rsid w:val="004558E2"/>
    <w:rsid w:val="0045595B"/>
    <w:rsid w:val="00455A15"/>
    <w:rsid w:val="00455AA0"/>
    <w:rsid w:val="00455AA3"/>
    <w:rsid w:val="00455AFC"/>
    <w:rsid w:val="00455D48"/>
    <w:rsid w:val="00455E4B"/>
    <w:rsid w:val="00455ED2"/>
    <w:rsid w:val="00455F86"/>
    <w:rsid w:val="00455FA5"/>
    <w:rsid w:val="004560A7"/>
    <w:rsid w:val="004561C2"/>
    <w:rsid w:val="00456233"/>
    <w:rsid w:val="004562C4"/>
    <w:rsid w:val="0045653E"/>
    <w:rsid w:val="00456572"/>
    <w:rsid w:val="004565AB"/>
    <w:rsid w:val="004566F8"/>
    <w:rsid w:val="004567D5"/>
    <w:rsid w:val="0045685F"/>
    <w:rsid w:val="004568BB"/>
    <w:rsid w:val="004568FA"/>
    <w:rsid w:val="00456B46"/>
    <w:rsid w:val="00456B75"/>
    <w:rsid w:val="00456BEC"/>
    <w:rsid w:val="00456CF0"/>
    <w:rsid w:val="00456D41"/>
    <w:rsid w:val="00456D65"/>
    <w:rsid w:val="00456DF4"/>
    <w:rsid w:val="00456E25"/>
    <w:rsid w:val="00456E4C"/>
    <w:rsid w:val="0045736C"/>
    <w:rsid w:val="004576F9"/>
    <w:rsid w:val="00457809"/>
    <w:rsid w:val="0045785E"/>
    <w:rsid w:val="00457B21"/>
    <w:rsid w:val="00457D3D"/>
    <w:rsid w:val="00457EE8"/>
    <w:rsid w:val="00457F35"/>
    <w:rsid w:val="00460109"/>
    <w:rsid w:val="00460212"/>
    <w:rsid w:val="00460263"/>
    <w:rsid w:val="00460402"/>
    <w:rsid w:val="00460449"/>
    <w:rsid w:val="00460744"/>
    <w:rsid w:val="00460952"/>
    <w:rsid w:val="0046095D"/>
    <w:rsid w:val="00460BE8"/>
    <w:rsid w:val="00460C9D"/>
    <w:rsid w:val="00460CAB"/>
    <w:rsid w:val="00460CE4"/>
    <w:rsid w:val="00460D79"/>
    <w:rsid w:val="00460FF3"/>
    <w:rsid w:val="004610A7"/>
    <w:rsid w:val="0046117B"/>
    <w:rsid w:val="004611D5"/>
    <w:rsid w:val="00461271"/>
    <w:rsid w:val="00461310"/>
    <w:rsid w:val="0046157F"/>
    <w:rsid w:val="0046160D"/>
    <w:rsid w:val="004616FE"/>
    <w:rsid w:val="00461768"/>
    <w:rsid w:val="004619E5"/>
    <w:rsid w:val="00461AC5"/>
    <w:rsid w:val="00461B2A"/>
    <w:rsid w:val="00461BD1"/>
    <w:rsid w:val="00461CD5"/>
    <w:rsid w:val="00461D2C"/>
    <w:rsid w:val="00461D3B"/>
    <w:rsid w:val="00461DD5"/>
    <w:rsid w:val="00461E72"/>
    <w:rsid w:val="00461E86"/>
    <w:rsid w:val="00461F5E"/>
    <w:rsid w:val="004620A5"/>
    <w:rsid w:val="00462362"/>
    <w:rsid w:val="004624FB"/>
    <w:rsid w:val="00462511"/>
    <w:rsid w:val="0046264E"/>
    <w:rsid w:val="004626C8"/>
    <w:rsid w:val="0046282D"/>
    <w:rsid w:val="00462849"/>
    <w:rsid w:val="0046288A"/>
    <w:rsid w:val="00462AFB"/>
    <w:rsid w:val="00462B96"/>
    <w:rsid w:val="00462D2A"/>
    <w:rsid w:val="00462D80"/>
    <w:rsid w:val="00463026"/>
    <w:rsid w:val="004630BF"/>
    <w:rsid w:val="004630F2"/>
    <w:rsid w:val="0046313E"/>
    <w:rsid w:val="004631DE"/>
    <w:rsid w:val="00463313"/>
    <w:rsid w:val="00463361"/>
    <w:rsid w:val="004633DC"/>
    <w:rsid w:val="00463468"/>
    <w:rsid w:val="0046347F"/>
    <w:rsid w:val="00463794"/>
    <w:rsid w:val="004639D0"/>
    <w:rsid w:val="00463AA8"/>
    <w:rsid w:val="00463BE8"/>
    <w:rsid w:val="00463C42"/>
    <w:rsid w:val="00463C78"/>
    <w:rsid w:val="00463CD4"/>
    <w:rsid w:val="00463F96"/>
    <w:rsid w:val="004643FB"/>
    <w:rsid w:val="0046461A"/>
    <w:rsid w:val="00464696"/>
    <w:rsid w:val="004646C2"/>
    <w:rsid w:val="0046478B"/>
    <w:rsid w:val="00464B8A"/>
    <w:rsid w:val="00464CCE"/>
    <w:rsid w:val="00464E01"/>
    <w:rsid w:val="00464E39"/>
    <w:rsid w:val="00464EB7"/>
    <w:rsid w:val="00464FF7"/>
    <w:rsid w:val="00465036"/>
    <w:rsid w:val="0046507C"/>
    <w:rsid w:val="0046508B"/>
    <w:rsid w:val="004651A6"/>
    <w:rsid w:val="00465212"/>
    <w:rsid w:val="0046544B"/>
    <w:rsid w:val="0046554D"/>
    <w:rsid w:val="0046561A"/>
    <w:rsid w:val="004659B5"/>
    <w:rsid w:val="00465A19"/>
    <w:rsid w:val="00465A3E"/>
    <w:rsid w:val="00465A79"/>
    <w:rsid w:val="00465ACE"/>
    <w:rsid w:val="00465CCD"/>
    <w:rsid w:val="00465D2E"/>
    <w:rsid w:val="00465EE2"/>
    <w:rsid w:val="004660EC"/>
    <w:rsid w:val="00466115"/>
    <w:rsid w:val="00466131"/>
    <w:rsid w:val="00466248"/>
    <w:rsid w:val="00466309"/>
    <w:rsid w:val="004663EC"/>
    <w:rsid w:val="004663EE"/>
    <w:rsid w:val="004663F0"/>
    <w:rsid w:val="00466537"/>
    <w:rsid w:val="004668EB"/>
    <w:rsid w:val="0046693C"/>
    <w:rsid w:val="00466965"/>
    <w:rsid w:val="00466D4B"/>
    <w:rsid w:val="00466E70"/>
    <w:rsid w:val="00466E85"/>
    <w:rsid w:val="00466F21"/>
    <w:rsid w:val="00466F32"/>
    <w:rsid w:val="00466FF4"/>
    <w:rsid w:val="004671B6"/>
    <w:rsid w:val="004671D4"/>
    <w:rsid w:val="0046752C"/>
    <w:rsid w:val="004676F2"/>
    <w:rsid w:val="0046771E"/>
    <w:rsid w:val="0046772D"/>
    <w:rsid w:val="0046773D"/>
    <w:rsid w:val="004679B9"/>
    <w:rsid w:val="00467AE2"/>
    <w:rsid w:val="00467B39"/>
    <w:rsid w:val="00467B47"/>
    <w:rsid w:val="00467C31"/>
    <w:rsid w:val="00467C80"/>
    <w:rsid w:val="00467E87"/>
    <w:rsid w:val="00467E93"/>
    <w:rsid w:val="00467FEB"/>
    <w:rsid w:val="00470079"/>
    <w:rsid w:val="00470179"/>
    <w:rsid w:val="00470441"/>
    <w:rsid w:val="004704ED"/>
    <w:rsid w:val="004704F6"/>
    <w:rsid w:val="00470651"/>
    <w:rsid w:val="0047081A"/>
    <w:rsid w:val="00470995"/>
    <w:rsid w:val="004709CA"/>
    <w:rsid w:val="00470A51"/>
    <w:rsid w:val="00470BD4"/>
    <w:rsid w:val="00470CCE"/>
    <w:rsid w:val="00470D05"/>
    <w:rsid w:val="00470D20"/>
    <w:rsid w:val="00470DA3"/>
    <w:rsid w:val="00470DBA"/>
    <w:rsid w:val="00470FC4"/>
    <w:rsid w:val="004710FB"/>
    <w:rsid w:val="004712B7"/>
    <w:rsid w:val="004715DA"/>
    <w:rsid w:val="0047192C"/>
    <w:rsid w:val="00471A23"/>
    <w:rsid w:val="00471AEC"/>
    <w:rsid w:val="00471B81"/>
    <w:rsid w:val="00471D97"/>
    <w:rsid w:val="00471FCC"/>
    <w:rsid w:val="004722C2"/>
    <w:rsid w:val="00472378"/>
    <w:rsid w:val="004723D2"/>
    <w:rsid w:val="00472533"/>
    <w:rsid w:val="00472707"/>
    <w:rsid w:val="004728EC"/>
    <w:rsid w:val="00472CF2"/>
    <w:rsid w:val="00472F1F"/>
    <w:rsid w:val="00473068"/>
    <w:rsid w:val="00473103"/>
    <w:rsid w:val="00473198"/>
    <w:rsid w:val="00473208"/>
    <w:rsid w:val="00473258"/>
    <w:rsid w:val="004732B5"/>
    <w:rsid w:val="00473392"/>
    <w:rsid w:val="00473418"/>
    <w:rsid w:val="0047355F"/>
    <w:rsid w:val="0047356A"/>
    <w:rsid w:val="00473583"/>
    <w:rsid w:val="004735B0"/>
    <w:rsid w:val="00473601"/>
    <w:rsid w:val="004738D0"/>
    <w:rsid w:val="00473988"/>
    <w:rsid w:val="00473B1E"/>
    <w:rsid w:val="00473B49"/>
    <w:rsid w:val="00473B98"/>
    <w:rsid w:val="00473C61"/>
    <w:rsid w:val="00473CE7"/>
    <w:rsid w:val="00473F0F"/>
    <w:rsid w:val="0047403E"/>
    <w:rsid w:val="00474077"/>
    <w:rsid w:val="00474163"/>
    <w:rsid w:val="004741E3"/>
    <w:rsid w:val="00474315"/>
    <w:rsid w:val="00474760"/>
    <w:rsid w:val="00474778"/>
    <w:rsid w:val="0047497D"/>
    <w:rsid w:val="00474A2C"/>
    <w:rsid w:val="00474BAC"/>
    <w:rsid w:val="00474C3F"/>
    <w:rsid w:val="00474C60"/>
    <w:rsid w:val="00474F40"/>
    <w:rsid w:val="00474F51"/>
    <w:rsid w:val="004750AE"/>
    <w:rsid w:val="0047519B"/>
    <w:rsid w:val="0047538D"/>
    <w:rsid w:val="00475401"/>
    <w:rsid w:val="0047549B"/>
    <w:rsid w:val="004754DC"/>
    <w:rsid w:val="0047567D"/>
    <w:rsid w:val="004756C6"/>
    <w:rsid w:val="004756DE"/>
    <w:rsid w:val="00475B2F"/>
    <w:rsid w:val="00475C9F"/>
    <w:rsid w:val="00475F5C"/>
    <w:rsid w:val="00475FA6"/>
    <w:rsid w:val="00475FD7"/>
    <w:rsid w:val="004760D3"/>
    <w:rsid w:val="004761B0"/>
    <w:rsid w:val="00476293"/>
    <w:rsid w:val="0047638B"/>
    <w:rsid w:val="0047639D"/>
    <w:rsid w:val="0047645B"/>
    <w:rsid w:val="004765BD"/>
    <w:rsid w:val="0047689D"/>
    <w:rsid w:val="00476ACB"/>
    <w:rsid w:val="00476B4E"/>
    <w:rsid w:val="00476DC7"/>
    <w:rsid w:val="00476EAE"/>
    <w:rsid w:val="00476FE7"/>
    <w:rsid w:val="0047704C"/>
    <w:rsid w:val="00477169"/>
    <w:rsid w:val="004771B1"/>
    <w:rsid w:val="004772FB"/>
    <w:rsid w:val="00477306"/>
    <w:rsid w:val="004773C1"/>
    <w:rsid w:val="0047746E"/>
    <w:rsid w:val="00477470"/>
    <w:rsid w:val="004774D9"/>
    <w:rsid w:val="00477611"/>
    <w:rsid w:val="0047762A"/>
    <w:rsid w:val="0047765B"/>
    <w:rsid w:val="00477945"/>
    <w:rsid w:val="004779CB"/>
    <w:rsid w:val="00477B2B"/>
    <w:rsid w:val="00477B5C"/>
    <w:rsid w:val="00477B6B"/>
    <w:rsid w:val="00477B72"/>
    <w:rsid w:val="00477BC6"/>
    <w:rsid w:val="00477C7B"/>
    <w:rsid w:val="00477CF6"/>
    <w:rsid w:val="00477DAC"/>
    <w:rsid w:val="00477F22"/>
    <w:rsid w:val="0047F219"/>
    <w:rsid w:val="004800C0"/>
    <w:rsid w:val="0048014B"/>
    <w:rsid w:val="00480483"/>
    <w:rsid w:val="004806D4"/>
    <w:rsid w:val="004809D3"/>
    <w:rsid w:val="004809F6"/>
    <w:rsid w:val="00480B0F"/>
    <w:rsid w:val="00480B55"/>
    <w:rsid w:val="00480E06"/>
    <w:rsid w:val="00480FA5"/>
    <w:rsid w:val="00480FC6"/>
    <w:rsid w:val="004811C5"/>
    <w:rsid w:val="00481217"/>
    <w:rsid w:val="00481225"/>
    <w:rsid w:val="004816BB"/>
    <w:rsid w:val="00481A12"/>
    <w:rsid w:val="00481A66"/>
    <w:rsid w:val="00481CF2"/>
    <w:rsid w:val="00481D03"/>
    <w:rsid w:val="00481D05"/>
    <w:rsid w:val="00481DFD"/>
    <w:rsid w:val="00481EDC"/>
    <w:rsid w:val="00481F63"/>
    <w:rsid w:val="00482076"/>
    <w:rsid w:val="004820AA"/>
    <w:rsid w:val="00482122"/>
    <w:rsid w:val="004821A6"/>
    <w:rsid w:val="00482278"/>
    <w:rsid w:val="0048227D"/>
    <w:rsid w:val="00482345"/>
    <w:rsid w:val="004823F7"/>
    <w:rsid w:val="0048244A"/>
    <w:rsid w:val="0048248B"/>
    <w:rsid w:val="004824BD"/>
    <w:rsid w:val="00482535"/>
    <w:rsid w:val="00482614"/>
    <w:rsid w:val="00482616"/>
    <w:rsid w:val="004828DA"/>
    <w:rsid w:val="004829B9"/>
    <w:rsid w:val="00482AFE"/>
    <w:rsid w:val="00482BD8"/>
    <w:rsid w:val="00482C4E"/>
    <w:rsid w:val="00482CD0"/>
    <w:rsid w:val="00482ECA"/>
    <w:rsid w:val="00482F48"/>
    <w:rsid w:val="00482F96"/>
    <w:rsid w:val="00483001"/>
    <w:rsid w:val="004830DF"/>
    <w:rsid w:val="004830FD"/>
    <w:rsid w:val="00483152"/>
    <w:rsid w:val="004831DC"/>
    <w:rsid w:val="004832A1"/>
    <w:rsid w:val="004832E9"/>
    <w:rsid w:val="004834ED"/>
    <w:rsid w:val="00483534"/>
    <w:rsid w:val="00483652"/>
    <w:rsid w:val="0048374A"/>
    <w:rsid w:val="00483813"/>
    <w:rsid w:val="00483B14"/>
    <w:rsid w:val="00483B4D"/>
    <w:rsid w:val="00483C26"/>
    <w:rsid w:val="00483C57"/>
    <w:rsid w:val="00483CC6"/>
    <w:rsid w:val="00483D8E"/>
    <w:rsid w:val="00483DA1"/>
    <w:rsid w:val="00483DDC"/>
    <w:rsid w:val="00483EC2"/>
    <w:rsid w:val="004840B7"/>
    <w:rsid w:val="00484213"/>
    <w:rsid w:val="00484299"/>
    <w:rsid w:val="00484520"/>
    <w:rsid w:val="0048453F"/>
    <w:rsid w:val="0048455A"/>
    <w:rsid w:val="004847F3"/>
    <w:rsid w:val="004848A3"/>
    <w:rsid w:val="004848C7"/>
    <w:rsid w:val="004848DD"/>
    <w:rsid w:val="004849BF"/>
    <w:rsid w:val="00484A49"/>
    <w:rsid w:val="00484CC1"/>
    <w:rsid w:val="00484FDC"/>
    <w:rsid w:val="00485013"/>
    <w:rsid w:val="004850E8"/>
    <w:rsid w:val="00485162"/>
    <w:rsid w:val="004851B5"/>
    <w:rsid w:val="00485225"/>
    <w:rsid w:val="0048523F"/>
    <w:rsid w:val="0048525B"/>
    <w:rsid w:val="00485467"/>
    <w:rsid w:val="004854A1"/>
    <w:rsid w:val="00485619"/>
    <w:rsid w:val="0048563C"/>
    <w:rsid w:val="00485736"/>
    <w:rsid w:val="004858E1"/>
    <w:rsid w:val="00485B96"/>
    <w:rsid w:val="00485D17"/>
    <w:rsid w:val="0048608E"/>
    <w:rsid w:val="00486131"/>
    <w:rsid w:val="004863E9"/>
    <w:rsid w:val="004864A4"/>
    <w:rsid w:val="0048662F"/>
    <w:rsid w:val="0048672E"/>
    <w:rsid w:val="00486760"/>
    <w:rsid w:val="00486809"/>
    <w:rsid w:val="004868DA"/>
    <w:rsid w:val="004868DC"/>
    <w:rsid w:val="004868E2"/>
    <w:rsid w:val="004868F3"/>
    <w:rsid w:val="00486A7D"/>
    <w:rsid w:val="00486B93"/>
    <w:rsid w:val="00486BE4"/>
    <w:rsid w:val="00486C44"/>
    <w:rsid w:val="00486C4E"/>
    <w:rsid w:val="00486E69"/>
    <w:rsid w:val="00486EEE"/>
    <w:rsid w:val="00486F30"/>
    <w:rsid w:val="00486F33"/>
    <w:rsid w:val="00486F8B"/>
    <w:rsid w:val="00486F9F"/>
    <w:rsid w:val="00486FD2"/>
    <w:rsid w:val="00486FE5"/>
    <w:rsid w:val="004870D9"/>
    <w:rsid w:val="004870DB"/>
    <w:rsid w:val="00487362"/>
    <w:rsid w:val="00487363"/>
    <w:rsid w:val="004873AE"/>
    <w:rsid w:val="0048748C"/>
    <w:rsid w:val="004874D8"/>
    <w:rsid w:val="0048752F"/>
    <w:rsid w:val="00487654"/>
    <w:rsid w:val="004878CB"/>
    <w:rsid w:val="00487AE7"/>
    <w:rsid w:val="00487C8A"/>
    <w:rsid w:val="00487D57"/>
    <w:rsid w:val="00487D80"/>
    <w:rsid w:val="00487DFE"/>
    <w:rsid w:val="00487FEE"/>
    <w:rsid w:val="0049009C"/>
    <w:rsid w:val="004901F2"/>
    <w:rsid w:val="00490284"/>
    <w:rsid w:val="004903EE"/>
    <w:rsid w:val="00490445"/>
    <w:rsid w:val="0049087F"/>
    <w:rsid w:val="00490946"/>
    <w:rsid w:val="004909E7"/>
    <w:rsid w:val="00490BF5"/>
    <w:rsid w:val="00490D31"/>
    <w:rsid w:val="00490D4D"/>
    <w:rsid w:val="00490E8C"/>
    <w:rsid w:val="0049113E"/>
    <w:rsid w:val="0049123E"/>
    <w:rsid w:val="004912EF"/>
    <w:rsid w:val="004913AA"/>
    <w:rsid w:val="0049148C"/>
    <w:rsid w:val="00491962"/>
    <w:rsid w:val="00491A06"/>
    <w:rsid w:val="00491AA4"/>
    <w:rsid w:val="00491B06"/>
    <w:rsid w:val="00491B63"/>
    <w:rsid w:val="00491DD9"/>
    <w:rsid w:val="00491E1F"/>
    <w:rsid w:val="00491E48"/>
    <w:rsid w:val="00491ECC"/>
    <w:rsid w:val="00491FEC"/>
    <w:rsid w:val="0049207C"/>
    <w:rsid w:val="00492247"/>
    <w:rsid w:val="004922BF"/>
    <w:rsid w:val="004922E5"/>
    <w:rsid w:val="00492493"/>
    <w:rsid w:val="0049251B"/>
    <w:rsid w:val="004925C9"/>
    <w:rsid w:val="004925F9"/>
    <w:rsid w:val="00492654"/>
    <w:rsid w:val="0049279C"/>
    <w:rsid w:val="004929B8"/>
    <w:rsid w:val="004929F0"/>
    <w:rsid w:val="00492BFA"/>
    <w:rsid w:val="00492C3E"/>
    <w:rsid w:val="00492CC8"/>
    <w:rsid w:val="00492D12"/>
    <w:rsid w:val="00492E32"/>
    <w:rsid w:val="00492E33"/>
    <w:rsid w:val="00492E3B"/>
    <w:rsid w:val="00492E5F"/>
    <w:rsid w:val="004930AA"/>
    <w:rsid w:val="004930E7"/>
    <w:rsid w:val="00493183"/>
    <w:rsid w:val="0049326B"/>
    <w:rsid w:val="004933CD"/>
    <w:rsid w:val="0049352E"/>
    <w:rsid w:val="0049372D"/>
    <w:rsid w:val="0049376B"/>
    <w:rsid w:val="00493784"/>
    <w:rsid w:val="0049385B"/>
    <w:rsid w:val="004939F6"/>
    <w:rsid w:val="00493D8F"/>
    <w:rsid w:val="00493D99"/>
    <w:rsid w:val="00493FE3"/>
    <w:rsid w:val="004940BF"/>
    <w:rsid w:val="00494303"/>
    <w:rsid w:val="004943AD"/>
    <w:rsid w:val="00494425"/>
    <w:rsid w:val="00494483"/>
    <w:rsid w:val="004944AA"/>
    <w:rsid w:val="004945A7"/>
    <w:rsid w:val="00494756"/>
    <w:rsid w:val="00494859"/>
    <w:rsid w:val="00494860"/>
    <w:rsid w:val="0049486C"/>
    <w:rsid w:val="004948A0"/>
    <w:rsid w:val="00494974"/>
    <w:rsid w:val="00494A0D"/>
    <w:rsid w:val="00494B1B"/>
    <w:rsid w:val="00494B8C"/>
    <w:rsid w:val="00494BF5"/>
    <w:rsid w:val="00494CEE"/>
    <w:rsid w:val="00494E73"/>
    <w:rsid w:val="004952C0"/>
    <w:rsid w:val="004953CC"/>
    <w:rsid w:val="00495450"/>
    <w:rsid w:val="004954E5"/>
    <w:rsid w:val="0049557C"/>
    <w:rsid w:val="004955FB"/>
    <w:rsid w:val="004956C7"/>
    <w:rsid w:val="004958FC"/>
    <w:rsid w:val="00495B7E"/>
    <w:rsid w:val="00495BDA"/>
    <w:rsid w:val="00495DC2"/>
    <w:rsid w:val="00495DFC"/>
    <w:rsid w:val="004960FC"/>
    <w:rsid w:val="004961FC"/>
    <w:rsid w:val="0049620F"/>
    <w:rsid w:val="004962A1"/>
    <w:rsid w:val="00496397"/>
    <w:rsid w:val="004963B7"/>
    <w:rsid w:val="0049658A"/>
    <w:rsid w:val="004966CB"/>
    <w:rsid w:val="004966D8"/>
    <w:rsid w:val="0049677A"/>
    <w:rsid w:val="004968B9"/>
    <w:rsid w:val="004968F8"/>
    <w:rsid w:val="004969A1"/>
    <w:rsid w:val="00496CB7"/>
    <w:rsid w:val="00496CE0"/>
    <w:rsid w:val="00496CFF"/>
    <w:rsid w:val="00496DCF"/>
    <w:rsid w:val="00496E7C"/>
    <w:rsid w:val="004970C3"/>
    <w:rsid w:val="00497126"/>
    <w:rsid w:val="00497188"/>
    <w:rsid w:val="00497261"/>
    <w:rsid w:val="004972C0"/>
    <w:rsid w:val="004972F7"/>
    <w:rsid w:val="00497306"/>
    <w:rsid w:val="004973CA"/>
    <w:rsid w:val="00497610"/>
    <w:rsid w:val="0049764B"/>
    <w:rsid w:val="00497BF5"/>
    <w:rsid w:val="00497D2C"/>
    <w:rsid w:val="00497DA1"/>
    <w:rsid w:val="00497E68"/>
    <w:rsid w:val="00497E99"/>
    <w:rsid w:val="004A0050"/>
    <w:rsid w:val="004A0073"/>
    <w:rsid w:val="004A019C"/>
    <w:rsid w:val="004A02AB"/>
    <w:rsid w:val="004A0322"/>
    <w:rsid w:val="004A03C1"/>
    <w:rsid w:val="004A0481"/>
    <w:rsid w:val="004A04A4"/>
    <w:rsid w:val="004A0577"/>
    <w:rsid w:val="004A0631"/>
    <w:rsid w:val="004A0D27"/>
    <w:rsid w:val="004A0E30"/>
    <w:rsid w:val="004A0EB5"/>
    <w:rsid w:val="004A0FEE"/>
    <w:rsid w:val="004A1081"/>
    <w:rsid w:val="004A10E5"/>
    <w:rsid w:val="004A11B5"/>
    <w:rsid w:val="004A13E2"/>
    <w:rsid w:val="004A16FC"/>
    <w:rsid w:val="004A1709"/>
    <w:rsid w:val="004A17A9"/>
    <w:rsid w:val="004A1859"/>
    <w:rsid w:val="004A194E"/>
    <w:rsid w:val="004A1A7A"/>
    <w:rsid w:val="004A1BCD"/>
    <w:rsid w:val="004A1D53"/>
    <w:rsid w:val="004A1E0B"/>
    <w:rsid w:val="004A1ED6"/>
    <w:rsid w:val="004A1F28"/>
    <w:rsid w:val="004A1FD8"/>
    <w:rsid w:val="004A218D"/>
    <w:rsid w:val="004A21EC"/>
    <w:rsid w:val="004A241C"/>
    <w:rsid w:val="004A263C"/>
    <w:rsid w:val="004A2665"/>
    <w:rsid w:val="004A27E2"/>
    <w:rsid w:val="004A282E"/>
    <w:rsid w:val="004A2832"/>
    <w:rsid w:val="004A28ED"/>
    <w:rsid w:val="004A28F2"/>
    <w:rsid w:val="004A299C"/>
    <w:rsid w:val="004A29BA"/>
    <w:rsid w:val="004A2B73"/>
    <w:rsid w:val="004A2D2E"/>
    <w:rsid w:val="004A2E15"/>
    <w:rsid w:val="004A2F4B"/>
    <w:rsid w:val="004A2FAB"/>
    <w:rsid w:val="004A3213"/>
    <w:rsid w:val="004A335C"/>
    <w:rsid w:val="004A344A"/>
    <w:rsid w:val="004A3684"/>
    <w:rsid w:val="004A36EE"/>
    <w:rsid w:val="004A374A"/>
    <w:rsid w:val="004A385B"/>
    <w:rsid w:val="004A38CB"/>
    <w:rsid w:val="004A3917"/>
    <w:rsid w:val="004A3A41"/>
    <w:rsid w:val="004A3AFB"/>
    <w:rsid w:val="004A3BE9"/>
    <w:rsid w:val="004A3C82"/>
    <w:rsid w:val="004A3D37"/>
    <w:rsid w:val="004A3E85"/>
    <w:rsid w:val="004A3EE0"/>
    <w:rsid w:val="004A3FE3"/>
    <w:rsid w:val="004A3FF7"/>
    <w:rsid w:val="004A40CB"/>
    <w:rsid w:val="004A4272"/>
    <w:rsid w:val="004A43E5"/>
    <w:rsid w:val="004A43F8"/>
    <w:rsid w:val="004A4418"/>
    <w:rsid w:val="004A468A"/>
    <w:rsid w:val="004A4699"/>
    <w:rsid w:val="004A47D6"/>
    <w:rsid w:val="004A482B"/>
    <w:rsid w:val="004A4920"/>
    <w:rsid w:val="004A49FF"/>
    <w:rsid w:val="004A4AEB"/>
    <w:rsid w:val="004A4AFB"/>
    <w:rsid w:val="004A4B0C"/>
    <w:rsid w:val="004A4BD0"/>
    <w:rsid w:val="004A4BD3"/>
    <w:rsid w:val="004A4C31"/>
    <w:rsid w:val="004A4C60"/>
    <w:rsid w:val="004A4D0D"/>
    <w:rsid w:val="004A4E95"/>
    <w:rsid w:val="004A5032"/>
    <w:rsid w:val="004A5041"/>
    <w:rsid w:val="004A5089"/>
    <w:rsid w:val="004A509D"/>
    <w:rsid w:val="004A51E4"/>
    <w:rsid w:val="004A53C4"/>
    <w:rsid w:val="004A544A"/>
    <w:rsid w:val="004A554E"/>
    <w:rsid w:val="004A57A2"/>
    <w:rsid w:val="004A583E"/>
    <w:rsid w:val="004A5A08"/>
    <w:rsid w:val="004A5A7B"/>
    <w:rsid w:val="004A5B72"/>
    <w:rsid w:val="004A5C43"/>
    <w:rsid w:val="004A5D25"/>
    <w:rsid w:val="004A5D46"/>
    <w:rsid w:val="004A5E40"/>
    <w:rsid w:val="004A5F7C"/>
    <w:rsid w:val="004A6073"/>
    <w:rsid w:val="004A614C"/>
    <w:rsid w:val="004A6278"/>
    <w:rsid w:val="004A6570"/>
    <w:rsid w:val="004A662A"/>
    <w:rsid w:val="004A662D"/>
    <w:rsid w:val="004A6722"/>
    <w:rsid w:val="004A67AC"/>
    <w:rsid w:val="004A68AF"/>
    <w:rsid w:val="004A69E5"/>
    <w:rsid w:val="004A6A87"/>
    <w:rsid w:val="004A6B75"/>
    <w:rsid w:val="004A6C81"/>
    <w:rsid w:val="004A6DE2"/>
    <w:rsid w:val="004A6E43"/>
    <w:rsid w:val="004A6F18"/>
    <w:rsid w:val="004A6F5B"/>
    <w:rsid w:val="004A704A"/>
    <w:rsid w:val="004A7403"/>
    <w:rsid w:val="004A7527"/>
    <w:rsid w:val="004A75A8"/>
    <w:rsid w:val="004A764B"/>
    <w:rsid w:val="004A7713"/>
    <w:rsid w:val="004A7775"/>
    <w:rsid w:val="004A778D"/>
    <w:rsid w:val="004A7B3D"/>
    <w:rsid w:val="004A7D79"/>
    <w:rsid w:val="004A7E2E"/>
    <w:rsid w:val="004A7E74"/>
    <w:rsid w:val="004A7F75"/>
    <w:rsid w:val="004A7FE0"/>
    <w:rsid w:val="004B000A"/>
    <w:rsid w:val="004B029E"/>
    <w:rsid w:val="004B04BD"/>
    <w:rsid w:val="004B051C"/>
    <w:rsid w:val="004B0671"/>
    <w:rsid w:val="004B0705"/>
    <w:rsid w:val="004B0737"/>
    <w:rsid w:val="004B08BE"/>
    <w:rsid w:val="004B0905"/>
    <w:rsid w:val="004B0ADB"/>
    <w:rsid w:val="004B0C14"/>
    <w:rsid w:val="004B0C9D"/>
    <w:rsid w:val="004B1005"/>
    <w:rsid w:val="004B12F4"/>
    <w:rsid w:val="004B147A"/>
    <w:rsid w:val="004B1627"/>
    <w:rsid w:val="004B1798"/>
    <w:rsid w:val="004B17E2"/>
    <w:rsid w:val="004B19D8"/>
    <w:rsid w:val="004B1AB8"/>
    <w:rsid w:val="004B1B7C"/>
    <w:rsid w:val="004B1B8E"/>
    <w:rsid w:val="004B1C4E"/>
    <w:rsid w:val="004B1E68"/>
    <w:rsid w:val="004B1FD3"/>
    <w:rsid w:val="004B2024"/>
    <w:rsid w:val="004B2060"/>
    <w:rsid w:val="004B206B"/>
    <w:rsid w:val="004B2206"/>
    <w:rsid w:val="004B22B7"/>
    <w:rsid w:val="004B233F"/>
    <w:rsid w:val="004B259F"/>
    <w:rsid w:val="004B296D"/>
    <w:rsid w:val="004B2C39"/>
    <w:rsid w:val="004B2C5B"/>
    <w:rsid w:val="004B2CC1"/>
    <w:rsid w:val="004B2EBD"/>
    <w:rsid w:val="004B3042"/>
    <w:rsid w:val="004B34BA"/>
    <w:rsid w:val="004B3731"/>
    <w:rsid w:val="004B373B"/>
    <w:rsid w:val="004B379C"/>
    <w:rsid w:val="004B38EC"/>
    <w:rsid w:val="004B3C6B"/>
    <w:rsid w:val="004B3C80"/>
    <w:rsid w:val="004B3D24"/>
    <w:rsid w:val="004B3E8E"/>
    <w:rsid w:val="004B3EE4"/>
    <w:rsid w:val="004B3F5D"/>
    <w:rsid w:val="004B3FB8"/>
    <w:rsid w:val="004B4063"/>
    <w:rsid w:val="004B4083"/>
    <w:rsid w:val="004B40C1"/>
    <w:rsid w:val="004B4579"/>
    <w:rsid w:val="004B45F4"/>
    <w:rsid w:val="004B45F8"/>
    <w:rsid w:val="004B46ED"/>
    <w:rsid w:val="004B472C"/>
    <w:rsid w:val="004B47A5"/>
    <w:rsid w:val="004B4830"/>
    <w:rsid w:val="004B48D6"/>
    <w:rsid w:val="004B4B21"/>
    <w:rsid w:val="004B4D63"/>
    <w:rsid w:val="004B4EE9"/>
    <w:rsid w:val="004B4F2D"/>
    <w:rsid w:val="004B4F31"/>
    <w:rsid w:val="004B5009"/>
    <w:rsid w:val="004B5063"/>
    <w:rsid w:val="004B50BC"/>
    <w:rsid w:val="004B5276"/>
    <w:rsid w:val="004B5313"/>
    <w:rsid w:val="004B5347"/>
    <w:rsid w:val="004B5386"/>
    <w:rsid w:val="004B5501"/>
    <w:rsid w:val="004B554B"/>
    <w:rsid w:val="004B55D6"/>
    <w:rsid w:val="004B5710"/>
    <w:rsid w:val="004B5740"/>
    <w:rsid w:val="004B574A"/>
    <w:rsid w:val="004B5887"/>
    <w:rsid w:val="004B59A8"/>
    <w:rsid w:val="004B5B4B"/>
    <w:rsid w:val="004B5C45"/>
    <w:rsid w:val="004B5C9C"/>
    <w:rsid w:val="004B5CB8"/>
    <w:rsid w:val="004B5D4D"/>
    <w:rsid w:val="004B5E4E"/>
    <w:rsid w:val="004B5FA2"/>
    <w:rsid w:val="004B6018"/>
    <w:rsid w:val="004B6048"/>
    <w:rsid w:val="004B6271"/>
    <w:rsid w:val="004B62BC"/>
    <w:rsid w:val="004B6416"/>
    <w:rsid w:val="004B6425"/>
    <w:rsid w:val="004B66EB"/>
    <w:rsid w:val="004B68AC"/>
    <w:rsid w:val="004B696E"/>
    <w:rsid w:val="004B69E8"/>
    <w:rsid w:val="004B6A54"/>
    <w:rsid w:val="004B6AE8"/>
    <w:rsid w:val="004B6B05"/>
    <w:rsid w:val="004B6B16"/>
    <w:rsid w:val="004B6B45"/>
    <w:rsid w:val="004B6DCD"/>
    <w:rsid w:val="004B6EB6"/>
    <w:rsid w:val="004B6FA8"/>
    <w:rsid w:val="004B6FF1"/>
    <w:rsid w:val="004B7017"/>
    <w:rsid w:val="004B7037"/>
    <w:rsid w:val="004B7042"/>
    <w:rsid w:val="004B7208"/>
    <w:rsid w:val="004B729B"/>
    <w:rsid w:val="004B7426"/>
    <w:rsid w:val="004B753D"/>
    <w:rsid w:val="004B753E"/>
    <w:rsid w:val="004B75B6"/>
    <w:rsid w:val="004B7726"/>
    <w:rsid w:val="004B77A0"/>
    <w:rsid w:val="004B78F4"/>
    <w:rsid w:val="004B79C3"/>
    <w:rsid w:val="004B7A19"/>
    <w:rsid w:val="004B7BBE"/>
    <w:rsid w:val="004B7EE2"/>
    <w:rsid w:val="004B7EF0"/>
    <w:rsid w:val="004B7FE2"/>
    <w:rsid w:val="004C0167"/>
    <w:rsid w:val="004C033D"/>
    <w:rsid w:val="004C04E9"/>
    <w:rsid w:val="004C06E1"/>
    <w:rsid w:val="004C08D1"/>
    <w:rsid w:val="004C09E7"/>
    <w:rsid w:val="004C0A29"/>
    <w:rsid w:val="004C0ACF"/>
    <w:rsid w:val="004C0BA0"/>
    <w:rsid w:val="004C0BEE"/>
    <w:rsid w:val="004C0C58"/>
    <w:rsid w:val="004C0C83"/>
    <w:rsid w:val="004C0DB3"/>
    <w:rsid w:val="004C0FB8"/>
    <w:rsid w:val="004C0FFD"/>
    <w:rsid w:val="004C1094"/>
    <w:rsid w:val="004C11A2"/>
    <w:rsid w:val="004C1325"/>
    <w:rsid w:val="004C13E4"/>
    <w:rsid w:val="004C141F"/>
    <w:rsid w:val="004C1513"/>
    <w:rsid w:val="004C1669"/>
    <w:rsid w:val="004C190B"/>
    <w:rsid w:val="004C1967"/>
    <w:rsid w:val="004C1A92"/>
    <w:rsid w:val="004C1BBD"/>
    <w:rsid w:val="004C1C7F"/>
    <w:rsid w:val="004C1FF8"/>
    <w:rsid w:val="004C210E"/>
    <w:rsid w:val="004C21A7"/>
    <w:rsid w:val="004C237C"/>
    <w:rsid w:val="004C238C"/>
    <w:rsid w:val="004C241A"/>
    <w:rsid w:val="004C255B"/>
    <w:rsid w:val="004C2699"/>
    <w:rsid w:val="004C2765"/>
    <w:rsid w:val="004C2776"/>
    <w:rsid w:val="004C2785"/>
    <w:rsid w:val="004C2913"/>
    <w:rsid w:val="004C291D"/>
    <w:rsid w:val="004C2A37"/>
    <w:rsid w:val="004C2AA8"/>
    <w:rsid w:val="004C2BDB"/>
    <w:rsid w:val="004C2D8E"/>
    <w:rsid w:val="004C2E76"/>
    <w:rsid w:val="004C2F57"/>
    <w:rsid w:val="004C308A"/>
    <w:rsid w:val="004C31EC"/>
    <w:rsid w:val="004C3217"/>
    <w:rsid w:val="004C32B7"/>
    <w:rsid w:val="004C335F"/>
    <w:rsid w:val="004C337F"/>
    <w:rsid w:val="004C34DC"/>
    <w:rsid w:val="004C358E"/>
    <w:rsid w:val="004C35BF"/>
    <w:rsid w:val="004C37D4"/>
    <w:rsid w:val="004C39E2"/>
    <w:rsid w:val="004C39F2"/>
    <w:rsid w:val="004C3C36"/>
    <w:rsid w:val="004C3E4D"/>
    <w:rsid w:val="004C43CA"/>
    <w:rsid w:val="004C45A1"/>
    <w:rsid w:val="004C4627"/>
    <w:rsid w:val="004C4883"/>
    <w:rsid w:val="004C4ADE"/>
    <w:rsid w:val="004C4B47"/>
    <w:rsid w:val="004C4C40"/>
    <w:rsid w:val="004C4C44"/>
    <w:rsid w:val="004C4CA6"/>
    <w:rsid w:val="004C4CAC"/>
    <w:rsid w:val="004C4DE4"/>
    <w:rsid w:val="004C4E69"/>
    <w:rsid w:val="004C4FEE"/>
    <w:rsid w:val="004C510C"/>
    <w:rsid w:val="004C522C"/>
    <w:rsid w:val="004C52F2"/>
    <w:rsid w:val="004C533E"/>
    <w:rsid w:val="004C5385"/>
    <w:rsid w:val="004C53F0"/>
    <w:rsid w:val="004C54A4"/>
    <w:rsid w:val="004C5504"/>
    <w:rsid w:val="004C5777"/>
    <w:rsid w:val="004C5A87"/>
    <w:rsid w:val="004C5BA7"/>
    <w:rsid w:val="004C5CD1"/>
    <w:rsid w:val="004C5D15"/>
    <w:rsid w:val="004C5D76"/>
    <w:rsid w:val="004C5DEC"/>
    <w:rsid w:val="004C5E32"/>
    <w:rsid w:val="004C6045"/>
    <w:rsid w:val="004C61B1"/>
    <w:rsid w:val="004C6304"/>
    <w:rsid w:val="004C63BF"/>
    <w:rsid w:val="004C6421"/>
    <w:rsid w:val="004C642B"/>
    <w:rsid w:val="004C653D"/>
    <w:rsid w:val="004C6572"/>
    <w:rsid w:val="004C66BA"/>
    <w:rsid w:val="004C66C9"/>
    <w:rsid w:val="004C67E5"/>
    <w:rsid w:val="004C6907"/>
    <w:rsid w:val="004C6A4A"/>
    <w:rsid w:val="004C6C67"/>
    <w:rsid w:val="004C6CEA"/>
    <w:rsid w:val="004C6DE7"/>
    <w:rsid w:val="004C6E20"/>
    <w:rsid w:val="004C6E81"/>
    <w:rsid w:val="004C702A"/>
    <w:rsid w:val="004C7082"/>
    <w:rsid w:val="004C71B3"/>
    <w:rsid w:val="004C7275"/>
    <w:rsid w:val="004C73D9"/>
    <w:rsid w:val="004C7504"/>
    <w:rsid w:val="004C7614"/>
    <w:rsid w:val="004C7693"/>
    <w:rsid w:val="004C7ADD"/>
    <w:rsid w:val="004C7B32"/>
    <w:rsid w:val="004C7BF5"/>
    <w:rsid w:val="004C7DEA"/>
    <w:rsid w:val="004C7E83"/>
    <w:rsid w:val="004C7F58"/>
    <w:rsid w:val="004CDEC7"/>
    <w:rsid w:val="004D00AC"/>
    <w:rsid w:val="004D015B"/>
    <w:rsid w:val="004D0398"/>
    <w:rsid w:val="004D03C7"/>
    <w:rsid w:val="004D047E"/>
    <w:rsid w:val="004D04D7"/>
    <w:rsid w:val="004D0649"/>
    <w:rsid w:val="004D0730"/>
    <w:rsid w:val="004D086D"/>
    <w:rsid w:val="004D08B2"/>
    <w:rsid w:val="004D0AAD"/>
    <w:rsid w:val="004D0B8A"/>
    <w:rsid w:val="004D0D30"/>
    <w:rsid w:val="004D0DF5"/>
    <w:rsid w:val="004D0DF7"/>
    <w:rsid w:val="004D0E0C"/>
    <w:rsid w:val="004D1079"/>
    <w:rsid w:val="004D1388"/>
    <w:rsid w:val="004D1432"/>
    <w:rsid w:val="004D156A"/>
    <w:rsid w:val="004D1895"/>
    <w:rsid w:val="004D18FE"/>
    <w:rsid w:val="004D1943"/>
    <w:rsid w:val="004D19D0"/>
    <w:rsid w:val="004D19D3"/>
    <w:rsid w:val="004D19DB"/>
    <w:rsid w:val="004D1B70"/>
    <w:rsid w:val="004D1C79"/>
    <w:rsid w:val="004D1D6C"/>
    <w:rsid w:val="004D1E91"/>
    <w:rsid w:val="004D1F43"/>
    <w:rsid w:val="004D1FF1"/>
    <w:rsid w:val="004D1FF7"/>
    <w:rsid w:val="004D2086"/>
    <w:rsid w:val="004D2207"/>
    <w:rsid w:val="004D23A7"/>
    <w:rsid w:val="004D24A6"/>
    <w:rsid w:val="004D2509"/>
    <w:rsid w:val="004D257A"/>
    <w:rsid w:val="004D2639"/>
    <w:rsid w:val="004D2694"/>
    <w:rsid w:val="004D269B"/>
    <w:rsid w:val="004D2926"/>
    <w:rsid w:val="004D2A2D"/>
    <w:rsid w:val="004D2A82"/>
    <w:rsid w:val="004D2AD3"/>
    <w:rsid w:val="004D2CAE"/>
    <w:rsid w:val="004D2DC3"/>
    <w:rsid w:val="004D2DD6"/>
    <w:rsid w:val="004D2E73"/>
    <w:rsid w:val="004D2E81"/>
    <w:rsid w:val="004D30AF"/>
    <w:rsid w:val="004D30DF"/>
    <w:rsid w:val="004D3202"/>
    <w:rsid w:val="004D35F1"/>
    <w:rsid w:val="004D36E6"/>
    <w:rsid w:val="004D3815"/>
    <w:rsid w:val="004D38CE"/>
    <w:rsid w:val="004D3B60"/>
    <w:rsid w:val="004D3C91"/>
    <w:rsid w:val="004D3CEC"/>
    <w:rsid w:val="004D3D2F"/>
    <w:rsid w:val="004D3D9E"/>
    <w:rsid w:val="004D3DA3"/>
    <w:rsid w:val="004D40A1"/>
    <w:rsid w:val="004D4167"/>
    <w:rsid w:val="004D4320"/>
    <w:rsid w:val="004D4405"/>
    <w:rsid w:val="004D4407"/>
    <w:rsid w:val="004D4448"/>
    <w:rsid w:val="004D4499"/>
    <w:rsid w:val="004D44D1"/>
    <w:rsid w:val="004D44E4"/>
    <w:rsid w:val="004D4594"/>
    <w:rsid w:val="004D45F7"/>
    <w:rsid w:val="004D4675"/>
    <w:rsid w:val="004D46F3"/>
    <w:rsid w:val="004D4720"/>
    <w:rsid w:val="004D47B7"/>
    <w:rsid w:val="004D47E0"/>
    <w:rsid w:val="004D4860"/>
    <w:rsid w:val="004D4892"/>
    <w:rsid w:val="004D48FE"/>
    <w:rsid w:val="004D4913"/>
    <w:rsid w:val="004D4C66"/>
    <w:rsid w:val="004D4C75"/>
    <w:rsid w:val="004D4E29"/>
    <w:rsid w:val="004D522D"/>
    <w:rsid w:val="004D53CD"/>
    <w:rsid w:val="004D55DF"/>
    <w:rsid w:val="004D58D0"/>
    <w:rsid w:val="004D58EA"/>
    <w:rsid w:val="004D5A31"/>
    <w:rsid w:val="004D5A47"/>
    <w:rsid w:val="004D5A75"/>
    <w:rsid w:val="004D5B11"/>
    <w:rsid w:val="004D5BC7"/>
    <w:rsid w:val="004D5DE0"/>
    <w:rsid w:val="004D5EEA"/>
    <w:rsid w:val="004D5F38"/>
    <w:rsid w:val="004D5FB1"/>
    <w:rsid w:val="004D611A"/>
    <w:rsid w:val="004D63FD"/>
    <w:rsid w:val="004D64D9"/>
    <w:rsid w:val="004D663E"/>
    <w:rsid w:val="004D676A"/>
    <w:rsid w:val="004D67B5"/>
    <w:rsid w:val="004D68AF"/>
    <w:rsid w:val="004D6948"/>
    <w:rsid w:val="004D69FB"/>
    <w:rsid w:val="004D6A52"/>
    <w:rsid w:val="004D6A80"/>
    <w:rsid w:val="004D6ABD"/>
    <w:rsid w:val="004D6B85"/>
    <w:rsid w:val="004D6C30"/>
    <w:rsid w:val="004D6C33"/>
    <w:rsid w:val="004D6D21"/>
    <w:rsid w:val="004D702F"/>
    <w:rsid w:val="004D71BA"/>
    <w:rsid w:val="004D72B2"/>
    <w:rsid w:val="004D7383"/>
    <w:rsid w:val="004D73AD"/>
    <w:rsid w:val="004D757F"/>
    <w:rsid w:val="004D766E"/>
    <w:rsid w:val="004D76BE"/>
    <w:rsid w:val="004D76DF"/>
    <w:rsid w:val="004D7711"/>
    <w:rsid w:val="004D771D"/>
    <w:rsid w:val="004D7742"/>
    <w:rsid w:val="004D784A"/>
    <w:rsid w:val="004D786A"/>
    <w:rsid w:val="004D789C"/>
    <w:rsid w:val="004D794C"/>
    <w:rsid w:val="004D7B32"/>
    <w:rsid w:val="004D7C0F"/>
    <w:rsid w:val="004D7E9A"/>
    <w:rsid w:val="004D7EE8"/>
    <w:rsid w:val="004D7F05"/>
    <w:rsid w:val="004D7FBE"/>
    <w:rsid w:val="004D8220"/>
    <w:rsid w:val="004E00E2"/>
    <w:rsid w:val="004E0131"/>
    <w:rsid w:val="004E05A7"/>
    <w:rsid w:val="004E0640"/>
    <w:rsid w:val="004E0665"/>
    <w:rsid w:val="004E0867"/>
    <w:rsid w:val="004E0A29"/>
    <w:rsid w:val="004E0A2D"/>
    <w:rsid w:val="004E0AA8"/>
    <w:rsid w:val="004E0AFD"/>
    <w:rsid w:val="004E0C6D"/>
    <w:rsid w:val="004E0D0A"/>
    <w:rsid w:val="004E0E3B"/>
    <w:rsid w:val="004E0ED9"/>
    <w:rsid w:val="004E0EE2"/>
    <w:rsid w:val="004E0F06"/>
    <w:rsid w:val="004E0FEF"/>
    <w:rsid w:val="004E1110"/>
    <w:rsid w:val="004E11BE"/>
    <w:rsid w:val="004E131E"/>
    <w:rsid w:val="004E14DD"/>
    <w:rsid w:val="004E1521"/>
    <w:rsid w:val="004E15CE"/>
    <w:rsid w:val="004E16A3"/>
    <w:rsid w:val="004E16E7"/>
    <w:rsid w:val="004E176B"/>
    <w:rsid w:val="004E1B57"/>
    <w:rsid w:val="004E1BF1"/>
    <w:rsid w:val="004E1CF2"/>
    <w:rsid w:val="004E1D19"/>
    <w:rsid w:val="004E1E55"/>
    <w:rsid w:val="004E1F7F"/>
    <w:rsid w:val="004E2104"/>
    <w:rsid w:val="004E2115"/>
    <w:rsid w:val="004E21C5"/>
    <w:rsid w:val="004E234B"/>
    <w:rsid w:val="004E2379"/>
    <w:rsid w:val="004E2425"/>
    <w:rsid w:val="004E2563"/>
    <w:rsid w:val="004E267C"/>
    <w:rsid w:val="004E2915"/>
    <w:rsid w:val="004E294B"/>
    <w:rsid w:val="004E2A17"/>
    <w:rsid w:val="004E2AC0"/>
    <w:rsid w:val="004E2B11"/>
    <w:rsid w:val="004E2B1D"/>
    <w:rsid w:val="004E2BA1"/>
    <w:rsid w:val="004E2DDE"/>
    <w:rsid w:val="004E2EAB"/>
    <w:rsid w:val="004E2F40"/>
    <w:rsid w:val="004E2F9B"/>
    <w:rsid w:val="004E3019"/>
    <w:rsid w:val="004E306E"/>
    <w:rsid w:val="004E30AE"/>
    <w:rsid w:val="004E3508"/>
    <w:rsid w:val="004E3527"/>
    <w:rsid w:val="004E352D"/>
    <w:rsid w:val="004E3597"/>
    <w:rsid w:val="004E365A"/>
    <w:rsid w:val="004E3740"/>
    <w:rsid w:val="004E388E"/>
    <w:rsid w:val="004E3A85"/>
    <w:rsid w:val="004E3BDF"/>
    <w:rsid w:val="004E3C37"/>
    <w:rsid w:val="004E3D23"/>
    <w:rsid w:val="004E3D71"/>
    <w:rsid w:val="004E3E83"/>
    <w:rsid w:val="004E3F1F"/>
    <w:rsid w:val="004E3FE9"/>
    <w:rsid w:val="004E407E"/>
    <w:rsid w:val="004E40B0"/>
    <w:rsid w:val="004E40FC"/>
    <w:rsid w:val="004E43AA"/>
    <w:rsid w:val="004E43F1"/>
    <w:rsid w:val="004E4491"/>
    <w:rsid w:val="004E4614"/>
    <w:rsid w:val="004E491D"/>
    <w:rsid w:val="004E4BFC"/>
    <w:rsid w:val="004E4D72"/>
    <w:rsid w:val="004E4DF2"/>
    <w:rsid w:val="004E4E4C"/>
    <w:rsid w:val="004E4E61"/>
    <w:rsid w:val="004E4E7F"/>
    <w:rsid w:val="004E4F27"/>
    <w:rsid w:val="004E4FD8"/>
    <w:rsid w:val="004E502C"/>
    <w:rsid w:val="004E5145"/>
    <w:rsid w:val="004E519B"/>
    <w:rsid w:val="004E52A4"/>
    <w:rsid w:val="004E5306"/>
    <w:rsid w:val="004E58E3"/>
    <w:rsid w:val="004E58EA"/>
    <w:rsid w:val="004E5956"/>
    <w:rsid w:val="004E597D"/>
    <w:rsid w:val="004E5B27"/>
    <w:rsid w:val="004E5B6B"/>
    <w:rsid w:val="004E5C37"/>
    <w:rsid w:val="004E5D6F"/>
    <w:rsid w:val="004E5D92"/>
    <w:rsid w:val="004E5DD7"/>
    <w:rsid w:val="004E601A"/>
    <w:rsid w:val="004E60A6"/>
    <w:rsid w:val="004E615A"/>
    <w:rsid w:val="004E61C8"/>
    <w:rsid w:val="004E6359"/>
    <w:rsid w:val="004E64AA"/>
    <w:rsid w:val="004E64C0"/>
    <w:rsid w:val="004E659E"/>
    <w:rsid w:val="004E65C7"/>
    <w:rsid w:val="004E661A"/>
    <w:rsid w:val="004E683F"/>
    <w:rsid w:val="004E688D"/>
    <w:rsid w:val="004E69F0"/>
    <w:rsid w:val="004E6AA5"/>
    <w:rsid w:val="004E6B29"/>
    <w:rsid w:val="004E6BA5"/>
    <w:rsid w:val="004E6E88"/>
    <w:rsid w:val="004E6FED"/>
    <w:rsid w:val="004E7019"/>
    <w:rsid w:val="004E70E7"/>
    <w:rsid w:val="004E7140"/>
    <w:rsid w:val="004E71D1"/>
    <w:rsid w:val="004E71ED"/>
    <w:rsid w:val="004E7370"/>
    <w:rsid w:val="004E7375"/>
    <w:rsid w:val="004E7427"/>
    <w:rsid w:val="004E74E6"/>
    <w:rsid w:val="004E75EE"/>
    <w:rsid w:val="004E75F2"/>
    <w:rsid w:val="004E7743"/>
    <w:rsid w:val="004E77E7"/>
    <w:rsid w:val="004E7839"/>
    <w:rsid w:val="004E79B6"/>
    <w:rsid w:val="004E7A7B"/>
    <w:rsid w:val="004E7C0F"/>
    <w:rsid w:val="004E7C27"/>
    <w:rsid w:val="004E7CBA"/>
    <w:rsid w:val="004E7CFE"/>
    <w:rsid w:val="004E7EB2"/>
    <w:rsid w:val="004E7F4A"/>
    <w:rsid w:val="004E7F86"/>
    <w:rsid w:val="004E7FDC"/>
    <w:rsid w:val="004F0051"/>
    <w:rsid w:val="004F00DF"/>
    <w:rsid w:val="004F015C"/>
    <w:rsid w:val="004F01AC"/>
    <w:rsid w:val="004F01E3"/>
    <w:rsid w:val="004F01F9"/>
    <w:rsid w:val="004F025E"/>
    <w:rsid w:val="004F02EF"/>
    <w:rsid w:val="004F03FC"/>
    <w:rsid w:val="004F0432"/>
    <w:rsid w:val="004F057B"/>
    <w:rsid w:val="004F0607"/>
    <w:rsid w:val="004F0681"/>
    <w:rsid w:val="004F07B0"/>
    <w:rsid w:val="004F0849"/>
    <w:rsid w:val="004F0888"/>
    <w:rsid w:val="004F08CC"/>
    <w:rsid w:val="004F09EF"/>
    <w:rsid w:val="004F0B6E"/>
    <w:rsid w:val="004F0C1A"/>
    <w:rsid w:val="004F0D1C"/>
    <w:rsid w:val="004F0DBF"/>
    <w:rsid w:val="004F0F8A"/>
    <w:rsid w:val="004F118A"/>
    <w:rsid w:val="004F11BA"/>
    <w:rsid w:val="004F11C1"/>
    <w:rsid w:val="004F11ED"/>
    <w:rsid w:val="004F130A"/>
    <w:rsid w:val="004F1411"/>
    <w:rsid w:val="004F14F1"/>
    <w:rsid w:val="004F16FF"/>
    <w:rsid w:val="004F17C0"/>
    <w:rsid w:val="004F17CD"/>
    <w:rsid w:val="004F17D9"/>
    <w:rsid w:val="004F1839"/>
    <w:rsid w:val="004F189D"/>
    <w:rsid w:val="004F1A59"/>
    <w:rsid w:val="004F1B1F"/>
    <w:rsid w:val="004F1C3B"/>
    <w:rsid w:val="004F1CBE"/>
    <w:rsid w:val="004F1D6E"/>
    <w:rsid w:val="004F2012"/>
    <w:rsid w:val="004F20EE"/>
    <w:rsid w:val="004F212D"/>
    <w:rsid w:val="004F22F3"/>
    <w:rsid w:val="004F24F5"/>
    <w:rsid w:val="004F252F"/>
    <w:rsid w:val="004F2756"/>
    <w:rsid w:val="004F27F9"/>
    <w:rsid w:val="004F2816"/>
    <w:rsid w:val="004F281E"/>
    <w:rsid w:val="004F285E"/>
    <w:rsid w:val="004F286D"/>
    <w:rsid w:val="004F287D"/>
    <w:rsid w:val="004F2BF9"/>
    <w:rsid w:val="004F2DB4"/>
    <w:rsid w:val="004F2FA4"/>
    <w:rsid w:val="004F2FCD"/>
    <w:rsid w:val="004F3019"/>
    <w:rsid w:val="004F31D1"/>
    <w:rsid w:val="004F3423"/>
    <w:rsid w:val="004F3504"/>
    <w:rsid w:val="004F35B1"/>
    <w:rsid w:val="004F35BC"/>
    <w:rsid w:val="004F3736"/>
    <w:rsid w:val="004F39F7"/>
    <w:rsid w:val="004F3B01"/>
    <w:rsid w:val="004F3B2B"/>
    <w:rsid w:val="004F3B86"/>
    <w:rsid w:val="004F3D96"/>
    <w:rsid w:val="004F3EE1"/>
    <w:rsid w:val="004F40E2"/>
    <w:rsid w:val="004F4100"/>
    <w:rsid w:val="004F422C"/>
    <w:rsid w:val="004F4380"/>
    <w:rsid w:val="004F440B"/>
    <w:rsid w:val="004F4461"/>
    <w:rsid w:val="004F4534"/>
    <w:rsid w:val="004F4584"/>
    <w:rsid w:val="004F46E1"/>
    <w:rsid w:val="004F4739"/>
    <w:rsid w:val="004F47DF"/>
    <w:rsid w:val="004F492D"/>
    <w:rsid w:val="004F49EE"/>
    <w:rsid w:val="004F4A97"/>
    <w:rsid w:val="004F4C25"/>
    <w:rsid w:val="004F4D0F"/>
    <w:rsid w:val="004F4F15"/>
    <w:rsid w:val="004F5086"/>
    <w:rsid w:val="004F50DE"/>
    <w:rsid w:val="004F517A"/>
    <w:rsid w:val="004F51A7"/>
    <w:rsid w:val="004F553D"/>
    <w:rsid w:val="004F55E7"/>
    <w:rsid w:val="004F5629"/>
    <w:rsid w:val="004F5715"/>
    <w:rsid w:val="004F57AE"/>
    <w:rsid w:val="004F59AF"/>
    <w:rsid w:val="004F5A6C"/>
    <w:rsid w:val="004F5B01"/>
    <w:rsid w:val="004F5B33"/>
    <w:rsid w:val="004F5B72"/>
    <w:rsid w:val="004F5BC9"/>
    <w:rsid w:val="004F5BFA"/>
    <w:rsid w:val="004F5CA9"/>
    <w:rsid w:val="004F5E0B"/>
    <w:rsid w:val="004F5F11"/>
    <w:rsid w:val="004F5F15"/>
    <w:rsid w:val="004F6361"/>
    <w:rsid w:val="004F636D"/>
    <w:rsid w:val="004F64CF"/>
    <w:rsid w:val="004F6512"/>
    <w:rsid w:val="004F653C"/>
    <w:rsid w:val="004F656B"/>
    <w:rsid w:val="004F67FE"/>
    <w:rsid w:val="004F6867"/>
    <w:rsid w:val="004F692A"/>
    <w:rsid w:val="004F69E8"/>
    <w:rsid w:val="004F6A56"/>
    <w:rsid w:val="004F6B38"/>
    <w:rsid w:val="004F6B6A"/>
    <w:rsid w:val="004F6CD8"/>
    <w:rsid w:val="004F6CEC"/>
    <w:rsid w:val="004F6D9F"/>
    <w:rsid w:val="004F6F25"/>
    <w:rsid w:val="004F7053"/>
    <w:rsid w:val="004F7173"/>
    <w:rsid w:val="004F725E"/>
    <w:rsid w:val="004F7270"/>
    <w:rsid w:val="004F7440"/>
    <w:rsid w:val="004F74E1"/>
    <w:rsid w:val="004F7500"/>
    <w:rsid w:val="004F7AF0"/>
    <w:rsid w:val="004F7C30"/>
    <w:rsid w:val="004F7C89"/>
    <w:rsid w:val="004F7D58"/>
    <w:rsid w:val="004F7D79"/>
    <w:rsid w:val="004F7E60"/>
    <w:rsid w:val="004F7EBB"/>
    <w:rsid w:val="004F7EDA"/>
    <w:rsid w:val="004F7F95"/>
    <w:rsid w:val="004F7FE6"/>
    <w:rsid w:val="004F9509"/>
    <w:rsid w:val="005000F1"/>
    <w:rsid w:val="005002BC"/>
    <w:rsid w:val="00500427"/>
    <w:rsid w:val="0050073C"/>
    <w:rsid w:val="00500AD6"/>
    <w:rsid w:val="00500EF4"/>
    <w:rsid w:val="00500FBD"/>
    <w:rsid w:val="005010B8"/>
    <w:rsid w:val="0050134A"/>
    <w:rsid w:val="0050155F"/>
    <w:rsid w:val="0050165A"/>
    <w:rsid w:val="005016C7"/>
    <w:rsid w:val="00501995"/>
    <w:rsid w:val="005019D3"/>
    <w:rsid w:val="00501A4A"/>
    <w:rsid w:val="00501B31"/>
    <w:rsid w:val="00501CC1"/>
    <w:rsid w:val="00501E5A"/>
    <w:rsid w:val="00501E84"/>
    <w:rsid w:val="00501EB5"/>
    <w:rsid w:val="0050204A"/>
    <w:rsid w:val="005020D0"/>
    <w:rsid w:val="00502152"/>
    <w:rsid w:val="00502252"/>
    <w:rsid w:val="005022D1"/>
    <w:rsid w:val="00502420"/>
    <w:rsid w:val="005024BC"/>
    <w:rsid w:val="00502541"/>
    <w:rsid w:val="00502604"/>
    <w:rsid w:val="00502640"/>
    <w:rsid w:val="00502B13"/>
    <w:rsid w:val="00502B53"/>
    <w:rsid w:val="00502BC5"/>
    <w:rsid w:val="00502CF4"/>
    <w:rsid w:val="00502D34"/>
    <w:rsid w:val="00502DA2"/>
    <w:rsid w:val="00502F80"/>
    <w:rsid w:val="00502FA5"/>
    <w:rsid w:val="00502FDC"/>
    <w:rsid w:val="0050304E"/>
    <w:rsid w:val="005031B8"/>
    <w:rsid w:val="005033CA"/>
    <w:rsid w:val="005034BA"/>
    <w:rsid w:val="005034BF"/>
    <w:rsid w:val="00503641"/>
    <w:rsid w:val="00503681"/>
    <w:rsid w:val="005037B7"/>
    <w:rsid w:val="0050381B"/>
    <w:rsid w:val="00503825"/>
    <w:rsid w:val="00503868"/>
    <w:rsid w:val="00503B63"/>
    <w:rsid w:val="00503D78"/>
    <w:rsid w:val="00503D90"/>
    <w:rsid w:val="00503E85"/>
    <w:rsid w:val="00503F4F"/>
    <w:rsid w:val="005040F1"/>
    <w:rsid w:val="00504146"/>
    <w:rsid w:val="00504287"/>
    <w:rsid w:val="0050434D"/>
    <w:rsid w:val="00504515"/>
    <w:rsid w:val="00504591"/>
    <w:rsid w:val="005047BD"/>
    <w:rsid w:val="005048DA"/>
    <w:rsid w:val="00504BD5"/>
    <w:rsid w:val="00504BF8"/>
    <w:rsid w:val="00504C93"/>
    <w:rsid w:val="00504F4C"/>
    <w:rsid w:val="00505120"/>
    <w:rsid w:val="0050514C"/>
    <w:rsid w:val="005051E9"/>
    <w:rsid w:val="00505356"/>
    <w:rsid w:val="0050538A"/>
    <w:rsid w:val="005053FA"/>
    <w:rsid w:val="0050558B"/>
    <w:rsid w:val="00505598"/>
    <w:rsid w:val="005055B1"/>
    <w:rsid w:val="00505797"/>
    <w:rsid w:val="0050581F"/>
    <w:rsid w:val="00505BAC"/>
    <w:rsid w:val="00505E76"/>
    <w:rsid w:val="00505EB4"/>
    <w:rsid w:val="00505F0A"/>
    <w:rsid w:val="005061B6"/>
    <w:rsid w:val="00506323"/>
    <w:rsid w:val="005063A9"/>
    <w:rsid w:val="005063E3"/>
    <w:rsid w:val="0050659F"/>
    <w:rsid w:val="005065C9"/>
    <w:rsid w:val="005065DB"/>
    <w:rsid w:val="00506635"/>
    <w:rsid w:val="00506669"/>
    <w:rsid w:val="005066CE"/>
    <w:rsid w:val="005067E2"/>
    <w:rsid w:val="005067F5"/>
    <w:rsid w:val="005067FF"/>
    <w:rsid w:val="00506812"/>
    <w:rsid w:val="00506830"/>
    <w:rsid w:val="00506AE1"/>
    <w:rsid w:val="00506DB4"/>
    <w:rsid w:val="00506DFD"/>
    <w:rsid w:val="00506ECA"/>
    <w:rsid w:val="00506EFE"/>
    <w:rsid w:val="00506F86"/>
    <w:rsid w:val="00507196"/>
    <w:rsid w:val="005071D5"/>
    <w:rsid w:val="0050759E"/>
    <w:rsid w:val="005077E2"/>
    <w:rsid w:val="005077EB"/>
    <w:rsid w:val="005079CA"/>
    <w:rsid w:val="00507A0B"/>
    <w:rsid w:val="00507B17"/>
    <w:rsid w:val="00507BE5"/>
    <w:rsid w:val="00507C82"/>
    <w:rsid w:val="00507CE8"/>
    <w:rsid w:val="00507DAE"/>
    <w:rsid w:val="00507DEA"/>
    <w:rsid w:val="0050C3F3"/>
    <w:rsid w:val="0051010B"/>
    <w:rsid w:val="00510145"/>
    <w:rsid w:val="005101C3"/>
    <w:rsid w:val="0051042E"/>
    <w:rsid w:val="00510572"/>
    <w:rsid w:val="005106DD"/>
    <w:rsid w:val="005108F6"/>
    <w:rsid w:val="00510948"/>
    <w:rsid w:val="0051095D"/>
    <w:rsid w:val="00510ADD"/>
    <w:rsid w:val="00510CDA"/>
    <w:rsid w:val="00510DF5"/>
    <w:rsid w:val="00510E1B"/>
    <w:rsid w:val="00510E65"/>
    <w:rsid w:val="005110B7"/>
    <w:rsid w:val="005114EA"/>
    <w:rsid w:val="00511697"/>
    <w:rsid w:val="00511973"/>
    <w:rsid w:val="00511B40"/>
    <w:rsid w:val="00511B4A"/>
    <w:rsid w:val="0051206C"/>
    <w:rsid w:val="0051209F"/>
    <w:rsid w:val="005120A0"/>
    <w:rsid w:val="005120C2"/>
    <w:rsid w:val="0051210F"/>
    <w:rsid w:val="005123B3"/>
    <w:rsid w:val="00512762"/>
    <w:rsid w:val="00512771"/>
    <w:rsid w:val="005127C9"/>
    <w:rsid w:val="0051280B"/>
    <w:rsid w:val="0051294A"/>
    <w:rsid w:val="00512974"/>
    <w:rsid w:val="00512AD3"/>
    <w:rsid w:val="00512BB4"/>
    <w:rsid w:val="00512BEE"/>
    <w:rsid w:val="00512D63"/>
    <w:rsid w:val="00512E4C"/>
    <w:rsid w:val="00512EC7"/>
    <w:rsid w:val="0051301F"/>
    <w:rsid w:val="00513144"/>
    <w:rsid w:val="0051320B"/>
    <w:rsid w:val="00513391"/>
    <w:rsid w:val="00513650"/>
    <w:rsid w:val="00513666"/>
    <w:rsid w:val="005136C4"/>
    <w:rsid w:val="0051388E"/>
    <w:rsid w:val="0051391E"/>
    <w:rsid w:val="00513BEF"/>
    <w:rsid w:val="00513E3E"/>
    <w:rsid w:val="00513E80"/>
    <w:rsid w:val="00513EA3"/>
    <w:rsid w:val="00513F6B"/>
    <w:rsid w:val="00513FE0"/>
    <w:rsid w:val="00514120"/>
    <w:rsid w:val="00514242"/>
    <w:rsid w:val="0051432E"/>
    <w:rsid w:val="0051454C"/>
    <w:rsid w:val="00514578"/>
    <w:rsid w:val="00514747"/>
    <w:rsid w:val="005147BC"/>
    <w:rsid w:val="005148AF"/>
    <w:rsid w:val="00514933"/>
    <w:rsid w:val="005149EC"/>
    <w:rsid w:val="00514A51"/>
    <w:rsid w:val="00514B31"/>
    <w:rsid w:val="00514CA4"/>
    <w:rsid w:val="00514DCF"/>
    <w:rsid w:val="00514DF1"/>
    <w:rsid w:val="00514E2D"/>
    <w:rsid w:val="00514E3F"/>
    <w:rsid w:val="00514E8A"/>
    <w:rsid w:val="00514E8C"/>
    <w:rsid w:val="00514EC6"/>
    <w:rsid w:val="00514FE7"/>
    <w:rsid w:val="00514FFB"/>
    <w:rsid w:val="00515002"/>
    <w:rsid w:val="00515027"/>
    <w:rsid w:val="005150F2"/>
    <w:rsid w:val="005151A1"/>
    <w:rsid w:val="00515373"/>
    <w:rsid w:val="0051543C"/>
    <w:rsid w:val="005155AC"/>
    <w:rsid w:val="005155F4"/>
    <w:rsid w:val="005157AB"/>
    <w:rsid w:val="005159B1"/>
    <w:rsid w:val="00515A20"/>
    <w:rsid w:val="00515B34"/>
    <w:rsid w:val="00515B9F"/>
    <w:rsid w:val="00515BBE"/>
    <w:rsid w:val="00515D5C"/>
    <w:rsid w:val="00515DC5"/>
    <w:rsid w:val="00515DCC"/>
    <w:rsid w:val="00515F49"/>
    <w:rsid w:val="00515FE5"/>
    <w:rsid w:val="0051619A"/>
    <w:rsid w:val="0051637D"/>
    <w:rsid w:val="00516432"/>
    <w:rsid w:val="00516654"/>
    <w:rsid w:val="005167CE"/>
    <w:rsid w:val="005167F9"/>
    <w:rsid w:val="00516845"/>
    <w:rsid w:val="005168FB"/>
    <w:rsid w:val="0051695C"/>
    <w:rsid w:val="00516A1F"/>
    <w:rsid w:val="00516B67"/>
    <w:rsid w:val="00516BED"/>
    <w:rsid w:val="00516C54"/>
    <w:rsid w:val="00516C61"/>
    <w:rsid w:val="00516C7A"/>
    <w:rsid w:val="00516CF7"/>
    <w:rsid w:val="00516DC3"/>
    <w:rsid w:val="00516DFA"/>
    <w:rsid w:val="00516E61"/>
    <w:rsid w:val="00516F04"/>
    <w:rsid w:val="00517072"/>
    <w:rsid w:val="00517084"/>
    <w:rsid w:val="005170B3"/>
    <w:rsid w:val="00517140"/>
    <w:rsid w:val="005172A8"/>
    <w:rsid w:val="005173C3"/>
    <w:rsid w:val="00517551"/>
    <w:rsid w:val="00517765"/>
    <w:rsid w:val="00517771"/>
    <w:rsid w:val="005177EE"/>
    <w:rsid w:val="00517BFE"/>
    <w:rsid w:val="00517C24"/>
    <w:rsid w:val="00517C55"/>
    <w:rsid w:val="00517C87"/>
    <w:rsid w:val="00517DBD"/>
    <w:rsid w:val="005201BF"/>
    <w:rsid w:val="005202C2"/>
    <w:rsid w:val="00520320"/>
    <w:rsid w:val="00520562"/>
    <w:rsid w:val="00520582"/>
    <w:rsid w:val="0052069D"/>
    <w:rsid w:val="005207FC"/>
    <w:rsid w:val="00520939"/>
    <w:rsid w:val="00520A1B"/>
    <w:rsid w:val="00520E0C"/>
    <w:rsid w:val="00520EF2"/>
    <w:rsid w:val="00520F09"/>
    <w:rsid w:val="00520F1C"/>
    <w:rsid w:val="0052123D"/>
    <w:rsid w:val="005213F0"/>
    <w:rsid w:val="0052148F"/>
    <w:rsid w:val="005215EE"/>
    <w:rsid w:val="005215F6"/>
    <w:rsid w:val="0052167E"/>
    <w:rsid w:val="00521859"/>
    <w:rsid w:val="0052196C"/>
    <w:rsid w:val="00521B00"/>
    <w:rsid w:val="00521D87"/>
    <w:rsid w:val="00521DA6"/>
    <w:rsid w:val="00522041"/>
    <w:rsid w:val="00522132"/>
    <w:rsid w:val="005221F9"/>
    <w:rsid w:val="00522294"/>
    <w:rsid w:val="005225DD"/>
    <w:rsid w:val="0052264B"/>
    <w:rsid w:val="00522688"/>
    <w:rsid w:val="00522724"/>
    <w:rsid w:val="0052272B"/>
    <w:rsid w:val="0052277F"/>
    <w:rsid w:val="005228EF"/>
    <w:rsid w:val="0052291E"/>
    <w:rsid w:val="00522944"/>
    <w:rsid w:val="00522CAF"/>
    <w:rsid w:val="00522E23"/>
    <w:rsid w:val="00522E7B"/>
    <w:rsid w:val="00522F0B"/>
    <w:rsid w:val="00522FF3"/>
    <w:rsid w:val="00523155"/>
    <w:rsid w:val="00523406"/>
    <w:rsid w:val="005237D6"/>
    <w:rsid w:val="005237F5"/>
    <w:rsid w:val="00523889"/>
    <w:rsid w:val="005238A4"/>
    <w:rsid w:val="00523A3D"/>
    <w:rsid w:val="00523B05"/>
    <w:rsid w:val="00523BAE"/>
    <w:rsid w:val="00523D32"/>
    <w:rsid w:val="00523D66"/>
    <w:rsid w:val="00524159"/>
    <w:rsid w:val="00524184"/>
    <w:rsid w:val="005242D9"/>
    <w:rsid w:val="0052430D"/>
    <w:rsid w:val="005243C1"/>
    <w:rsid w:val="00524413"/>
    <w:rsid w:val="0052441E"/>
    <w:rsid w:val="0052454E"/>
    <w:rsid w:val="00524597"/>
    <w:rsid w:val="005245E1"/>
    <w:rsid w:val="005248AC"/>
    <w:rsid w:val="00524ADB"/>
    <w:rsid w:val="00524B73"/>
    <w:rsid w:val="00524C45"/>
    <w:rsid w:val="00524C9D"/>
    <w:rsid w:val="00524CF7"/>
    <w:rsid w:val="00524DD5"/>
    <w:rsid w:val="00524E2E"/>
    <w:rsid w:val="005251B1"/>
    <w:rsid w:val="005252CA"/>
    <w:rsid w:val="00525545"/>
    <w:rsid w:val="005258C6"/>
    <w:rsid w:val="00525956"/>
    <w:rsid w:val="00525A30"/>
    <w:rsid w:val="00525BAE"/>
    <w:rsid w:val="00525C25"/>
    <w:rsid w:val="00525D09"/>
    <w:rsid w:val="00525D0E"/>
    <w:rsid w:val="00525D8E"/>
    <w:rsid w:val="00526033"/>
    <w:rsid w:val="00526040"/>
    <w:rsid w:val="00526076"/>
    <w:rsid w:val="00526188"/>
    <w:rsid w:val="0052626E"/>
    <w:rsid w:val="0052642D"/>
    <w:rsid w:val="005264A4"/>
    <w:rsid w:val="0052653A"/>
    <w:rsid w:val="00526543"/>
    <w:rsid w:val="0052654D"/>
    <w:rsid w:val="0052656B"/>
    <w:rsid w:val="0052675A"/>
    <w:rsid w:val="0052680A"/>
    <w:rsid w:val="005269EB"/>
    <w:rsid w:val="00526AA5"/>
    <w:rsid w:val="00526B11"/>
    <w:rsid w:val="00526C0F"/>
    <w:rsid w:val="00526C7B"/>
    <w:rsid w:val="00526CA2"/>
    <w:rsid w:val="00526DB4"/>
    <w:rsid w:val="00526FFE"/>
    <w:rsid w:val="0052703F"/>
    <w:rsid w:val="005271FA"/>
    <w:rsid w:val="00527304"/>
    <w:rsid w:val="005273B3"/>
    <w:rsid w:val="00527504"/>
    <w:rsid w:val="0052751A"/>
    <w:rsid w:val="0052774E"/>
    <w:rsid w:val="005277F5"/>
    <w:rsid w:val="005277FE"/>
    <w:rsid w:val="005278EF"/>
    <w:rsid w:val="00527946"/>
    <w:rsid w:val="0052794B"/>
    <w:rsid w:val="00527AA1"/>
    <w:rsid w:val="00527B2A"/>
    <w:rsid w:val="00527B50"/>
    <w:rsid w:val="00527C08"/>
    <w:rsid w:val="00527C83"/>
    <w:rsid w:val="00527D40"/>
    <w:rsid w:val="00527FEA"/>
    <w:rsid w:val="00530031"/>
    <w:rsid w:val="0053010F"/>
    <w:rsid w:val="0053013C"/>
    <w:rsid w:val="0053027C"/>
    <w:rsid w:val="00530298"/>
    <w:rsid w:val="0053029F"/>
    <w:rsid w:val="0053030A"/>
    <w:rsid w:val="00530377"/>
    <w:rsid w:val="00530388"/>
    <w:rsid w:val="005304AB"/>
    <w:rsid w:val="00530503"/>
    <w:rsid w:val="00530681"/>
    <w:rsid w:val="00530881"/>
    <w:rsid w:val="005308E4"/>
    <w:rsid w:val="00530946"/>
    <w:rsid w:val="00530A82"/>
    <w:rsid w:val="00530AED"/>
    <w:rsid w:val="00530B60"/>
    <w:rsid w:val="00530B66"/>
    <w:rsid w:val="00530CAB"/>
    <w:rsid w:val="00530CBD"/>
    <w:rsid w:val="00530D75"/>
    <w:rsid w:val="00530E6B"/>
    <w:rsid w:val="00530FF2"/>
    <w:rsid w:val="0053107F"/>
    <w:rsid w:val="00531087"/>
    <w:rsid w:val="005313B2"/>
    <w:rsid w:val="00531513"/>
    <w:rsid w:val="00531613"/>
    <w:rsid w:val="00531639"/>
    <w:rsid w:val="00531665"/>
    <w:rsid w:val="005318A8"/>
    <w:rsid w:val="00531A19"/>
    <w:rsid w:val="00531B9F"/>
    <w:rsid w:val="00531BBB"/>
    <w:rsid w:val="00531C96"/>
    <w:rsid w:val="00531D1C"/>
    <w:rsid w:val="00531D74"/>
    <w:rsid w:val="00531E24"/>
    <w:rsid w:val="0053212A"/>
    <w:rsid w:val="00532199"/>
    <w:rsid w:val="0053228E"/>
    <w:rsid w:val="005326E4"/>
    <w:rsid w:val="005326F2"/>
    <w:rsid w:val="00532758"/>
    <w:rsid w:val="0053275D"/>
    <w:rsid w:val="00532780"/>
    <w:rsid w:val="00532785"/>
    <w:rsid w:val="00532787"/>
    <w:rsid w:val="0053283E"/>
    <w:rsid w:val="00532854"/>
    <w:rsid w:val="005328D5"/>
    <w:rsid w:val="00532907"/>
    <w:rsid w:val="00532AD6"/>
    <w:rsid w:val="00532C72"/>
    <w:rsid w:val="00532C74"/>
    <w:rsid w:val="00532F7E"/>
    <w:rsid w:val="00533062"/>
    <w:rsid w:val="00533272"/>
    <w:rsid w:val="00533301"/>
    <w:rsid w:val="0053331E"/>
    <w:rsid w:val="0053334A"/>
    <w:rsid w:val="00533364"/>
    <w:rsid w:val="00533553"/>
    <w:rsid w:val="00533701"/>
    <w:rsid w:val="005337CB"/>
    <w:rsid w:val="00533A69"/>
    <w:rsid w:val="00533D48"/>
    <w:rsid w:val="00533D97"/>
    <w:rsid w:val="00533DD7"/>
    <w:rsid w:val="00533ED1"/>
    <w:rsid w:val="00534095"/>
    <w:rsid w:val="00534125"/>
    <w:rsid w:val="00534179"/>
    <w:rsid w:val="00534186"/>
    <w:rsid w:val="0053434E"/>
    <w:rsid w:val="005344D9"/>
    <w:rsid w:val="00534636"/>
    <w:rsid w:val="00534A25"/>
    <w:rsid w:val="00534B09"/>
    <w:rsid w:val="00534C05"/>
    <w:rsid w:val="00534D67"/>
    <w:rsid w:val="005350EE"/>
    <w:rsid w:val="00535186"/>
    <w:rsid w:val="00535243"/>
    <w:rsid w:val="0053524B"/>
    <w:rsid w:val="005353AB"/>
    <w:rsid w:val="00535436"/>
    <w:rsid w:val="005355AC"/>
    <w:rsid w:val="00535605"/>
    <w:rsid w:val="0053561E"/>
    <w:rsid w:val="00535865"/>
    <w:rsid w:val="005358BB"/>
    <w:rsid w:val="00535AB3"/>
    <w:rsid w:val="00536020"/>
    <w:rsid w:val="00536072"/>
    <w:rsid w:val="0053608F"/>
    <w:rsid w:val="00536117"/>
    <w:rsid w:val="0053618B"/>
    <w:rsid w:val="00536265"/>
    <w:rsid w:val="00536336"/>
    <w:rsid w:val="00536574"/>
    <w:rsid w:val="0053663A"/>
    <w:rsid w:val="00536648"/>
    <w:rsid w:val="0053666B"/>
    <w:rsid w:val="005366E0"/>
    <w:rsid w:val="0053670B"/>
    <w:rsid w:val="005367DF"/>
    <w:rsid w:val="00536A03"/>
    <w:rsid w:val="00536AE7"/>
    <w:rsid w:val="00536BFD"/>
    <w:rsid w:val="00536CAB"/>
    <w:rsid w:val="00536D16"/>
    <w:rsid w:val="00536DD5"/>
    <w:rsid w:val="005370A3"/>
    <w:rsid w:val="005370BC"/>
    <w:rsid w:val="005371D1"/>
    <w:rsid w:val="00537345"/>
    <w:rsid w:val="00537541"/>
    <w:rsid w:val="00537687"/>
    <w:rsid w:val="00537782"/>
    <w:rsid w:val="0053779F"/>
    <w:rsid w:val="005379F2"/>
    <w:rsid w:val="00537ADA"/>
    <w:rsid w:val="00537D86"/>
    <w:rsid w:val="00537DC2"/>
    <w:rsid w:val="00537DF0"/>
    <w:rsid w:val="00537E77"/>
    <w:rsid w:val="00537F27"/>
    <w:rsid w:val="00537FF5"/>
    <w:rsid w:val="00540016"/>
    <w:rsid w:val="0054006A"/>
    <w:rsid w:val="00540237"/>
    <w:rsid w:val="00540239"/>
    <w:rsid w:val="00540263"/>
    <w:rsid w:val="0054030C"/>
    <w:rsid w:val="00540419"/>
    <w:rsid w:val="00540457"/>
    <w:rsid w:val="005404EC"/>
    <w:rsid w:val="0054053F"/>
    <w:rsid w:val="00540575"/>
    <w:rsid w:val="005405A9"/>
    <w:rsid w:val="00540614"/>
    <w:rsid w:val="00540619"/>
    <w:rsid w:val="00540729"/>
    <w:rsid w:val="00540A29"/>
    <w:rsid w:val="00540B82"/>
    <w:rsid w:val="00541033"/>
    <w:rsid w:val="005410B8"/>
    <w:rsid w:val="005411AC"/>
    <w:rsid w:val="005412E8"/>
    <w:rsid w:val="005413AD"/>
    <w:rsid w:val="005413E8"/>
    <w:rsid w:val="00541483"/>
    <w:rsid w:val="0054148A"/>
    <w:rsid w:val="0054156F"/>
    <w:rsid w:val="0054157A"/>
    <w:rsid w:val="005415CA"/>
    <w:rsid w:val="005416EA"/>
    <w:rsid w:val="0054174A"/>
    <w:rsid w:val="005417DB"/>
    <w:rsid w:val="005417F3"/>
    <w:rsid w:val="0054181D"/>
    <w:rsid w:val="00541824"/>
    <w:rsid w:val="005419B1"/>
    <w:rsid w:val="005419D1"/>
    <w:rsid w:val="00541A37"/>
    <w:rsid w:val="00541AB1"/>
    <w:rsid w:val="00541B01"/>
    <w:rsid w:val="00541BAC"/>
    <w:rsid w:val="00541C5C"/>
    <w:rsid w:val="00541DDB"/>
    <w:rsid w:val="00541E3C"/>
    <w:rsid w:val="00541E8C"/>
    <w:rsid w:val="00542097"/>
    <w:rsid w:val="00542225"/>
    <w:rsid w:val="0054228E"/>
    <w:rsid w:val="005422DC"/>
    <w:rsid w:val="005424BB"/>
    <w:rsid w:val="005428A7"/>
    <w:rsid w:val="005429B2"/>
    <w:rsid w:val="005429CC"/>
    <w:rsid w:val="00542A35"/>
    <w:rsid w:val="00542A6A"/>
    <w:rsid w:val="00542A91"/>
    <w:rsid w:val="00542AB5"/>
    <w:rsid w:val="00542D3F"/>
    <w:rsid w:val="00542D4C"/>
    <w:rsid w:val="00542E20"/>
    <w:rsid w:val="00542E64"/>
    <w:rsid w:val="00542EEA"/>
    <w:rsid w:val="00542F18"/>
    <w:rsid w:val="00542FBB"/>
    <w:rsid w:val="00543024"/>
    <w:rsid w:val="0054336E"/>
    <w:rsid w:val="005433DB"/>
    <w:rsid w:val="00543456"/>
    <w:rsid w:val="0054375B"/>
    <w:rsid w:val="005437E6"/>
    <w:rsid w:val="0054380F"/>
    <w:rsid w:val="005438AD"/>
    <w:rsid w:val="00543939"/>
    <w:rsid w:val="00543A1D"/>
    <w:rsid w:val="00543A86"/>
    <w:rsid w:val="00543AC2"/>
    <w:rsid w:val="00543BA2"/>
    <w:rsid w:val="00543CE5"/>
    <w:rsid w:val="00543E0E"/>
    <w:rsid w:val="00543E6B"/>
    <w:rsid w:val="00543F7D"/>
    <w:rsid w:val="005440EA"/>
    <w:rsid w:val="005440F5"/>
    <w:rsid w:val="005440FE"/>
    <w:rsid w:val="0054426D"/>
    <w:rsid w:val="00544282"/>
    <w:rsid w:val="005442CF"/>
    <w:rsid w:val="00544344"/>
    <w:rsid w:val="005443A6"/>
    <w:rsid w:val="005444AD"/>
    <w:rsid w:val="0054456E"/>
    <w:rsid w:val="005447CF"/>
    <w:rsid w:val="00544AD8"/>
    <w:rsid w:val="00544B35"/>
    <w:rsid w:val="00544C70"/>
    <w:rsid w:val="00544C78"/>
    <w:rsid w:val="00544D30"/>
    <w:rsid w:val="00544F58"/>
    <w:rsid w:val="00544F7C"/>
    <w:rsid w:val="00544FAC"/>
    <w:rsid w:val="00545088"/>
    <w:rsid w:val="005451BC"/>
    <w:rsid w:val="00545245"/>
    <w:rsid w:val="00545259"/>
    <w:rsid w:val="0054533D"/>
    <w:rsid w:val="00545370"/>
    <w:rsid w:val="00545415"/>
    <w:rsid w:val="0054544F"/>
    <w:rsid w:val="005455A8"/>
    <w:rsid w:val="00545978"/>
    <w:rsid w:val="00545C46"/>
    <w:rsid w:val="00545F1B"/>
    <w:rsid w:val="00545F28"/>
    <w:rsid w:val="00545F3F"/>
    <w:rsid w:val="00545FE0"/>
    <w:rsid w:val="00546037"/>
    <w:rsid w:val="00546054"/>
    <w:rsid w:val="00546078"/>
    <w:rsid w:val="0054610D"/>
    <w:rsid w:val="0054618E"/>
    <w:rsid w:val="005462B6"/>
    <w:rsid w:val="0054634D"/>
    <w:rsid w:val="005463AE"/>
    <w:rsid w:val="005463E7"/>
    <w:rsid w:val="00546449"/>
    <w:rsid w:val="005464FB"/>
    <w:rsid w:val="00546540"/>
    <w:rsid w:val="005465D5"/>
    <w:rsid w:val="0054667F"/>
    <w:rsid w:val="00546699"/>
    <w:rsid w:val="00546782"/>
    <w:rsid w:val="005467EF"/>
    <w:rsid w:val="00546947"/>
    <w:rsid w:val="0054694A"/>
    <w:rsid w:val="00546B39"/>
    <w:rsid w:val="00546B70"/>
    <w:rsid w:val="00546B7F"/>
    <w:rsid w:val="00546BC9"/>
    <w:rsid w:val="00546CB6"/>
    <w:rsid w:val="00546D53"/>
    <w:rsid w:val="00546E35"/>
    <w:rsid w:val="00546F69"/>
    <w:rsid w:val="00546FC1"/>
    <w:rsid w:val="0054723F"/>
    <w:rsid w:val="00547269"/>
    <w:rsid w:val="00547448"/>
    <w:rsid w:val="0054766C"/>
    <w:rsid w:val="005476E4"/>
    <w:rsid w:val="0054777F"/>
    <w:rsid w:val="005477FA"/>
    <w:rsid w:val="005478A3"/>
    <w:rsid w:val="005479A6"/>
    <w:rsid w:val="00547A06"/>
    <w:rsid w:val="00547D2F"/>
    <w:rsid w:val="00547E53"/>
    <w:rsid w:val="00547E54"/>
    <w:rsid w:val="00547E7E"/>
    <w:rsid w:val="00547F97"/>
    <w:rsid w:val="00547FD7"/>
    <w:rsid w:val="0055003A"/>
    <w:rsid w:val="00550083"/>
    <w:rsid w:val="005500C3"/>
    <w:rsid w:val="00550120"/>
    <w:rsid w:val="00550163"/>
    <w:rsid w:val="005501DC"/>
    <w:rsid w:val="00550286"/>
    <w:rsid w:val="00550300"/>
    <w:rsid w:val="0055044C"/>
    <w:rsid w:val="00550480"/>
    <w:rsid w:val="00550679"/>
    <w:rsid w:val="005508BF"/>
    <w:rsid w:val="00550B0C"/>
    <w:rsid w:val="00550C9A"/>
    <w:rsid w:val="00550D35"/>
    <w:rsid w:val="00550EC0"/>
    <w:rsid w:val="00550EF7"/>
    <w:rsid w:val="00550F24"/>
    <w:rsid w:val="005510CE"/>
    <w:rsid w:val="00551131"/>
    <w:rsid w:val="00551203"/>
    <w:rsid w:val="00551206"/>
    <w:rsid w:val="00551255"/>
    <w:rsid w:val="0055143F"/>
    <w:rsid w:val="005514CA"/>
    <w:rsid w:val="00551502"/>
    <w:rsid w:val="005515EE"/>
    <w:rsid w:val="00551723"/>
    <w:rsid w:val="0055172B"/>
    <w:rsid w:val="00551B46"/>
    <w:rsid w:val="00551B5F"/>
    <w:rsid w:val="00551B97"/>
    <w:rsid w:val="00551DA2"/>
    <w:rsid w:val="00551E97"/>
    <w:rsid w:val="00552007"/>
    <w:rsid w:val="00552032"/>
    <w:rsid w:val="0055232B"/>
    <w:rsid w:val="005525C0"/>
    <w:rsid w:val="00552604"/>
    <w:rsid w:val="00552827"/>
    <w:rsid w:val="00552844"/>
    <w:rsid w:val="005528F7"/>
    <w:rsid w:val="0055290B"/>
    <w:rsid w:val="005529DD"/>
    <w:rsid w:val="00552AA0"/>
    <w:rsid w:val="00552BAC"/>
    <w:rsid w:val="00552C92"/>
    <w:rsid w:val="00552CF4"/>
    <w:rsid w:val="00552CFD"/>
    <w:rsid w:val="00552E6B"/>
    <w:rsid w:val="00552ED5"/>
    <w:rsid w:val="005532AF"/>
    <w:rsid w:val="005533B2"/>
    <w:rsid w:val="0055340D"/>
    <w:rsid w:val="005534F4"/>
    <w:rsid w:val="00553514"/>
    <w:rsid w:val="0055373D"/>
    <w:rsid w:val="005538FD"/>
    <w:rsid w:val="005539C6"/>
    <w:rsid w:val="00553A1C"/>
    <w:rsid w:val="00553B11"/>
    <w:rsid w:val="00553BA2"/>
    <w:rsid w:val="00553D8B"/>
    <w:rsid w:val="00553EC4"/>
    <w:rsid w:val="00553F2C"/>
    <w:rsid w:val="00553FF2"/>
    <w:rsid w:val="005540AC"/>
    <w:rsid w:val="0055417C"/>
    <w:rsid w:val="00554288"/>
    <w:rsid w:val="00554289"/>
    <w:rsid w:val="005542C0"/>
    <w:rsid w:val="005542F4"/>
    <w:rsid w:val="00554326"/>
    <w:rsid w:val="005544B5"/>
    <w:rsid w:val="0055454F"/>
    <w:rsid w:val="0055464E"/>
    <w:rsid w:val="0055469C"/>
    <w:rsid w:val="0055472E"/>
    <w:rsid w:val="005547B2"/>
    <w:rsid w:val="005547DE"/>
    <w:rsid w:val="005548F4"/>
    <w:rsid w:val="00554B37"/>
    <w:rsid w:val="00554B80"/>
    <w:rsid w:val="00554C4F"/>
    <w:rsid w:val="00554D31"/>
    <w:rsid w:val="00554EF7"/>
    <w:rsid w:val="00554FA5"/>
    <w:rsid w:val="0055512F"/>
    <w:rsid w:val="005552B2"/>
    <w:rsid w:val="00555330"/>
    <w:rsid w:val="0055542C"/>
    <w:rsid w:val="00555433"/>
    <w:rsid w:val="0055548C"/>
    <w:rsid w:val="005556F6"/>
    <w:rsid w:val="00555810"/>
    <w:rsid w:val="0055595F"/>
    <w:rsid w:val="00555B43"/>
    <w:rsid w:val="00555B5B"/>
    <w:rsid w:val="00555BE4"/>
    <w:rsid w:val="00555BEB"/>
    <w:rsid w:val="00555C26"/>
    <w:rsid w:val="00555DBD"/>
    <w:rsid w:val="00555EB2"/>
    <w:rsid w:val="00555FD5"/>
    <w:rsid w:val="005561C5"/>
    <w:rsid w:val="00556209"/>
    <w:rsid w:val="00556270"/>
    <w:rsid w:val="00556452"/>
    <w:rsid w:val="005566ED"/>
    <w:rsid w:val="005567EC"/>
    <w:rsid w:val="005567FF"/>
    <w:rsid w:val="005569EB"/>
    <w:rsid w:val="00556B6B"/>
    <w:rsid w:val="00556BAD"/>
    <w:rsid w:val="00556C4C"/>
    <w:rsid w:val="00556CC1"/>
    <w:rsid w:val="00556D3B"/>
    <w:rsid w:val="00556E09"/>
    <w:rsid w:val="005570E1"/>
    <w:rsid w:val="0055719B"/>
    <w:rsid w:val="005571B8"/>
    <w:rsid w:val="00557202"/>
    <w:rsid w:val="00557232"/>
    <w:rsid w:val="005575C7"/>
    <w:rsid w:val="005577BF"/>
    <w:rsid w:val="005577DF"/>
    <w:rsid w:val="0055793D"/>
    <w:rsid w:val="00557B71"/>
    <w:rsid w:val="00557BC7"/>
    <w:rsid w:val="00557C32"/>
    <w:rsid w:val="00557DB8"/>
    <w:rsid w:val="00557E5D"/>
    <w:rsid w:val="00557EE8"/>
    <w:rsid w:val="00560046"/>
    <w:rsid w:val="005601A3"/>
    <w:rsid w:val="005604B3"/>
    <w:rsid w:val="00560580"/>
    <w:rsid w:val="00560629"/>
    <w:rsid w:val="00560637"/>
    <w:rsid w:val="005606BF"/>
    <w:rsid w:val="00560708"/>
    <w:rsid w:val="00560886"/>
    <w:rsid w:val="0056090C"/>
    <w:rsid w:val="0056093C"/>
    <w:rsid w:val="00560B12"/>
    <w:rsid w:val="00560B8B"/>
    <w:rsid w:val="00560C3C"/>
    <w:rsid w:val="00560D79"/>
    <w:rsid w:val="00560D7E"/>
    <w:rsid w:val="00560E28"/>
    <w:rsid w:val="0056104D"/>
    <w:rsid w:val="005610FE"/>
    <w:rsid w:val="005611C9"/>
    <w:rsid w:val="0056143E"/>
    <w:rsid w:val="00561499"/>
    <w:rsid w:val="005614E3"/>
    <w:rsid w:val="00561527"/>
    <w:rsid w:val="005615DB"/>
    <w:rsid w:val="0056163B"/>
    <w:rsid w:val="00561649"/>
    <w:rsid w:val="0056165F"/>
    <w:rsid w:val="005616A3"/>
    <w:rsid w:val="005616FE"/>
    <w:rsid w:val="005617CF"/>
    <w:rsid w:val="00561808"/>
    <w:rsid w:val="00561840"/>
    <w:rsid w:val="00561991"/>
    <w:rsid w:val="00561993"/>
    <w:rsid w:val="00561B39"/>
    <w:rsid w:val="00561D38"/>
    <w:rsid w:val="00561E4B"/>
    <w:rsid w:val="00561F43"/>
    <w:rsid w:val="0056203B"/>
    <w:rsid w:val="005620BC"/>
    <w:rsid w:val="00562174"/>
    <w:rsid w:val="00562194"/>
    <w:rsid w:val="00562198"/>
    <w:rsid w:val="0056228D"/>
    <w:rsid w:val="00562442"/>
    <w:rsid w:val="005624A0"/>
    <w:rsid w:val="00562609"/>
    <w:rsid w:val="00562672"/>
    <w:rsid w:val="00562784"/>
    <w:rsid w:val="00562884"/>
    <w:rsid w:val="005628F4"/>
    <w:rsid w:val="00562ACF"/>
    <w:rsid w:val="00562C21"/>
    <w:rsid w:val="00562E92"/>
    <w:rsid w:val="00562F33"/>
    <w:rsid w:val="00562F7E"/>
    <w:rsid w:val="0056317E"/>
    <w:rsid w:val="005632CB"/>
    <w:rsid w:val="00563308"/>
    <w:rsid w:val="00563498"/>
    <w:rsid w:val="005634D1"/>
    <w:rsid w:val="0056356F"/>
    <w:rsid w:val="00563587"/>
    <w:rsid w:val="005635A3"/>
    <w:rsid w:val="005635B3"/>
    <w:rsid w:val="005636F9"/>
    <w:rsid w:val="00563746"/>
    <w:rsid w:val="005638C4"/>
    <w:rsid w:val="00563A14"/>
    <w:rsid w:val="00563C12"/>
    <w:rsid w:val="00563D3E"/>
    <w:rsid w:val="00563DCE"/>
    <w:rsid w:val="00563E7A"/>
    <w:rsid w:val="00563EA2"/>
    <w:rsid w:val="005640FF"/>
    <w:rsid w:val="00564108"/>
    <w:rsid w:val="00564130"/>
    <w:rsid w:val="00564135"/>
    <w:rsid w:val="005642D1"/>
    <w:rsid w:val="00564356"/>
    <w:rsid w:val="005643E9"/>
    <w:rsid w:val="00564460"/>
    <w:rsid w:val="00564479"/>
    <w:rsid w:val="00564518"/>
    <w:rsid w:val="00564638"/>
    <w:rsid w:val="005647DE"/>
    <w:rsid w:val="005647F7"/>
    <w:rsid w:val="00564A11"/>
    <w:rsid w:val="00564ABF"/>
    <w:rsid w:val="00564AD2"/>
    <w:rsid w:val="00564BDF"/>
    <w:rsid w:val="00564DF6"/>
    <w:rsid w:val="00564E50"/>
    <w:rsid w:val="00564F8F"/>
    <w:rsid w:val="00565145"/>
    <w:rsid w:val="00565154"/>
    <w:rsid w:val="00565174"/>
    <w:rsid w:val="005651EE"/>
    <w:rsid w:val="005652C6"/>
    <w:rsid w:val="005652D9"/>
    <w:rsid w:val="00565432"/>
    <w:rsid w:val="0056543F"/>
    <w:rsid w:val="0056552E"/>
    <w:rsid w:val="005655D6"/>
    <w:rsid w:val="00565614"/>
    <w:rsid w:val="00565678"/>
    <w:rsid w:val="005658F7"/>
    <w:rsid w:val="00565B81"/>
    <w:rsid w:val="00565C1B"/>
    <w:rsid w:val="00565DDE"/>
    <w:rsid w:val="00565DF1"/>
    <w:rsid w:val="00565E9D"/>
    <w:rsid w:val="005660B4"/>
    <w:rsid w:val="005660E1"/>
    <w:rsid w:val="00566283"/>
    <w:rsid w:val="00566381"/>
    <w:rsid w:val="00566655"/>
    <w:rsid w:val="0056666B"/>
    <w:rsid w:val="0056668C"/>
    <w:rsid w:val="005667B1"/>
    <w:rsid w:val="005667BC"/>
    <w:rsid w:val="0056684D"/>
    <w:rsid w:val="00566C5D"/>
    <w:rsid w:val="00566D91"/>
    <w:rsid w:val="00566E01"/>
    <w:rsid w:val="00566F0D"/>
    <w:rsid w:val="00566FB0"/>
    <w:rsid w:val="005670AF"/>
    <w:rsid w:val="005670C5"/>
    <w:rsid w:val="005671E0"/>
    <w:rsid w:val="0056737D"/>
    <w:rsid w:val="0056747E"/>
    <w:rsid w:val="00567526"/>
    <w:rsid w:val="0056792F"/>
    <w:rsid w:val="00567C02"/>
    <w:rsid w:val="00567DFF"/>
    <w:rsid w:val="00570025"/>
    <w:rsid w:val="005700B9"/>
    <w:rsid w:val="005700D1"/>
    <w:rsid w:val="005702CE"/>
    <w:rsid w:val="00570424"/>
    <w:rsid w:val="005705A6"/>
    <w:rsid w:val="005705AF"/>
    <w:rsid w:val="00570649"/>
    <w:rsid w:val="005706A0"/>
    <w:rsid w:val="00570754"/>
    <w:rsid w:val="0057099B"/>
    <w:rsid w:val="005709BE"/>
    <w:rsid w:val="00570ACF"/>
    <w:rsid w:val="00570D4F"/>
    <w:rsid w:val="00570D91"/>
    <w:rsid w:val="00570E34"/>
    <w:rsid w:val="00570E6C"/>
    <w:rsid w:val="00570EEC"/>
    <w:rsid w:val="00570F13"/>
    <w:rsid w:val="005711DA"/>
    <w:rsid w:val="005712AB"/>
    <w:rsid w:val="0057139E"/>
    <w:rsid w:val="00571441"/>
    <w:rsid w:val="005714A8"/>
    <w:rsid w:val="00571563"/>
    <w:rsid w:val="00571596"/>
    <w:rsid w:val="005715AA"/>
    <w:rsid w:val="005718C8"/>
    <w:rsid w:val="00571A15"/>
    <w:rsid w:val="00571A84"/>
    <w:rsid w:val="00571CCE"/>
    <w:rsid w:val="00571D98"/>
    <w:rsid w:val="00571DD3"/>
    <w:rsid w:val="00571E51"/>
    <w:rsid w:val="00571FE9"/>
    <w:rsid w:val="00572134"/>
    <w:rsid w:val="00572153"/>
    <w:rsid w:val="0057225E"/>
    <w:rsid w:val="0057236E"/>
    <w:rsid w:val="00572410"/>
    <w:rsid w:val="00572483"/>
    <w:rsid w:val="005724AC"/>
    <w:rsid w:val="005724CD"/>
    <w:rsid w:val="00572580"/>
    <w:rsid w:val="00572608"/>
    <w:rsid w:val="00572656"/>
    <w:rsid w:val="005726CA"/>
    <w:rsid w:val="00572785"/>
    <w:rsid w:val="005729C1"/>
    <w:rsid w:val="00572B48"/>
    <w:rsid w:val="00572B4D"/>
    <w:rsid w:val="00572C89"/>
    <w:rsid w:val="00572CF5"/>
    <w:rsid w:val="00572EF0"/>
    <w:rsid w:val="00572F13"/>
    <w:rsid w:val="00572F4D"/>
    <w:rsid w:val="00573256"/>
    <w:rsid w:val="005733D1"/>
    <w:rsid w:val="005733D8"/>
    <w:rsid w:val="00573495"/>
    <w:rsid w:val="00573515"/>
    <w:rsid w:val="00573528"/>
    <w:rsid w:val="005737C8"/>
    <w:rsid w:val="00573B25"/>
    <w:rsid w:val="00573BE8"/>
    <w:rsid w:val="00573D76"/>
    <w:rsid w:val="00573E75"/>
    <w:rsid w:val="00573EC9"/>
    <w:rsid w:val="0057419F"/>
    <w:rsid w:val="00574219"/>
    <w:rsid w:val="005742A0"/>
    <w:rsid w:val="005742A5"/>
    <w:rsid w:val="00574353"/>
    <w:rsid w:val="0057438A"/>
    <w:rsid w:val="005743AB"/>
    <w:rsid w:val="00574565"/>
    <w:rsid w:val="005747CF"/>
    <w:rsid w:val="005749B5"/>
    <w:rsid w:val="00574A33"/>
    <w:rsid w:val="00574A9C"/>
    <w:rsid w:val="00574BAB"/>
    <w:rsid w:val="00574C3D"/>
    <w:rsid w:val="00574C43"/>
    <w:rsid w:val="00574C65"/>
    <w:rsid w:val="00574DF2"/>
    <w:rsid w:val="00574F8B"/>
    <w:rsid w:val="00575559"/>
    <w:rsid w:val="0057562E"/>
    <w:rsid w:val="00575632"/>
    <w:rsid w:val="005757E6"/>
    <w:rsid w:val="00575B5C"/>
    <w:rsid w:val="00575CA1"/>
    <w:rsid w:val="00575D8F"/>
    <w:rsid w:val="00575E00"/>
    <w:rsid w:val="00575E03"/>
    <w:rsid w:val="00575E66"/>
    <w:rsid w:val="00575E75"/>
    <w:rsid w:val="00575FE8"/>
    <w:rsid w:val="00576042"/>
    <w:rsid w:val="005761A5"/>
    <w:rsid w:val="005762E9"/>
    <w:rsid w:val="00576317"/>
    <w:rsid w:val="005763AC"/>
    <w:rsid w:val="0057643A"/>
    <w:rsid w:val="005764F9"/>
    <w:rsid w:val="00576503"/>
    <w:rsid w:val="005766BB"/>
    <w:rsid w:val="0057673A"/>
    <w:rsid w:val="00576751"/>
    <w:rsid w:val="00576802"/>
    <w:rsid w:val="00576804"/>
    <w:rsid w:val="00576858"/>
    <w:rsid w:val="005769A1"/>
    <w:rsid w:val="00576BC9"/>
    <w:rsid w:val="00576CA1"/>
    <w:rsid w:val="00576D39"/>
    <w:rsid w:val="00576DB5"/>
    <w:rsid w:val="00576F95"/>
    <w:rsid w:val="00577066"/>
    <w:rsid w:val="0057713F"/>
    <w:rsid w:val="005771BC"/>
    <w:rsid w:val="00577327"/>
    <w:rsid w:val="00577342"/>
    <w:rsid w:val="00577434"/>
    <w:rsid w:val="00577449"/>
    <w:rsid w:val="0057761F"/>
    <w:rsid w:val="00577756"/>
    <w:rsid w:val="0057775E"/>
    <w:rsid w:val="00577994"/>
    <w:rsid w:val="005779D6"/>
    <w:rsid w:val="00577A90"/>
    <w:rsid w:val="00577AB6"/>
    <w:rsid w:val="00577AFD"/>
    <w:rsid w:val="00577AFE"/>
    <w:rsid w:val="00577C0F"/>
    <w:rsid w:val="00577D15"/>
    <w:rsid w:val="00577E0B"/>
    <w:rsid w:val="00577E93"/>
    <w:rsid w:val="00577EC3"/>
    <w:rsid w:val="00577F0F"/>
    <w:rsid w:val="00580061"/>
    <w:rsid w:val="0058008D"/>
    <w:rsid w:val="005800B8"/>
    <w:rsid w:val="005802ED"/>
    <w:rsid w:val="00580434"/>
    <w:rsid w:val="005806AB"/>
    <w:rsid w:val="005806FA"/>
    <w:rsid w:val="00580731"/>
    <w:rsid w:val="005807AF"/>
    <w:rsid w:val="00580862"/>
    <w:rsid w:val="005808C8"/>
    <w:rsid w:val="0058090B"/>
    <w:rsid w:val="005809DB"/>
    <w:rsid w:val="00580AD8"/>
    <w:rsid w:val="00580D16"/>
    <w:rsid w:val="00580D72"/>
    <w:rsid w:val="00580E4F"/>
    <w:rsid w:val="00580F5E"/>
    <w:rsid w:val="00580F7F"/>
    <w:rsid w:val="00580F88"/>
    <w:rsid w:val="0058106D"/>
    <w:rsid w:val="005810B5"/>
    <w:rsid w:val="005811ED"/>
    <w:rsid w:val="0058121D"/>
    <w:rsid w:val="005812A0"/>
    <w:rsid w:val="005812CE"/>
    <w:rsid w:val="005813D3"/>
    <w:rsid w:val="005814B8"/>
    <w:rsid w:val="0058159E"/>
    <w:rsid w:val="0058167F"/>
    <w:rsid w:val="005816BC"/>
    <w:rsid w:val="005818F1"/>
    <w:rsid w:val="005819DE"/>
    <w:rsid w:val="00581A04"/>
    <w:rsid w:val="00581A75"/>
    <w:rsid w:val="00581ACA"/>
    <w:rsid w:val="00581B07"/>
    <w:rsid w:val="00581B28"/>
    <w:rsid w:val="00581D3D"/>
    <w:rsid w:val="00581D75"/>
    <w:rsid w:val="00581E3E"/>
    <w:rsid w:val="00582168"/>
    <w:rsid w:val="0058257E"/>
    <w:rsid w:val="0058257F"/>
    <w:rsid w:val="0058266A"/>
    <w:rsid w:val="005826D6"/>
    <w:rsid w:val="005827CE"/>
    <w:rsid w:val="00582ACA"/>
    <w:rsid w:val="00582C8C"/>
    <w:rsid w:val="00582DC3"/>
    <w:rsid w:val="00582E2F"/>
    <w:rsid w:val="00582F83"/>
    <w:rsid w:val="00583031"/>
    <w:rsid w:val="00583033"/>
    <w:rsid w:val="0058319E"/>
    <w:rsid w:val="0058325F"/>
    <w:rsid w:val="0058331B"/>
    <w:rsid w:val="00583385"/>
    <w:rsid w:val="00583458"/>
    <w:rsid w:val="005836D0"/>
    <w:rsid w:val="0058374E"/>
    <w:rsid w:val="00583772"/>
    <w:rsid w:val="005837FB"/>
    <w:rsid w:val="00583BBB"/>
    <w:rsid w:val="00583C97"/>
    <w:rsid w:val="0058400A"/>
    <w:rsid w:val="00584032"/>
    <w:rsid w:val="00584220"/>
    <w:rsid w:val="0058443B"/>
    <w:rsid w:val="005844E4"/>
    <w:rsid w:val="00584543"/>
    <w:rsid w:val="005846A5"/>
    <w:rsid w:val="005846D9"/>
    <w:rsid w:val="00584791"/>
    <w:rsid w:val="005847D1"/>
    <w:rsid w:val="00584822"/>
    <w:rsid w:val="005848EB"/>
    <w:rsid w:val="00584A1B"/>
    <w:rsid w:val="00584AB4"/>
    <w:rsid w:val="00584BF2"/>
    <w:rsid w:val="00584D0B"/>
    <w:rsid w:val="00584D86"/>
    <w:rsid w:val="00584E44"/>
    <w:rsid w:val="00585118"/>
    <w:rsid w:val="0058523E"/>
    <w:rsid w:val="00585326"/>
    <w:rsid w:val="005853C7"/>
    <w:rsid w:val="0058559A"/>
    <w:rsid w:val="005855AA"/>
    <w:rsid w:val="005855DE"/>
    <w:rsid w:val="00585634"/>
    <w:rsid w:val="00585732"/>
    <w:rsid w:val="005859F9"/>
    <w:rsid w:val="00585C72"/>
    <w:rsid w:val="00585C8B"/>
    <w:rsid w:val="00585E1A"/>
    <w:rsid w:val="00585E24"/>
    <w:rsid w:val="00585E8B"/>
    <w:rsid w:val="005863EE"/>
    <w:rsid w:val="00586452"/>
    <w:rsid w:val="005864E1"/>
    <w:rsid w:val="005864F7"/>
    <w:rsid w:val="0058653A"/>
    <w:rsid w:val="00586679"/>
    <w:rsid w:val="005866EE"/>
    <w:rsid w:val="005866F8"/>
    <w:rsid w:val="0058698B"/>
    <w:rsid w:val="00586A22"/>
    <w:rsid w:val="00586B8A"/>
    <w:rsid w:val="00586B8C"/>
    <w:rsid w:val="00586C6D"/>
    <w:rsid w:val="00586E47"/>
    <w:rsid w:val="00586E82"/>
    <w:rsid w:val="00586EB6"/>
    <w:rsid w:val="00586F8A"/>
    <w:rsid w:val="00586F8C"/>
    <w:rsid w:val="0058702A"/>
    <w:rsid w:val="00587082"/>
    <w:rsid w:val="0058716B"/>
    <w:rsid w:val="005871A8"/>
    <w:rsid w:val="00587207"/>
    <w:rsid w:val="0058742C"/>
    <w:rsid w:val="0058743A"/>
    <w:rsid w:val="00587582"/>
    <w:rsid w:val="005875EC"/>
    <w:rsid w:val="00587616"/>
    <w:rsid w:val="0058765B"/>
    <w:rsid w:val="005876B0"/>
    <w:rsid w:val="0058777F"/>
    <w:rsid w:val="00587797"/>
    <w:rsid w:val="0058789E"/>
    <w:rsid w:val="00587A55"/>
    <w:rsid w:val="00587C9C"/>
    <w:rsid w:val="00587EFE"/>
    <w:rsid w:val="00587F81"/>
    <w:rsid w:val="0058F149"/>
    <w:rsid w:val="005906EA"/>
    <w:rsid w:val="0059071C"/>
    <w:rsid w:val="00591105"/>
    <w:rsid w:val="005913D5"/>
    <w:rsid w:val="00591453"/>
    <w:rsid w:val="005915F2"/>
    <w:rsid w:val="005916AE"/>
    <w:rsid w:val="005916F1"/>
    <w:rsid w:val="005918CF"/>
    <w:rsid w:val="005918F7"/>
    <w:rsid w:val="00591926"/>
    <w:rsid w:val="00591A43"/>
    <w:rsid w:val="00591BE0"/>
    <w:rsid w:val="00591C15"/>
    <w:rsid w:val="00591C4B"/>
    <w:rsid w:val="00591C59"/>
    <w:rsid w:val="00591DC2"/>
    <w:rsid w:val="00591DE8"/>
    <w:rsid w:val="00591DE9"/>
    <w:rsid w:val="00591F57"/>
    <w:rsid w:val="00592111"/>
    <w:rsid w:val="005923E5"/>
    <w:rsid w:val="00592411"/>
    <w:rsid w:val="00592444"/>
    <w:rsid w:val="005927DC"/>
    <w:rsid w:val="00592917"/>
    <w:rsid w:val="00592AC4"/>
    <w:rsid w:val="00592D26"/>
    <w:rsid w:val="00592D73"/>
    <w:rsid w:val="00592D8A"/>
    <w:rsid w:val="00592D8D"/>
    <w:rsid w:val="00592E3E"/>
    <w:rsid w:val="00592FC0"/>
    <w:rsid w:val="00593051"/>
    <w:rsid w:val="005930B7"/>
    <w:rsid w:val="00593598"/>
    <w:rsid w:val="00593601"/>
    <w:rsid w:val="005937E2"/>
    <w:rsid w:val="0059396A"/>
    <w:rsid w:val="00593A76"/>
    <w:rsid w:val="00593A88"/>
    <w:rsid w:val="00593C5C"/>
    <w:rsid w:val="00593D92"/>
    <w:rsid w:val="00593E7D"/>
    <w:rsid w:val="00594012"/>
    <w:rsid w:val="00594030"/>
    <w:rsid w:val="00594078"/>
    <w:rsid w:val="005942D7"/>
    <w:rsid w:val="00594321"/>
    <w:rsid w:val="00594383"/>
    <w:rsid w:val="005943F4"/>
    <w:rsid w:val="0059440C"/>
    <w:rsid w:val="00594425"/>
    <w:rsid w:val="0059443B"/>
    <w:rsid w:val="00594491"/>
    <w:rsid w:val="005945D0"/>
    <w:rsid w:val="00594B41"/>
    <w:rsid w:val="00594B67"/>
    <w:rsid w:val="00594B91"/>
    <w:rsid w:val="00594C22"/>
    <w:rsid w:val="00594C23"/>
    <w:rsid w:val="00594CAB"/>
    <w:rsid w:val="00594D33"/>
    <w:rsid w:val="00594E1E"/>
    <w:rsid w:val="00594E3F"/>
    <w:rsid w:val="00594EC8"/>
    <w:rsid w:val="0059519B"/>
    <w:rsid w:val="005951F0"/>
    <w:rsid w:val="00595454"/>
    <w:rsid w:val="0059581C"/>
    <w:rsid w:val="0059589E"/>
    <w:rsid w:val="00595906"/>
    <w:rsid w:val="005959DF"/>
    <w:rsid w:val="00595CB9"/>
    <w:rsid w:val="00595EA0"/>
    <w:rsid w:val="00595F01"/>
    <w:rsid w:val="00595F30"/>
    <w:rsid w:val="00595F51"/>
    <w:rsid w:val="00596006"/>
    <w:rsid w:val="00596125"/>
    <w:rsid w:val="0059619A"/>
    <w:rsid w:val="0059620F"/>
    <w:rsid w:val="00596318"/>
    <w:rsid w:val="00596377"/>
    <w:rsid w:val="00596643"/>
    <w:rsid w:val="00596702"/>
    <w:rsid w:val="00596933"/>
    <w:rsid w:val="00596959"/>
    <w:rsid w:val="00596C19"/>
    <w:rsid w:val="00596C93"/>
    <w:rsid w:val="00596E66"/>
    <w:rsid w:val="00596E69"/>
    <w:rsid w:val="00596FE4"/>
    <w:rsid w:val="0059710E"/>
    <w:rsid w:val="00597217"/>
    <w:rsid w:val="005972BC"/>
    <w:rsid w:val="005973B9"/>
    <w:rsid w:val="0059751B"/>
    <w:rsid w:val="0059757F"/>
    <w:rsid w:val="00597829"/>
    <w:rsid w:val="00597949"/>
    <w:rsid w:val="00597ACD"/>
    <w:rsid w:val="00597B19"/>
    <w:rsid w:val="00597C8E"/>
    <w:rsid w:val="00597E34"/>
    <w:rsid w:val="00597EDC"/>
    <w:rsid w:val="00597F41"/>
    <w:rsid w:val="005A0097"/>
    <w:rsid w:val="005A015F"/>
    <w:rsid w:val="005A0178"/>
    <w:rsid w:val="005A028F"/>
    <w:rsid w:val="005A03E4"/>
    <w:rsid w:val="005A0491"/>
    <w:rsid w:val="005A0552"/>
    <w:rsid w:val="005A0565"/>
    <w:rsid w:val="005A0692"/>
    <w:rsid w:val="005A06A8"/>
    <w:rsid w:val="005A06B8"/>
    <w:rsid w:val="005A08D5"/>
    <w:rsid w:val="005A0953"/>
    <w:rsid w:val="005A0B91"/>
    <w:rsid w:val="005A0C2D"/>
    <w:rsid w:val="005A0E0B"/>
    <w:rsid w:val="005A1176"/>
    <w:rsid w:val="005A1179"/>
    <w:rsid w:val="005A11D3"/>
    <w:rsid w:val="005A137D"/>
    <w:rsid w:val="005A17E5"/>
    <w:rsid w:val="005A1A56"/>
    <w:rsid w:val="005A1A6B"/>
    <w:rsid w:val="005A1B6E"/>
    <w:rsid w:val="005A1C10"/>
    <w:rsid w:val="005A1D0F"/>
    <w:rsid w:val="005A1E98"/>
    <w:rsid w:val="005A1EA8"/>
    <w:rsid w:val="005A21D1"/>
    <w:rsid w:val="005A23D2"/>
    <w:rsid w:val="005A2540"/>
    <w:rsid w:val="005A25D5"/>
    <w:rsid w:val="005A25FB"/>
    <w:rsid w:val="005A2689"/>
    <w:rsid w:val="005A2939"/>
    <w:rsid w:val="005A2965"/>
    <w:rsid w:val="005A2CFD"/>
    <w:rsid w:val="005A2D4D"/>
    <w:rsid w:val="005A2D6C"/>
    <w:rsid w:val="005A2E2A"/>
    <w:rsid w:val="005A2F2F"/>
    <w:rsid w:val="005A2F40"/>
    <w:rsid w:val="005A3079"/>
    <w:rsid w:val="005A3080"/>
    <w:rsid w:val="005A3162"/>
    <w:rsid w:val="005A32F6"/>
    <w:rsid w:val="005A3700"/>
    <w:rsid w:val="005A375E"/>
    <w:rsid w:val="005A37CA"/>
    <w:rsid w:val="005A3829"/>
    <w:rsid w:val="005A3845"/>
    <w:rsid w:val="005A3994"/>
    <w:rsid w:val="005A39E0"/>
    <w:rsid w:val="005A3AEF"/>
    <w:rsid w:val="005A3BD9"/>
    <w:rsid w:val="005A3C8B"/>
    <w:rsid w:val="005A3CFE"/>
    <w:rsid w:val="005A3EDF"/>
    <w:rsid w:val="005A3F25"/>
    <w:rsid w:val="005A3F9F"/>
    <w:rsid w:val="005A3FC1"/>
    <w:rsid w:val="005A3FC8"/>
    <w:rsid w:val="005A4576"/>
    <w:rsid w:val="005A4641"/>
    <w:rsid w:val="005A4865"/>
    <w:rsid w:val="005A4901"/>
    <w:rsid w:val="005A4979"/>
    <w:rsid w:val="005A4A62"/>
    <w:rsid w:val="005A4AF2"/>
    <w:rsid w:val="005A4BAC"/>
    <w:rsid w:val="005A4CE3"/>
    <w:rsid w:val="005A4D0C"/>
    <w:rsid w:val="005A4D7C"/>
    <w:rsid w:val="005A4E19"/>
    <w:rsid w:val="005A4FD2"/>
    <w:rsid w:val="005A51C2"/>
    <w:rsid w:val="005A532C"/>
    <w:rsid w:val="005A53AA"/>
    <w:rsid w:val="005A5532"/>
    <w:rsid w:val="005A582C"/>
    <w:rsid w:val="005A586C"/>
    <w:rsid w:val="005A5A06"/>
    <w:rsid w:val="005A5BA3"/>
    <w:rsid w:val="005A5D6F"/>
    <w:rsid w:val="005A5EBC"/>
    <w:rsid w:val="005A5EC4"/>
    <w:rsid w:val="005A5F8D"/>
    <w:rsid w:val="005A6000"/>
    <w:rsid w:val="005A6068"/>
    <w:rsid w:val="005A606F"/>
    <w:rsid w:val="005A6140"/>
    <w:rsid w:val="005A625F"/>
    <w:rsid w:val="005A62C6"/>
    <w:rsid w:val="005A6303"/>
    <w:rsid w:val="005A6668"/>
    <w:rsid w:val="005A6776"/>
    <w:rsid w:val="005A6809"/>
    <w:rsid w:val="005A68A7"/>
    <w:rsid w:val="005A6933"/>
    <w:rsid w:val="005A70C6"/>
    <w:rsid w:val="005A7199"/>
    <w:rsid w:val="005A71DC"/>
    <w:rsid w:val="005A73E4"/>
    <w:rsid w:val="005A7532"/>
    <w:rsid w:val="005A757F"/>
    <w:rsid w:val="005A75C4"/>
    <w:rsid w:val="005A770F"/>
    <w:rsid w:val="005A7724"/>
    <w:rsid w:val="005A7733"/>
    <w:rsid w:val="005A773D"/>
    <w:rsid w:val="005A79DE"/>
    <w:rsid w:val="005A7A77"/>
    <w:rsid w:val="005A7B9F"/>
    <w:rsid w:val="005A7CBC"/>
    <w:rsid w:val="005A7D44"/>
    <w:rsid w:val="005A7DB0"/>
    <w:rsid w:val="005B021A"/>
    <w:rsid w:val="005B0315"/>
    <w:rsid w:val="005B0767"/>
    <w:rsid w:val="005B08CD"/>
    <w:rsid w:val="005B0B5D"/>
    <w:rsid w:val="005B0CAC"/>
    <w:rsid w:val="005B0CC1"/>
    <w:rsid w:val="005B0D8F"/>
    <w:rsid w:val="005B1004"/>
    <w:rsid w:val="005B1132"/>
    <w:rsid w:val="005B1189"/>
    <w:rsid w:val="005B11E0"/>
    <w:rsid w:val="005B132E"/>
    <w:rsid w:val="005B1438"/>
    <w:rsid w:val="005B144A"/>
    <w:rsid w:val="005B1499"/>
    <w:rsid w:val="005B14DD"/>
    <w:rsid w:val="005B1511"/>
    <w:rsid w:val="005B1571"/>
    <w:rsid w:val="005B162E"/>
    <w:rsid w:val="005B1910"/>
    <w:rsid w:val="005B19DC"/>
    <w:rsid w:val="005B1A2A"/>
    <w:rsid w:val="005B1A7F"/>
    <w:rsid w:val="005B1ACF"/>
    <w:rsid w:val="005B1ADA"/>
    <w:rsid w:val="005B1B3E"/>
    <w:rsid w:val="005B1B98"/>
    <w:rsid w:val="005B1C0A"/>
    <w:rsid w:val="005B1D09"/>
    <w:rsid w:val="005B1D8D"/>
    <w:rsid w:val="005B1E39"/>
    <w:rsid w:val="005B1E58"/>
    <w:rsid w:val="005B1F37"/>
    <w:rsid w:val="005B1FE3"/>
    <w:rsid w:val="005B21AE"/>
    <w:rsid w:val="005B2318"/>
    <w:rsid w:val="005B23BB"/>
    <w:rsid w:val="005B2428"/>
    <w:rsid w:val="005B24C6"/>
    <w:rsid w:val="005B2516"/>
    <w:rsid w:val="005B25D5"/>
    <w:rsid w:val="005B25E7"/>
    <w:rsid w:val="005B2766"/>
    <w:rsid w:val="005B27A8"/>
    <w:rsid w:val="005B28B1"/>
    <w:rsid w:val="005B28C2"/>
    <w:rsid w:val="005B28F2"/>
    <w:rsid w:val="005B2910"/>
    <w:rsid w:val="005B2918"/>
    <w:rsid w:val="005B2AEE"/>
    <w:rsid w:val="005B2AF2"/>
    <w:rsid w:val="005B2BFD"/>
    <w:rsid w:val="005B2CDC"/>
    <w:rsid w:val="005B2CEC"/>
    <w:rsid w:val="005B2D7C"/>
    <w:rsid w:val="005B2DBE"/>
    <w:rsid w:val="005B2E4B"/>
    <w:rsid w:val="005B2F32"/>
    <w:rsid w:val="005B3005"/>
    <w:rsid w:val="005B314E"/>
    <w:rsid w:val="005B323A"/>
    <w:rsid w:val="005B327D"/>
    <w:rsid w:val="005B33D5"/>
    <w:rsid w:val="005B3675"/>
    <w:rsid w:val="005B36A5"/>
    <w:rsid w:val="005B36EC"/>
    <w:rsid w:val="005B383A"/>
    <w:rsid w:val="005B38CA"/>
    <w:rsid w:val="005B38CC"/>
    <w:rsid w:val="005B38D3"/>
    <w:rsid w:val="005B39F8"/>
    <w:rsid w:val="005B3ABE"/>
    <w:rsid w:val="005B3AC7"/>
    <w:rsid w:val="005B3AE7"/>
    <w:rsid w:val="005B3B02"/>
    <w:rsid w:val="005B3B5F"/>
    <w:rsid w:val="005B3C99"/>
    <w:rsid w:val="005B3D43"/>
    <w:rsid w:val="005B3D90"/>
    <w:rsid w:val="005B3DAE"/>
    <w:rsid w:val="005B3FA1"/>
    <w:rsid w:val="005B3FD5"/>
    <w:rsid w:val="005B3FF4"/>
    <w:rsid w:val="005B404F"/>
    <w:rsid w:val="005B45B3"/>
    <w:rsid w:val="005B45C7"/>
    <w:rsid w:val="005B4657"/>
    <w:rsid w:val="005B469F"/>
    <w:rsid w:val="005B4755"/>
    <w:rsid w:val="005B47D5"/>
    <w:rsid w:val="005B49B5"/>
    <w:rsid w:val="005B4A88"/>
    <w:rsid w:val="005B4BA1"/>
    <w:rsid w:val="005B4CA6"/>
    <w:rsid w:val="005B4DE8"/>
    <w:rsid w:val="005B4ED0"/>
    <w:rsid w:val="005B4F04"/>
    <w:rsid w:val="005B4FF0"/>
    <w:rsid w:val="005B5095"/>
    <w:rsid w:val="005B5232"/>
    <w:rsid w:val="005B538B"/>
    <w:rsid w:val="005B5603"/>
    <w:rsid w:val="005B569F"/>
    <w:rsid w:val="005B57F9"/>
    <w:rsid w:val="005B5A31"/>
    <w:rsid w:val="005B5ABE"/>
    <w:rsid w:val="005B5C40"/>
    <w:rsid w:val="005B5D95"/>
    <w:rsid w:val="005B5E3C"/>
    <w:rsid w:val="005B5F50"/>
    <w:rsid w:val="005B5F74"/>
    <w:rsid w:val="005B6123"/>
    <w:rsid w:val="005B6281"/>
    <w:rsid w:val="005B629F"/>
    <w:rsid w:val="005B6317"/>
    <w:rsid w:val="005B6559"/>
    <w:rsid w:val="005B669E"/>
    <w:rsid w:val="005B6741"/>
    <w:rsid w:val="005B67F2"/>
    <w:rsid w:val="005B6BB8"/>
    <w:rsid w:val="005B6C44"/>
    <w:rsid w:val="005B6CD0"/>
    <w:rsid w:val="005B6E84"/>
    <w:rsid w:val="005B6F44"/>
    <w:rsid w:val="005B6FD1"/>
    <w:rsid w:val="005B71D7"/>
    <w:rsid w:val="005B7224"/>
    <w:rsid w:val="005B7242"/>
    <w:rsid w:val="005B733F"/>
    <w:rsid w:val="005B747A"/>
    <w:rsid w:val="005B74DB"/>
    <w:rsid w:val="005B756A"/>
    <w:rsid w:val="005B75A8"/>
    <w:rsid w:val="005B7625"/>
    <w:rsid w:val="005B76B0"/>
    <w:rsid w:val="005B76CA"/>
    <w:rsid w:val="005B78C6"/>
    <w:rsid w:val="005B78CA"/>
    <w:rsid w:val="005B7BE2"/>
    <w:rsid w:val="005B7C46"/>
    <w:rsid w:val="005B7E0E"/>
    <w:rsid w:val="005B7F49"/>
    <w:rsid w:val="005B7FFA"/>
    <w:rsid w:val="005BC17C"/>
    <w:rsid w:val="005C0016"/>
    <w:rsid w:val="005C00A3"/>
    <w:rsid w:val="005C00E6"/>
    <w:rsid w:val="005C03E4"/>
    <w:rsid w:val="005C03F5"/>
    <w:rsid w:val="005C0429"/>
    <w:rsid w:val="005C0445"/>
    <w:rsid w:val="005C04FB"/>
    <w:rsid w:val="005C05C6"/>
    <w:rsid w:val="005C0675"/>
    <w:rsid w:val="005C06D3"/>
    <w:rsid w:val="005C0814"/>
    <w:rsid w:val="005C0894"/>
    <w:rsid w:val="005C08E3"/>
    <w:rsid w:val="005C09A1"/>
    <w:rsid w:val="005C09B7"/>
    <w:rsid w:val="005C0C40"/>
    <w:rsid w:val="005C100A"/>
    <w:rsid w:val="005C1104"/>
    <w:rsid w:val="005C1193"/>
    <w:rsid w:val="005C12B8"/>
    <w:rsid w:val="005C1327"/>
    <w:rsid w:val="005C14E9"/>
    <w:rsid w:val="005C162B"/>
    <w:rsid w:val="005C16A2"/>
    <w:rsid w:val="005C16A8"/>
    <w:rsid w:val="005C16F9"/>
    <w:rsid w:val="005C17B2"/>
    <w:rsid w:val="005C17B6"/>
    <w:rsid w:val="005C18D7"/>
    <w:rsid w:val="005C19E6"/>
    <w:rsid w:val="005C1A47"/>
    <w:rsid w:val="005C1BF7"/>
    <w:rsid w:val="005C1D35"/>
    <w:rsid w:val="005C1E2F"/>
    <w:rsid w:val="005C1E38"/>
    <w:rsid w:val="005C1F3E"/>
    <w:rsid w:val="005C1F8A"/>
    <w:rsid w:val="005C2122"/>
    <w:rsid w:val="005C2180"/>
    <w:rsid w:val="005C2286"/>
    <w:rsid w:val="005C22E0"/>
    <w:rsid w:val="005C2375"/>
    <w:rsid w:val="005C2576"/>
    <w:rsid w:val="005C2707"/>
    <w:rsid w:val="005C28C3"/>
    <w:rsid w:val="005C2A9A"/>
    <w:rsid w:val="005C2BB8"/>
    <w:rsid w:val="005C2C68"/>
    <w:rsid w:val="005C2CC2"/>
    <w:rsid w:val="005C2DAE"/>
    <w:rsid w:val="005C2DE3"/>
    <w:rsid w:val="005C3038"/>
    <w:rsid w:val="005C3146"/>
    <w:rsid w:val="005C31BE"/>
    <w:rsid w:val="005C325B"/>
    <w:rsid w:val="005C33F3"/>
    <w:rsid w:val="005C34D5"/>
    <w:rsid w:val="005C34D7"/>
    <w:rsid w:val="005C3593"/>
    <w:rsid w:val="005C36C6"/>
    <w:rsid w:val="005C38E7"/>
    <w:rsid w:val="005C3966"/>
    <w:rsid w:val="005C3A7C"/>
    <w:rsid w:val="005C3AA0"/>
    <w:rsid w:val="005C3C3C"/>
    <w:rsid w:val="005C3D49"/>
    <w:rsid w:val="005C3F7C"/>
    <w:rsid w:val="005C4170"/>
    <w:rsid w:val="005C41A7"/>
    <w:rsid w:val="005C41B2"/>
    <w:rsid w:val="005C4231"/>
    <w:rsid w:val="005C4271"/>
    <w:rsid w:val="005C42A0"/>
    <w:rsid w:val="005C4395"/>
    <w:rsid w:val="005C4454"/>
    <w:rsid w:val="005C466D"/>
    <w:rsid w:val="005C4670"/>
    <w:rsid w:val="005C46DF"/>
    <w:rsid w:val="005C479B"/>
    <w:rsid w:val="005C49B6"/>
    <w:rsid w:val="005C4A34"/>
    <w:rsid w:val="005C4B31"/>
    <w:rsid w:val="005C4D89"/>
    <w:rsid w:val="005C4DAD"/>
    <w:rsid w:val="005C4DF6"/>
    <w:rsid w:val="005C4E30"/>
    <w:rsid w:val="005C4EA4"/>
    <w:rsid w:val="005C4FEE"/>
    <w:rsid w:val="005C51EE"/>
    <w:rsid w:val="005C54CB"/>
    <w:rsid w:val="005C55D7"/>
    <w:rsid w:val="005C561F"/>
    <w:rsid w:val="005C5623"/>
    <w:rsid w:val="005C5645"/>
    <w:rsid w:val="005C574C"/>
    <w:rsid w:val="005C58CF"/>
    <w:rsid w:val="005C59EE"/>
    <w:rsid w:val="005C5B6D"/>
    <w:rsid w:val="005C5DCE"/>
    <w:rsid w:val="005C5F5A"/>
    <w:rsid w:val="005C5F64"/>
    <w:rsid w:val="005C5F7D"/>
    <w:rsid w:val="005C602C"/>
    <w:rsid w:val="005C60B6"/>
    <w:rsid w:val="005C614B"/>
    <w:rsid w:val="005C62AE"/>
    <w:rsid w:val="005C640F"/>
    <w:rsid w:val="005C6485"/>
    <w:rsid w:val="005C6689"/>
    <w:rsid w:val="005C66E5"/>
    <w:rsid w:val="005C685B"/>
    <w:rsid w:val="005C690A"/>
    <w:rsid w:val="005C6CDE"/>
    <w:rsid w:val="005C6E0A"/>
    <w:rsid w:val="005C6E29"/>
    <w:rsid w:val="005C7009"/>
    <w:rsid w:val="005C73DF"/>
    <w:rsid w:val="005C74A4"/>
    <w:rsid w:val="005C74EF"/>
    <w:rsid w:val="005C7581"/>
    <w:rsid w:val="005C7634"/>
    <w:rsid w:val="005C7840"/>
    <w:rsid w:val="005C7856"/>
    <w:rsid w:val="005C7A5D"/>
    <w:rsid w:val="005C7BA1"/>
    <w:rsid w:val="005C7BA6"/>
    <w:rsid w:val="005C7BD1"/>
    <w:rsid w:val="005C7C93"/>
    <w:rsid w:val="005C7DA3"/>
    <w:rsid w:val="005C7E06"/>
    <w:rsid w:val="005C7E1A"/>
    <w:rsid w:val="005CA8A8"/>
    <w:rsid w:val="005D00BB"/>
    <w:rsid w:val="005D01DA"/>
    <w:rsid w:val="005D01F4"/>
    <w:rsid w:val="005D020B"/>
    <w:rsid w:val="005D07FC"/>
    <w:rsid w:val="005D0868"/>
    <w:rsid w:val="005D0872"/>
    <w:rsid w:val="005D098D"/>
    <w:rsid w:val="005D0AF7"/>
    <w:rsid w:val="005D0B2D"/>
    <w:rsid w:val="005D0B98"/>
    <w:rsid w:val="005D0BB9"/>
    <w:rsid w:val="005D0DA2"/>
    <w:rsid w:val="005D0DE6"/>
    <w:rsid w:val="005D0E32"/>
    <w:rsid w:val="005D103F"/>
    <w:rsid w:val="005D11C7"/>
    <w:rsid w:val="005D1251"/>
    <w:rsid w:val="005D135C"/>
    <w:rsid w:val="005D1553"/>
    <w:rsid w:val="005D15C8"/>
    <w:rsid w:val="005D170D"/>
    <w:rsid w:val="005D18DD"/>
    <w:rsid w:val="005D1917"/>
    <w:rsid w:val="005D1A3B"/>
    <w:rsid w:val="005D1EA5"/>
    <w:rsid w:val="005D1F20"/>
    <w:rsid w:val="005D1F41"/>
    <w:rsid w:val="005D1F7B"/>
    <w:rsid w:val="005D1F80"/>
    <w:rsid w:val="005D1FAD"/>
    <w:rsid w:val="005D2047"/>
    <w:rsid w:val="005D2090"/>
    <w:rsid w:val="005D221C"/>
    <w:rsid w:val="005D222D"/>
    <w:rsid w:val="005D23D4"/>
    <w:rsid w:val="005D249D"/>
    <w:rsid w:val="005D2526"/>
    <w:rsid w:val="005D264C"/>
    <w:rsid w:val="005D2658"/>
    <w:rsid w:val="005D268B"/>
    <w:rsid w:val="005D27D2"/>
    <w:rsid w:val="005D2874"/>
    <w:rsid w:val="005D28D8"/>
    <w:rsid w:val="005D29AA"/>
    <w:rsid w:val="005D2AC7"/>
    <w:rsid w:val="005D2EBF"/>
    <w:rsid w:val="005D2F1C"/>
    <w:rsid w:val="005D2F95"/>
    <w:rsid w:val="005D3196"/>
    <w:rsid w:val="005D3267"/>
    <w:rsid w:val="005D32FD"/>
    <w:rsid w:val="005D3398"/>
    <w:rsid w:val="005D33B1"/>
    <w:rsid w:val="005D358F"/>
    <w:rsid w:val="005D35EC"/>
    <w:rsid w:val="005D3601"/>
    <w:rsid w:val="005D366E"/>
    <w:rsid w:val="005D38BE"/>
    <w:rsid w:val="005D3954"/>
    <w:rsid w:val="005D3A0F"/>
    <w:rsid w:val="005D3B35"/>
    <w:rsid w:val="005D3C7F"/>
    <w:rsid w:val="005D3CA9"/>
    <w:rsid w:val="005D3E6A"/>
    <w:rsid w:val="005D4109"/>
    <w:rsid w:val="005D422C"/>
    <w:rsid w:val="005D4320"/>
    <w:rsid w:val="005D4494"/>
    <w:rsid w:val="005D44FF"/>
    <w:rsid w:val="005D47FB"/>
    <w:rsid w:val="005D497C"/>
    <w:rsid w:val="005D4AB4"/>
    <w:rsid w:val="005D4BD8"/>
    <w:rsid w:val="005D4D66"/>
    <w:rsid w:val="005D4DC0"/>
    <w:rsid w:val="005D4E39"/>
    <w:rsid w:val="005D4FB4"/>
    <w:rsid w:val="005D58EB"/>
    <w:rsid w:val="005D5962"/>
    <w:rsid w:val="005D5A9A"/>
    <w:rsid w:val="005D5AAC"/>
    <w:rsid w:val="005D5AAE"/>
    <w:rsid w:val="005D5B6B"/>
    <w:rsid w:val="005D5D17"/>
    <w:rsid w:val="005D5E2C"/>
    <w:rsid w:val="005D60AD"/>
    <w:rsid w:val="005D6219"/>
    <w:rsid w:val="005D6271"/>
    <w:rsid w:val="005D6378"/>
    <w:rsid w:val="005D63E6"/>
    <w:rsid w:val="005D6581"/>
    <w:rsid w:val="005D65DB"/>
    <w:rsid w:val="005D6A4B"/>
    <w:rsid w:val="005D6A98"/>
    <w:rsid w:val="005D6B0F"/>
    <w:rsid w:val="005D6B8A"/>
    <w:rsid w:val="005D6B90"/>
    <w:rsid w:val="005D6D27"/>
    <w:rsid w:val="005D6E95"/>
    <w:rsid w:val="005D6F16"/>
    <w:rsid w:val="005D7030"/>
    <w:rsid w:val="005D703D"/>
    <w:rsid w:val="005D7274"/>
    <w:rsid w:val="005D73DF"/>
    <w:rsid w:val="005D74B2"/>
    <w:rsid w:val="005D759E"/>
    <w:rsid w:val="005D769D"/>
    <w:rsid w:val="005D772E"/>
    <w:rsid w:val="005D77DA"/>
    <w:rsid w:val="005D7871"/>
    <w:rsid w:val="005D789D"/>
    <w:rsid w:val="005D7B63"/>
    <w:rsid w:val="005D7BF7"/>
    <w:rsid w:val="005D7CE0"/>
    <w:rsid w:val="005D7E9D"/>
    <w:rsid w:val="005D7EE4"/>
    <w:rsid w:val="005E0049"/>
    <w:rsid w:val="005E005D"/>
    <w:rsid w:val="005E0241"/>
    <w:rsid w:val="005E0278"/>
    <w:rsid w:val="005E0297"/>
    <w:rsid w:val="005E0454"/>
    <w:rsid w:val="005E049E"/>
    <w:rsid w:val="005E04D5"/>
    <w:rsid w:val="005E04DE"/>
    <w:rsid w:val="005E067A"/>
    <w:rsid w:val="005E06ED"/>
    <w:rsid w:val="005E077E"/>
    <w:rsid w:val="005E0815"/>
    <w:rsid w:val="005E0846"/>
    <w:rsid w:val="005E0867"/>
    <w:rsid w:val="005E08C3"/>
    <w:rsid w:val="005E08C7"/>
    <w:rsid w:val="005E0B94"/>
    <w:rsid w:val="005E0C09"/>
    <w:rsid w:val="005E0CCF"/>
    <w:rsid w:val="005E0D8D"/>
    <w:rsid w:val="005E0DA6"/>
    <w:rsid w:val="005E0E65"/>
    <w:rsid w:val="005E0ED2"/>
    <w:rsid w:val="005E1084"/>
    <w:rsid w:val="005E11A0"/>
    <w:rsid w:val="005E121C"/>
    <w:rsid w:val="005E1236"/>
    <w:rsid w:val="005E13B3"/>
    <w:rsid w:val="005E13D0"/>
    <w:rsid w:val="005E1419"/>
    <w:rsid w:val="005E143F"/>
    <w:rsid w:val="005E14FC"/>
    <w:rsid w:val="005E1573"/>
    <w:rsid w:val="005E1787"/>
    <w:rsid w:val="005E1973"/>
    <w:rsid w:val="005E1A7D"/>
    <w:rsid w:val="005E1B04"/>
    <w:rsid w:val="005E1D7B"/>
    <w:rsid w:val="005E1D9A"/>
    <w:rsid w:val="005E1DBC"/>
    <w:rsid w:val="005E1DF7"/>
    <w:rsid w:val="005E1EAC"/>
    <w:rsid w:val="005E1F04"/>
    <w:rsid w:val="005E1F12"/>
    <w:rsid w:val="005E215B"/>
    <w:rsid w:val="005E231C"/>
    <w:rsid w:val="005E236E"/>
    <w:rsid w:val="005E24CA"/>
    <w:rsid w:val="005E26A5"/>
    <w:rsid w:val="005E2784"/>
    <w:rsid w:val="005E285B"/>
    <w:rsid w:val="005E28C5"/>
    <w:rsid w:val="005E2939"/>
    <w:rsid w:val="005E2A62"/>
    <w:rsid w:val="005E2A74"/>
    <w:rsid w:val="005E2AA1"/>
    <w:rsid w:val="005E2B44"/>
    <w:rsid w:val="005E2C54"/>
    <w:rsid w:val="005E2D1C"/>
    <w:rsid w:val="005E2D84"/>
    <w:rsid w:val="005E2DF2"/>
    <w:rsid w:val="005E2F0F"/>
    <w:rsid w:val="005E31DD"/>
    <w:rsid w:val="005E31F3"/>
    <w:rsid w:val="005E326E"/>
    <w:rsid w:val="005E3297"/>
    <w:rsid w:val="005E3326"/>
    <w:rsid w:val="005E33CD"/>
    <w:rsid w:val="005E3402"/>
    <w:rsid w:val="005E3405"/>
    <w:rsid w:val="005E364E"/>
    <w:rsid w:val="005E36FD"/>
    <w:rsid w:val="005E375A"/>
    <w:rsid w:val="005E3810"/>
    <w:rsid w:val="005E3822"/>
    <w:rsid w:val="005E38E3"/>
    <w:rsid w:val="005E3BE1"/>
    <w:rsid w:val="005E3DE9"/>
    <w:rsid w:val="005E3F82"/>
    <w:rsid w:val="005E45AF"/>
    <w:rsid w:val="005E45BF"/>
    <w:rsid w:val="005E45E9"/>
    <w:rsid w:val="005E4786"/>
    <w:rsid w:val="005E4819"/>
    <w:rsid w:val="005E4881"/>
    <w:rsid w:val="005E4E4B"/>
    <w:rsid w:val="005E4E80"/>
    <w:rsid w:val="005E4EC7"/>
    <w:rsid w:val="005E50CD"/>
    <w:rsid w:val="005E5119"/>
    <w:rsid w:val="005E5148"/>
    <w:rsid w:val="005E533F"/>
    <w:rsid w:val="005E557D"/>
    <w:rsid w:val="005E5651"/>
    <w:rsid w:val="005E5779"/>
    <w:rsid w:val="005E577C"/>
    <w:rsid w:val="005E578B"/>
    <w:rsid w:val="005E582E"/>
    <w:rsid w:val="005E5904"/>
    <w:rsid w:val="005E5A26"/>
    <w:rsid w:val="005E5A40"/>
    <w:rsid w:val="005E5A76"/>
    <w:rsid w:val="005E5C77"/>
    <w:rsid w:val="005E5D83"/>
    <w:rsid w:val="005E5DC1"/>
    <w:rsid w:val="005E605D"/>
    <w:rsid w:val="005E623C"/>
    <w:rsid w:val="005E630F"/>
    <w:rsid w:val="005E6366"/>
    <w:rsid w:val="005E6414"/>
    <w:rsid w:val="005E641C"/>
    <w:rsid w:val="005E668D"/>
    <w:rsid w:val="005E66F7"/>
    <w:rsid w:val="005E672D"/>
    <w:rsid w:val="005E6A06"/>
    <w:rsid w:val="005E6CEC"/>
    <w:rsid w:val="005E6E4F"/>
    <w:rsid w:val="005E6F7D"/>
    <w:rsid w:val="005E70E7"/>
    <w:rsid w:val="005E724A"/>
    <w:rsid w:val="005E74B9"/>
    <w:rsid w:val="005E760F"/>
    <w:rsid w:val="005E77E6"/>
    <w:rsid w:val="005E77FE"/>
    <w:rsid w:val="005E7A5C"/>
    <w:rsid w:val="005E7AB0"/>
    <w:rsid w:val="005E7E0C"/>
    <w:rsid w:val="005E7F1F"/>
    <w:rsid w:val="005E7F72"/>
    <w:rsid w:val="005F0206"/>
    <w:rsid w:val="005F02D1"/>
    <w:rsid w:val="005F03FA"/>
    <w:rsid w:val="005F0583"/>
    <w:rsid w:val="005F06D0"/>
    <w:rsid w:val="005F0812"/>
    <w:rsid w:val="005F0835"/>
    <w:rsid w:val="005F0A2D"/>
    <w:rsid w:val="005F0AEE"/>
    <w:rsid w:val="005F0B64"/>
    <w:rsid w:val="005F0B68"/>
    <w:rsid w:val="005F0BD8"/>
    <w:rsid w:val="005F0C3D"/>
    <w:rsid w:val="005F0CC5"/>
    <w:rsid w:val="005F0E74"/>
    <w:rsid w:val="005F0E99"/>
    <w:rsid w:val="005F1023"/>
    <w:rsid w:val="005F1024"/>
    <w:rsid w:val="005F10EC"/>
    <w:rsid w:val="005F11DA"/>
    <w:rsid w:val="005F1200"/>
    <w:rsid w:val="005F128C"/>
    <w:rsid w:val="005F12CC"/>
    <w:rsid w:val="005F140C"/>
    <w:rsid w:val="005F1586"/>
    <w:rsid w:val="005F16DB"/>
    <w:rsid w:val="005F177E"/>
    <w:rsid w:val="005F1822"/>
    <w:rsid w:val="005F1885"/>
    <w:rsid w:val="005F1A91"/>
    <w:rsid w:val="005F1ABF"/>
    <w:rsid w:val="005F1C27"/>
    <w:rsid w:val="005F1D8D"/>
    <w:rsid w:val="005F1E2E"/>
    <w:rsid w:val="005F1F73"/>
    <w:rsid w:val="005F1FD5"/>
    <w:rsid w:val="005F1FE0"/>
    <w:rsid w:val="005F20CD"/>
    <w:rsid w:val="005F2176"/>
    <w:rsid w:val="005F2231"/>
    <w:rsid w:val="005F2265"/>
    <w:rsid w:val="005F22E8"/>
    <w:rsid w:val="005F2559"/>
    <w:rsid w:val="005F28E0"/>
    <w:rsid w:val="005F28FE"/>
    <w:rsid w:val="005F2AD5"/>
    <w:rsid w:val="005F2B17"/>
    <w:rsid w:val="005F2B66"/>
    <w:rsid w:val="005F2C1E"/>
    <w:rsid w:val="005F2D1F"/>
    <w:rsid w:val="005F2DA3"/>
    <w:rsid w:val="005F2DF1"/>
    <w:rsid w:val="005F2E0F"/>
    <w:rsid w:val="005F3057"/>
    <w:rsid w:val="005F30D6"/>
    <w:rsid w:val="005F3131"/>
    <w:rsid w:val="005F317F"/>
    <w:rsid w:val="005F318A"/>
    <w:rsid w:val="005F31AE"/>
    <w:rsid w:val="005F3240"/>
    <w:rsid w:val="005F3545"/>
    <w:rsid w:val="005F375A"/>
    <w:rsid w:val="005F3A33"/>
    <w:rsid w:val="005F3B51"/>
    <w:rsid w:val="005F3BAB"/>
    <w:rsid w:val="005F3D81"/>
    <w:rsid w:val="005F3D85"/>
    <w:rsid w:val="005F3DF5"/>
    <w:rsid w:val="005F3E84"/>
    <w:rsid w:val="005F3EB6"/>
    <w:rsid w:val="005F3F23"/>
    <w:rsid w:val="005F3F2A"/>
    <w:rsid w:val="005F4057"/>
    <w:rsid w:val="005F4083"/>
    <w:rsid w:val="005F410B"/>
    <w:rsid w:val="005F41A4"/>
    <w:rsid w:val="005F420A"/>
    <w:rsid w:val="005F4272"/>
    <w:rsid w:val="005F42D3"/>
    <w:rsid w:val="005F459C"/>
    <w:rsid w:val="005F4618"/>
    <w:rsid w:val="005F4620"/>
    <w:rsid w:val="005F483D"/>
    <w:rsid w:val="005F4914"/>
    <w:rsid w:val="005F4A15"/>
    <w:rsid w:val="005F4B81"/>
    <w:rsid w:val="005F4BEB"/>
    <w:rsid w:val="005F4D83"/>
    <w:rsid w:val="005F4E0A"/>
    <w:rsid w:val="005F4E5E"/>
    <w:rsid w:val="005F4E93"/>
    <w:rsid w:val="005F4EF4"/>
    <w:rsid w:val="005F5169"/>
    <w:rsid w:val="005F5191"/>
    <w:rsid w:val="005F531F"/>
    <w:rsid w:val="005F537D"/>
    <w:rsid w:val="005F53B5"/>
    <w:rsid w:val="005F53E5"/>
    <w:rsid w:val="005F542E"/>
    <w:rsid w:val="005F54C8"/>
    <w:rsid w:val="005F55AD"/>
    <w:rsid w:val="005F5665"/>
    <w:rsid w:val="005F56C4"/>
    <w:rsid w:val="005F56E4"/>
    <w:rsid w:val="005F5808"/>
    <w:rsid w:val="005F5AD9"/>
    <w:rsid w:val="005F5B0F"/>
    <w:rsid w:val="005F5C1E"/>
    <w:rsid w:val="005F5CFF"/>
    <w:rsid w:val="005F5EA3"/>
    <w:rsid w:val="005F5FEB"/>
    <w:rsid w:val="005F60D1"/>
    <w:rsid w:val="005F64DB"/>
    <w:rsid w:val="005F64FD"/>
    <w:rsid w:val="005F65A4"/>
    <w:rsid w:val="005F667A"/>
    <w:rsid w:val="005F66F6"/>
    <w:rsid w:val="005F689B"/>
    <w:rsid w:val="005F69DE"/>
    <w:rsid w:val="005F69FC"/>
    <w:rsid w:val="005F6A4C"/>
    <w:rsid w:val="005F6AE8"/>
    <w:rsid w:val="005F6BE9"/>
    <w:rsid w:val="005F6C29"/>
    <w:rsid w:val="005F6D4F"/>
    <w:rsid w:val="005F6D5A"/>
    <w:rsid w:val="005F6EDD"/>
    <w:rsid w:val="005F6F3A"/>
    <w:rsid w:val="005F72A1"/>
    <w:rsid w:val="005F731F"/>
    <w:rsid w:val="005F76C6"/>
    <w:rsid w:val="005F7897"/>
    <w:rsid w:val="005F79B0"/>
    <w:rsid w:val="005F7E77"/>
    <w:rsid w:val="00600243"/>
    <w:rsid w:val="00600258"/>
    <w:rsid w:val="0060025F"/>
    <w:rsid w:val="006003E4"/>
    <w:rsid w:val="00600417"/>
    <w:rsid w:val="0060042F"/>
    <w:rsid w:val="0060062C"/>
    <w:rsid w:val="0060066A"/>
    <w:rsid w:val="00600795"/>
    <w:rsid w:val="006007C7"/>
    <w:rsid w:val="006009E3"/>
    <w:rsid w:val="00600A16"/>
    <w:rsid w:val="00600C1E"/>
    <w:rsid w:val="00600C4F"/>
    <w:rsid w:val="00600D10"/>
    <w:rsid w:val="00600DBF"/>
    <w:rsid w:val="00600F7F"/>
    <w:rsid w:val="006010A5"/>
    <w:rsid w:val="006010C7"/>
    <w:rsid w:val="00601300"/>
    <w:rsid w:val="00601365"/>
    <w:rsid w:val="0060144A"/>
    <w:rsid w:val="0060145F"/>
    <w:rsid w:val="006014C6"/>
    <w:rsid w:val="0060150E"/>
    <w:rsid w:val="006015B8"/>
    <w:rsid w:val="006015BF"/>
    <w:rsid w:val="006018D3"/>
    <w:rsid w:val="006019A0"/>
    <w:rsid w:val="006019A4"/>
    <w:rsid w:val="00601BA1"/>
    <w:rsid w:val="00601CCA"/>
    <w:rsid w:val="00601D04"/>
    <w:rsid w:val="00601D49"/>
    <w:rsid w:val="00601E1E"/>
    <w:rsid w:val="00601F81"/>
    <w:rsid w:val="00602074"/>
    <w:rsid w:val="0060209C"/>
    <w:rsid w:val="0060229F"/>
    <w:rsid w:val="006022C0"/>
    <w:rsid w:val="006022D8"/>
    <w:rsid w:val="00602364"/>
    <w:rsid w:val="0060237E"/>
    <w:rsid w:val="006023B3"/>
    <w:rsid w:val="00602434"/>
    <w:rsid w:val="00602528"/>
    <w:rsid w:val="00602607"/>
    <w:rsid w:val="0060265A"/>
    <w:rsid w:val="0060286B"/>
    <w:rsid w:val="00602984"/>
    <w:rsid w:val="00602A88"/>
    <w:rsid w:val="00602B97"/>
    <w:rsid w:val="00602D39"/>
    <w:rsid w:val="00602DC2"/>
    <w:rsid w:val="00602EC4"/>
    <w:rsid w:val="00602F02"/>
    <w:rsid w:val="00602FBE"/>
    <w:rsid w:val="00603107"/>
    <w:rsid w:val="0060325D"/>
    <w:rsid w:val="0060363B"/>
    <w:rsid w:val="00603699"/>
    <w:rsid w:val="00603958"/>
    <w:rsid w:val="00603A4B"/>
    <w:rsid w:val="00603AD7"/>
    <w:rsid w:val="00603B53"/>
    <w:rsid w:val="00603B57"/>
    <w:rsid w:val="00603C54"/>
    <w:rsid w:val="00603CF2"/>
    <w:rsid w:val="00603D34"/>
    <w:rsid w:val="00603D3A"/>
    <w:rsid w:val="00603E9B"/>
    <w:rsid w:val="00603F43"/>
    <w:rsid w:val="0060409A"/>
    <w:rsid w:val="00604137"/>
    <w:rsid w:val="0060435C"/>
    <w:rsid w:val="00604367"/>
    <w:rsid w:val="006043AD"/>
    <w:rsid w:val="00604450"/>
    <w:rsid w:val="00604451"/>
    <w:rsid w:val="0060457B"/>
    <w:rsid w:val="00604642"/>
    <w:rsid w:val="00604AF9"/>
    <w:rsid w:val="00604B04"/>
    <w:rsid w:val="00604B83"/>
    <w:rsid w:val="00604D77"/>
    <w:rsid w:val="00605009"/>
    <w:rsid w:val="00605204"/>
    <w:rsid w:val="00605244"/>
    <w:rsid w:val="006055CD"/>
    <w:rsid w:val="006058A5"/>
    <w:rsid w:val="00605961"/>
    <w:rsid w:val="0060598E"/>
    <w:rsid w:val="006059CB"/>
    <w:rsid w:val="00605AAE"/>
    <w:rsid w:val="00605C10"/>
    <w:rsid w:val="00605C2A"/>
    <w:rsid w:val="00605C7F"/>
    <w:rsid w:val="00605E22"/>
    <w:rsid w:val="006060C2"/>
    <w:rsid w:val="006060FB"/>
    <w:rsid w:val="006061C7"/>
    <w:rsid w:val="0060635D"/>
    <w:rsid w:val="006063A0"/>
    <w:rsid w:val="0060644D"/>
    <w:rsid w:val="00606634"/>
    <w:rsid w:val="00606641"/>
    <w:rsid w:val="006067CD"/>
    <w:rsid w:val="006069AD"/>
    <w:rsid w:val="00606B03"/>
    <w:rsid w:val="00606B30"/>
    <w:rsid w:val="00606B4A"/>
    <w:rsid w:val="00606B94"/>
    <w:rsid w:val="00606BC4"/>
    <w:rsid w:val="00606BE9"/>
    <w:rsid w:val="00606C51"/>
    <w:rsid w:val="00606C71"/>
    <w:rsid w:val="00606D70"/>
    <w:rsid w:val="00606EB4"/>
    <w:rsid w:val="00606EDC"/>
    <w:rsid w:val="0060710F"/>
    <w:rsid w:val="0060723C"/>
    <w:rsid w:val="00607436"/>
    <w:rsid w:val="006075E0"/>
    <w:rsid w:val="0060777B"/>
    <w:rsid w:val="00607AB6"/>
    <w:rsid w:val="00607AC8"/>
    <w:rsid w:val="00607B88"/>
    <w:rsid w:val="00607BC1"/>
    <w:rsid w:val="00607C38"/>
    <w:rsid w:val="00607CE0"/>
    <w:rsid w:val="00607F7B"/>
    <w:rsid w:val="006100DB"/>
    <w:rsid w:val="00610306"/>
    <w:rsid w:val="0061053E"/>
    <w:rsid w:val="0061059C"/>
    <w:rsid w:val="006106CD"/>
    <w:rsid w:val="00610759"/>
    <w:rsid w:val="00610798"/>
    <w:rsid w:val="006108B0"/>
    <w:rsid w:val="006108CD"/>
    <w:rsid w:val="0061098E"/>
    <w:rsid w:val="006109C3"/>
    <w:rsid w:val="00610A02"/>
    <w:rsid w:val="00610A48"/>
    <w:rsid w:val="00610A49"/>
    <w:rsid w:val="00610B97"/>
    <w:rsid w:val="00610D23"/>
    <w:rsid w:val="00610E38"/>
    <w:rsid w:val="00610F85"/>
    <w:rsid w:val="006110D8"/>
    <w:rsid w:val="0061111D"/>
    <w:rsid w:val="00611174"/>
    <w:rsid w:val="006111FF"/>
    <w:rsid w:val="006112B9"/>
    <w:rsid w:val="006114EF"/>
    <w:rsid w:val="0061161D"/>
    <w:rsid w:val="00611679"/>
    <w:rsid w:val="006116C4"/>
    <w:rsid w:val="00611787"/>
    <w:rsid w:val="006118A2"/>
    <w:rsid w:val="006118F3"/>
    <w:rsid w:val="00611909"/>
    <w:rsid w:val="00611B37"/>
    <w:rsid w:val="0061212D"/>
    <w:rsid w:val="0061239E"/>
    <w:rsid w:val="0061240C"/>
    <w:rsid w:val="00612648"/>
    <w:rsid w:val="00612779"/>
    <w:rsid w:val="0061278B"/>
    <w:rsid w:val="00612B88"/>
    <w:rsid w:val="00612C2D"/>
    <w:rsid w:val="00612DD5"/>
    <w:rsid w:val="00612FDA"/>
    <w:rsid w:val="006132A4"/>
    <w:rsid w:val="0061341D"/>
    <w:rsid w:val="00613449"/>
    <w:rsid w:val="00613505"/>
    <w:rsid w:val="0061355A"/>
    <w:rsid w:val="00613699"/>
    <w:rsid w:val="00613718"/>
    <w:rsid w:val="00613B0B"/>
    <w:rsid w:val="00613C94"/>
    <w:rsid w:val="00613CA1"/>
    <w:rsid w:val="00613D86"/>
    <w:rsid w:val="00613DB4"/>
    <w:rsid w:val="00613E21"/>
    <w:rsid w:val="00613E7D"/>
    <w:rsid w:val="00613FCD"/>
    <w:rsid w:val="00614158"/>
    <w:rsid w:val="0061421F"/>
    <w:rsid w:val="0061428C"/>
    <w:rsid w:val="00614321"/>
    <w:rsid w:val="0061434F"/>
    <w:rsid w:val="006143C6"/>
    <w:rsid w:val="00614552"/>
    <w:rsid w:val="0061459D"/>
    <w:rsid w:val="00614667"/>
    <w:rsid w:val="006148D0"/>
    <w:rsid w:val="00614ABD"/>
    <w:rsid w:val="00614AC6"/>
    <w:rsid w:val="00614B1F"/>
    <w:rsid w:val="00614B6B"/>
    <w:rsid w:val="00614B6E"/>
    <w:rsid w:val="00614C79"/>
    <w:rsid w:val="00614F37"/>
    <w:rsid w:val="00614F8A"/>
    <w:rsid w:val="00614F9C"/>
    <w:rsid w:val="006150BE"/>
    <w:rsid w:val="006151F0"/>
    <w:rsid w:val="00615346"/>
    <w:rsid w:val="0061549F"/>
    <w:rsid w:val="006154CF"/>
    <w:rsid w:val="00615689"/>
    <w:rsid w:val="006157D5"/>
    <w:rsid w:val="00615897"/>
    <w:rsid w:val="006158A3"/>
    <w:rsid w:val="00615A5E"/>
    <w:rsid w:val="00615D12"/>
    <w:rsid w:val="00615D2C"/>
    <w:rsid w:val="00615E19"/>
    <w:rsid w:val="00615FFD"/>
    <w:rsid w:val="00616291"/>
    <w:rsid w:val="00616372"/>
    <w:rsid w:val="00616708"/>
    <w:rsid w:val="0061670A"/>
    <w:rsid w:val="006167BE"/>
    <w:rsid w:val="006168C1"/>
    <w:rsid w:val="0061690A"/>
    <w:rsid w:val="00616A9B"/>
    <w:rsid w:val="00616C08"/>
    <w:rsid w:val="00616CE5"/>
    <w:rsid w:val="00616D34"/>
    <w:rsid w:val="00616D8E"/>
    <w:rsid w:val="006171BD"/>
    <w:rsid w:val="006171C1"/>
    <w:rsid w:val="006172BE"/>
    <w:rsid w:val="0061731D"/>
    <w:rsid w:val="00617567"/>
    <w:rsid w:val="0061769B"/>
    <w:rsid w:val="0061780C"/>
    <w:rsid w:val="00617854"/>
    <w:rsid w:val="0061787F"/>
    <w:rsid w:val="006178E3"/>
    <w:rsid w:val="00617B82"/>
    <w:rsid w:val="00617BE5"/>
    <w:rsid w:val="00617DE7"/>
    <w:rsid w:val="00617E2D"/>
    <w:rsid w:val="00617F4E"/>
    <w:rsid w:val="006200BF"/>
    <w:rsid w:val="00620148"/>
    <w:rsid w:val="006201BF"/>
    <w:rsid w:val="00620460"/>
    <w:rsid w:val="006204DF"/>
    <w:rsid w:val="006204F7"/>
    <w:rsid w:val="00620502"/>
    <w:rsid w:val="0062051A"/>
    <w:rsid w:val="006205AE"/>
    <w:rsid w:val="006205B2"/>
    <w:rsid w:val="006205C7"/>
    <w:rsid w:val="0062066B"/>
    <w:rsid w:val="006206C9"/>
    <w:rsid w:val="006207A8"/>
    <w:rsid w:val="00620933"/>
    <w:rsid w:val="006209B2"/>
    <w:rsid w:val="00620AB0"/>
    <w:rsid w:val="00620BD7"/>
    <w:rsid w:val="00620CE2"/>
    <w:rsid w:val="00620F5D"/>
    <w:rsid w:val="00621149"/>
    <w:rsid w:val="006212E1"/>
    <w:rsid w:val="0062137C"/>
    <w:rsid w:val="00621608"/>
    <w:rsid w:val="0062167D"/>
    <w:rsid w:val="00621700"/>
    <w:rsid w:val="00621831"/>
    <w:rsid w:val="00621873"/>
    <w:rsid w:val="0062191B"/>
    <w:rsid w:val="00621961"/>
    <w:rsid w:val="006219CF"/>
    <w:rsid w:val="00621AC5"/>
    <w:rsid w:val="00621AF4"/>
    <w:rsid w:val="00621BAA"/>
    <w:rsid w:val="00621C04"/>
    <w:rsid w:val="006220AC"/>
    <w:rsid w:val="00622328"/>
    <w:rsid w:val="006223FE"/>
    <w:rsid w:val="00622490"/>
    <w:rsid w:val="0062276A"/>
    <w:rsid w:val="00622A1D"/>
    <w:rsid w:val="00622C23"/>
    <w:rsid w:val="00622CC1"/>
    <w:rsid w:val="00622CD1"/>
    <w:rsid w:val="00622DF1"/>
    <w:rsid w:val="00622F05"/>
    <w:rsid w:val="006230F9"/>
    <w:rsid w:val="00623172"/>
    <w:rsid w:val="0062331F"/>
    <w:rsid w:val="006234C1"/>
    <w:rsid w:val="006234E3"/>
    <w:rsid w:val="0062352E"/>
    <w:rsid w:val="006235BD"/>
    <w:rsid w:val="0062377F"/>
    <w:rsid w:val="006237DD"/>
    <w:rsid w:val="00623A21"/>
    <w:rsid w:val="00623B8C"/>
    <w:rsid w:val="00623BEE"/>
    <w:rsid w:val="00623C8D"/>
    <w:rsid w:val="00623CCE"/>
    <w:rsid w:val="00623CF7"/>
    <w:rsid w:val="00623DA8"/>
    <w:rsid w:val="00623DF9"/>
    <w:rsid w:val="00623E44"/>
    <w:rsid w:val="00623F44"/>
    <w:rsid w:val="00623F5C"/>
    <w:rsid w:val="006241C6"/>
    <w:rsid w:val="006241DB"/>
    <w:rsid w:val="00624284"/>
    <w:rsid w:val="00624296"/>
    <w:rsid w:val="006242BF"/>
    <w:rsid w:val="00624324"/>
    <w:rsid w:val="0062448D"/>
    <w:rsid w:val="006245AE"/>
    <w:rsid w:val="006245BC"/>
    <w:rsid w:val="00624724"/>
    <w:rsid w:val="0062483E"/>
    <w:rsid w:val="00624A53"/>
    <w:rsid w:val="00624A58"/>
    <w:rsid w:val="00624E6B"/>
    <w:rsid w:val="00624EF4"/>
    <w:rsid w:val="00624FB2"/>
    <w:rsid w:val="00624FE4"/>
    <w:rsid w:val="00625165"/>
    <w:rsid w:val="00625182"/>
    <w:rsid w:val="0062548B"/>
    <w:rsid w:val="006255B7"/>
    <w:rsid w:val="006256B0"/>
    <w:rsid w:val="0062573E"/>
    <w:rsid w:val="00625805"/>
    <w:rsid w:val="006258A1"/>
    <w:rsid w:val="00625956"/>
    <w:rsid w:val="00625AC5"/>
    <w:rsid w:val="00625B46"/>
    <w:rsid w:val="00625E2C"/>
    <w:rsid w:val="00625E97"/>
    <w:rsid w:val="00625F2A"/>
    <w:rsid w:val="00626182"/>
    <w:rsid w:val="0062619B"/>
    <w:rsid w:val="00626339"/>
    <w:rsid w:val="00626400"/>
    <w:rsid w:val="00626530"/>
    <w:rsid w:val="0062656C"/>
    <w:rsid w:val="0062666E"/>
    <w:rsid w:val="00626677"/>
    <w:rsid w:val="00626827"/>
    <w:rsid w:val="006269E1"/>
    <w:rsid w:val="00626A60"/>
    <w:rsid w:val="00626DCE"/>
    <w:rsid w:val="00626FFA"/>
    <w:rsid w:val="00627032"/>
    <w:rsid w:val="00627038"/>
    <w:rsid w:val="006270F9"/>
    <w:rsid w:val="00627200"/>
    <w:rsid w:val="0062757D"/>
    <w:rsid w:val="006275F2"/>
    <w:rsid w:val="00627876"/>
    <w:rsid w:val="006278A0"/>
    <w:rsid w:val="00627991"/>
    <w:rsid w:val="00627B01"/>
    <w:rsid w:val="00627B8A"/>
    <w:rsid w:val="00627D7F"/>
    <w:rsid w:val="00627DD4"/>
    <w:rsid w:val="00627E8B"/>
    <w:rsid w:val="00627F04"/>
    <w:rsid w:val="00627F6C"/>
    <w:rsid w:val="0063001A"/>
    <w:rsid w:val="0063001B"/>
    <w:rsid w:val="00630057"/>
    <w:rsid w:val="006300B6"/>
    <w:rsid w:val="006300D6"/>
    <w:rsid w:val="00630214"/>
    <w:rsid w:val="00630304"/>
    <w:rsid w:val="00630466"/>
    <w:rsid w:val="00630525"/>
    <w:rsid w:val="00630604"/>
    <w:rsid w:val="006306E6"/>
    <w:rsid w:val="0063093C"/>
    <w:rsid w:val="00630960"/>
    <w:rsid w:val="00630981"/>
    <w:rsid w:val="00630A1E"/>
    <w:rsid w:val="00630DEE"/>
    <w:rsid w:val="00630FB9"/>
    <w:rsid w:val="00630FD6"/>
    <w:rsid w:val="006310AA"/>
    <w:rsid w:val="006310D8"/>
    <w:rsid w:val="00631117"/>
    <w:rsid w:val="00631211"/>
    <w:rsid w:val="006313F9"/>
    <w:rsid w:val="00631422"/>
    <w:rsid w:val="00631425"/>
    <w:rsid w:val="0063157B"/>
    <w:rsid w:val="00631601"/>
    <w:rsid w:val="006318B4"/>
    <w:rsid w:val="0063194D"/>
    <w:rsid w:val="00631CD9"/>
    <w:rsid w:val="00631F4E"/>
    <w:rsid w:val="0063211E"/>
    <w:rsid w:val="00632247"/>
    <w:rsid w:val="006322C9"/>
    <w:rsid w:val="006324BA"/>
    <w:rsid w:val="006325AB"/>
    <w:rsid w:val="00632966"/>
    <w:rsid w:val="00632982"/>
    <w:rsid w:val="006329BF"/>
    <w:rsid w:val="00632A64"/>
    <w:rsid w:val="00632C19"/>
    <w:rsid w:val="00632C2D"/>
    <w:rsid w:val="00632DF6"/>
    <w:rsid w:val="00632E4C"/>
    <w:rsid w:val="00632EC6"/>
    <w:rsid w:val="00632F01"/>
    <w:rsid w:val="00633109"/>
    <w:rsid w:val="0063314D"/>
    <w:rsid w:val="006331BB"/>
    <w:rsid w:val="006331CC"/>
    <w:rsid w:val="006331D7"/>
    <w:rsid w:val="006332A3"/>
    <w:rsid w:val="0063336A"/>
    <w:rsid w:val="00633565"/>
    <w:rsid w:val="00633576"/>
    <w:rsid w:val="006338CD"/>
    <w:rsid w:val="00633B7C"/>
    <w:rsid w:val="00633FDD"/>
    <w:rsid w:val="00634105"/>
    <w:rsid w:val="00634388"/>
    <w:rsid w:val="0063441C"/>
    <w:rsid w:val="0063444B"/>
    <w:rsid w:val="00634572"/>
    <w:rsid w:val="006345B5"/>
    <w:rsid w:val="006348D3"/>
    <w:rsid w:val="00634BE4"/>
    <w:rsid w:val="00634C5D"/>
    <w:rsid w:val="00634C97"/>
    <w:rsid w:val="00634D23"/>
    <w:rsid w:val="00634D27"/>
    <w:rsid w:val="00634D44"/>
    <w:rsid w:val="00634EDC"/>
    <w:rsid w:val="00634F41"/>
    <w:rsid w:val="00634F96"/>
    <w:rsid w:val="00635151"/>
    <w:rsid w:val="006352A3"/>
    <w:rsid w:val="006352D0"/>
    <w:rsid w:val="006353B0"/>
    <w:rsid w:val="0063551D"/>
    <w:rsid w:val="00635686"/>
    <w:rsid w:val="00635705"/>
    <w:rsid w:val="00635784"/>
    <w:rsid w:val="0063588D"/>
    <w:rsid w:val="006358F3"/>
    <w:rsid w:val="00635E4D"/>
    <w:rsid w:val="00635FD9"/>
    <w:rsid w:val="00636220"/>
    <w:rsid w:val="006362D5"/>
    <w:rsid w:val="006363B2"/>
    <w:rsid w:val="006363F1"/>
    <w:rsid w:val="006365B0"/>
    <w:rsid w:val="006368DE"/>
    <w:rsid w:val="0063695B"/>
    <w:rsid w:val="00636AB3"/>
    <w:rsid w:val="00636BAE"/>
    <w:rsid w:val="00636D3F"/>
    <w:rsid w:val="00636D4D"/>
    <w:rsid w:val="00636DCC"/>
    <w:rsid w:val="00636DCD"/>
    <w:rsid w:val="00636F57"/>
    <w:rsid w:val="00637065"/>
    <w:rsid w:val="006371E3"/>
    <w:rsid w:val="00637356"/>
    <w:rsid w:val="006373EC"/>
    <w:rsid w:val="0063743C"/>
    <w:rsid w:val="00637596"/>
    <w:rsid w:val="006376CA"/>
    <w:rsid w:val="006377CD"/>
    <w:rsid w:val="006377E5"/>
    <w:rsid w:val="00637953"/>
    <w:rsid w:val="00637A90"/>
    <w:rsid w:val="00637EB0"/>
    <w:rsid w:val="00637F23"/>
    <w:rsid w:val="00637F4C"/>
    <w:rsid w:val="0064005B"/>
    <w:rsid w:val="006401BE"/>
    <w:rsid w:val="006401F0"/>
    <w:rsid w:val="00640232"/>
    <w:rsid w:val="00640239"/>
    <w:rsid w:val="0064025F"/>
    <w:rsid w:val="0064043B"/>
    <w:rsid w:val="00640570"/>
    <w:rsid w:val="00640744"/>
    <w:rsid w:val="00640837"/>
    <w:rsid w:val="00640843"/>
    <w:rsid w:val="0064088F"/>
    <w:rsid w:val="00640B59"/>
    <w:rsid w:val="00640C31"/>
    <w:rsid w:val="00640DF4"/>
    <w:rsid w:val="00640E84"/>
    <w:rsid w:val="00640EE9"/>
    <w:rsid w:val="00641095"/>
    <w:rsid w:val="006410C8"/>
    <w:rsid w:val="006411EC"/>
    <w:rsid w:val="0064124B"/>
    <w:rsid w:val="006415B0"/>
    <w:rsid w:val="00641641"/>
    <w:rsid w:val="006416FE"/>
    <w:rsid w:val="00641715"/>
    <w:rsid w:val="006417F9"/>
    <w:rsid w:val="00641878"/>
    <w:rsid w:val="00641907"/>
    <w:rsid w:val="00641B56"/>
    <w:rsid w:val="00641C3F"/>
    <w:rsid w:val="00641DC0"/>
    <w:rsid w:val="00641E91"/>
    <w:rsid w:val="00641EAF"/>
    <w:rsid w:val="00641EEA"/>
    <w:rsid w:val="00641FF4"/>
    <w:rsid w:val="006420D0"/>
    <w:rsid w:val="006424AA"/>
    <w:rsid w:val="006424EC"/>
    <w:rsid w:val="00642552"/>
    <w:rsid w:val="006427CF"/>
    <w:rsid w:val="006427F4"/>
    <w:rsid w:val="00642910"/>
    <w:rsid w:val="00642A9E"/>
    <w:rsid w:val="00642C48"/>
    <w:rsid w:val="00642D7B"/>
    <w:rsid w:val="00642D95"/>
    <w:rsid w:val="00642DD8"/>
    <w:rsid w:val="0064301C"/>
    <w:rsid w:val="006430C8"/>
    <w:rsid w:val="0064311E"/>
    <w:rsid w:val="00643202"/>
    <w:rsid w:val="00643335"/>
    <w:rsid w:val="006433C6"/>
    <w:rsid w:val="00643409"/>
    <w:rsid w:val="006434D7"/>
    <w:rsid w:val="006435C9"/>
    <w:rsid w:val="00643858"/>
    <w:rsid w:val="00643914"/>
    <w:rsid w:val="0064398A"/>
    <w:rsid w:val="00643ACC"/>
    <w:rsid w:val="00643C4B"/>
    <w:rsid w:val="00643CA0"/>
    <w:rsid w:val="00643F3D"/>
    <w:rsid w:val="006442C7"/>
    <w:rsid w:val="00644320"/>
    <w:rsid w:val="0064438F"/>
    <w:rsid w:val="00644467"/>
    <w:rsid w:val="006446BF"/>
    <w:rsid w:val="00644762"/>
    <w:rsid w:val="00644929"/>
    <w:rsid w:val="0064496F"/>
    <w:rsid w:val="006449E4"/>
    <w:rsid w:val="00644B44"/>
    <w:rsid w:val="00644BAE"/>
    <w:rsid w:val="00644C33"/>
    <w:rsid w:val="00644C37"/>
    <w:rsid w:val="00644C94"/>
    <w:rsid w:val="00644DE2"/>
    <w:rsid w:val="006450EB"/>
    <w:rsid w:val="00645454"/>
    <w:rsid w:val="0064545E"/>
    <w:rsid w:val="00645548"/>
    <w:rsid w:val="00645668"/>
    <w:rsid w:val="006456B4"/>
    <w:rsid w:val="00645A10"/>
    <w:rsid w:val="00645A1A"/>
    <w:rsid w:val="00645BC4"/>
    <w:rsid w:val="00645C3B"/>
    <w:rsid w:val="00645CF7"/>
    <w:rsid w:val="00645E76"/>
    <w:rsid w:val="00645FA2"/>
    <w:rsid w:val="00645FE2"/>
    <w:rsid w:val="00645FE8"/>
    <w:rsid w:val="00646015"/>
    <w:rsid w:val="006462A5"/>
    <w:rsid w:val="00646349"/>
    <w:rsid w:val="006464ED"/>
    <w:rsid w:val="00646618"/>
    <w:rsid w:val="00646662"/>
    <w:rsid w:val="006466F6"/>
    <w:rsid w:val="006467F9"/>
    <w:rsid w:val="00646876"/>
    <w:rsid w:val="0064691C"/>
    <w:rsid w:val="0064698A"/>
    <w:rsid w:val="00646A28"/>
    <w:rsid w:val="00646B12"/>
    <w:rsid w:val="00646BF7"/>
    <w:rsid w:val="00646C23"/>
    <w:rsid w:val="00646C28"/>
    <w:rsid w:val="00646CE1"/>
    <w:rsid w:val="00646D80"/>
    <w:rsid w:val="00646E10"/>
    <w:rsid w:val="00646F90"/>
    <w:rsid w:val="00647087"/>
    <w:rsid w:val="006470DE"/>
    <w:rsid w:val="00647186"/>
    <w:rsid w:val="00647544"/>
    <w:rsid w:val="006475B0"/>
    <w:rsid w:val="006476D1"/>
    <w:rsid w:val="006478E0"/>
    <w:rsid w:val="006479FF"/>
    <w:rsid w:val="00647AEF"/>
    <w:rsid w:val="00647AFA"/>
    <w:rsid w:val="00647B1A"/>
    <w:rsid w:val="00647B34"/>
    <w:rsid w:val="00647BB6"/>
    <w:rsid w:val="00647D80"/>
    <w:rsid w:val="00647FD5"/>
    <w:rsid w:val="0065001C"/>
    <w:rsid w:val="006500CA"/>
    <w:rsid w:val="006500D8"/>
    <w:rsid w:val="006501B2"/>
    <w:rsid w:val="006501DD"/>
    <w:rsid w:val="00650202"/>
    <w:rsid w:val="0065027B"/>
    <w:rsid w:val="00650422"/>
    <w:rsid w:val="006505BA"/>
    <w:rsid w:val="006505C5"/>
    <w:rsid w:val="006506CB"/>
    <w:rsid w:val="006509DB"/>
    <w:rsid w:val="00650A40"/>
    <w:rsid w:val="00650AB7"/>
    <w:rsid w:val="00650B6B"/>
    <w:rsid w:val="00650CAC"/>
    <w:rsid w:val="00650CD6"/>
    <w:rsid w:val="00650CEF"/>
    <w:rsid w:val="00650E0F"/>
    <w:rsid w:val="00650E4C"/>
    <w:rsid w:val="00650EC7"/>
    <w:rsid w:val="00650F18"/>
    <w:rsid w:val="00650FA4"/>
    <w:rsid w:val="00650FC2"/>
    <w:rsid w:val="006510D8"/>
    <w:rsid w:val="0065124B"/>
    <w:rsid w:val="0065131C"/>
    <w:rsid w:val="006515C1"/>
    <w:rsid w:val="006516DC"/>
    <w:rsid w:val="00651818"/>
    <w:rsid w:val="006518BE"/>
    <w:rsid w:val="006519BD"/>
    <w:rsid w:val="006519C4"/>
    <w:rsid w:val="00651A23"/>
    <w:rsid w:val="00651AED"/>
    <w:rsid w:val="00651CA8"/>
    <w:rsid w:val="00651CF7"/>
    <w:rsid w:val="00651D6B"/>
    <w:rsid w:val="00651D9D"/>
    <w:rsid w:val="00651F14"/>
    <w:rsid w:val="006520DB"/>
    <w:rsid w:val="0065211E"/>
    <w:rsid w:val="006521FF"/>
    <w:rsid w:val="0065225A"/>
    <w:rsid w:val="00652385"/>
    <w:rsid w:val="00652389"/>
    <w:rsid w:val="006523C8"/>
    <w:rsid w:val="00652499"/>
    <w:rsid w:val="00652524"/>
    <w:rsid w:val="00652568"/>
    <w:rsid w:val="0065289A"/>
    <w:rsid w:val="006528C4"/>
    <w:rsid w:val="0065293C"/>
    <w:rsid w:val="00652B00"/>
    <w:rsid w:val="00652BC5"/>
    <w:rsid w:val="00652D3F"/>
    <w:rsid w:val="00652D7B"/>
    <w:rsid w:val="00652DFC"/>
    <w:rsid w:val="00652F44"/>
    <w:rsid w:val="00652F5C"/>
    <w:rsid w:val="00653108"/>
    <w:rsid w:val="0065317B"/>
    <w:rsid w:val="00653209"/>
    <w:rsid w:val="006532A2"/>
    <w:rsid w:val="00653440"/>
    <w:rsid w:val="00653443"/>
    <w:rsid w:val="006534E1"/>
    <w:rsid w:val="0065354B"/>
    <w:rsid w:val="006535A6"/>
    <w:rsid w:val="00653602"/>
    <w:rsid w:val="00653661"/>
    <w:rsid w:val="00653882"/>
    <w:rsid w:val="00653931"/>
    <w:rsid w:val="00653936"/>
    <w:rsid w:val="00653A2F"/>
    <w:rsid w:val="00653ACB"/>
    <w:rsid w:val="00653CD8"/>
    <w:rsid w:val="00653D27"/>
    <w:rsid w:val="00653FAC"/>
    <w:rsid w:val="00653FE2"/>
    <w:rsid w:val="00653FF3"/>
    <w:rsid w:val="0065404E"/>
    <w:rsid w:val="0065418A"/>
    <w:rsid w:val="0065424B"/>
    <w:rsid w:val="0065427F"/>
    <w:rsid w:val="0065434D"/>
    <w:rsid w:val="006545B5"/>
    <w:rsid w:val="0065468E"/>
    <w:rsid w:val="006546E7"/>
    <w:rsid w:val="00654829"/>
    <w:rsid w:val="006548EA"/>
    <w:rsid w:val="006549DE"/>
    <w:rsid w:val="006549FB"/>
    <w:rsid w:val="00654C09"/>
    <w:rsid w:val="00654C7B"/>
    <w:rsid w:val="00654D21"/>
    <w:rsid w:val="00654D3A"/>
    <w:rsid w:val="00654D7F"/>
    <w:rsid w:val="00654E32"/>
    <w:rsid w:val="00654E9A"/>
    <w:rsid w:val="00654E9D"/>
    <w:rsid w:val="00654ED9"/>
    <w:rsid w:val="00654FD3"/>
    <w:rsid w:val="0065503A"/>
    <w:rsid w:val="00655081"/>
    <w:rsid w:val="00655255"/>
    <w:rsid w:val="00655286"/>
    <w:rsid w:val="00655425"/>
    <w:rsid w:val="0065543C"/>
    <w:rsid w:val="0065569D"/>
    <w:rsid w:val="0065571F"/>
    <w:rsid w:val="006557E7"/>
    <w:rsid w:val="00655976"/>
    <w:rsid w:val="00655980"/>
    <w:rsid w:val="006559D5"/>
    <w:rsid w:val="0065609A"/>
    <w:rsid w:val="00656143"/>
    <w:rsid w:val="006561F6"/>
    <w:rsid w:val="00656235"/>
    <w:rsid w:val="006562E5"/>
    <w:rsid w:val="0065638A"/>
    <w:rsid w:val="006564F4"/>
    <w:rsid w:val="00656707"/>
    <w:rsid w:val="0065681A"/>
    <w:rsid w:val="0065693B"/>
    <w:rsid w:val="00656AA3"/>
    <w:rsid w:val="00656AF4"/>
    <w:rsid w:val="00656B60"/>
    <w:rsid w:val="00656E0F"/>
    <w:rsid w:val="00657102"/>
    <w:rsid w:val="00657106"/>
    <w:rsid w:val="00657185"/>
    <w:rsid w:val="006571B5"/>
    <w:rsid w:val="006572BC"/>
    <w:rsid w:val="00657313"/>
    <w:rsid w:val="006573E6"/>
    <w:rsid w:val="006574B3"/>
    <w:rsid w:val="006574E7"/>
    <w:rsid w:val="006577C2"/>
    <w:rsid w:val="006578CB"/>
    <w:rsid w:val="00657962"/>
    <w:rsid w:val="00657998"/>
    <w:rsid w:val="006579E6"/>
    <w:rsid w:val="00657BCD"/>
    <w:rsid w:val="00657FE8"/>
    <w:rsid w:val="00660079"/>
    <w:rsid w:val="006602D5"/>
    <w:rsid w:val="006604BE"/>
    <w:rsid w:val="00660504"/>
    <w:rsid w:val="006605FD"/>
    <w:rsid w:val="00660645"/>
    <w:rsid w:val="0066070F"/>
    <w:rsid w:val="00660806"/>
    <w:rsid w:val="0066083E"/>
    <w:rsid w:val="00660969"/>
    <w:rsid w:val="006609D9"/>
    <w:rsid w:val="00660A5D"/>
    <w:rsid w:val="00660B88"/>
    <w:rsid w:val="00660D41"/>
    <w:rsid w:val="00660D64"/>
    <w:rsid w:val="00660E30"/>
    <w:rsid w:val="00660EF9"/>
    <w:rsid w:val="00660F31"/>
    <w:rsid w:val="00660F5D"/>
    <w:rsid w:val="00661223"/>
    <w:rsid w:val="006612D1"/>
    <w:rsid w:val="0066138E"/>
    <w:rsid w:val="006613E7"/>
    <w:rsid w:val="00661479"/>
    <w:rsid w:val="006614CB"/>
    <w:rsid w:val="00661602"/>
    <w:rsid w:val="006616FE"/>
    <w:rsid w:val="006618C7"/>
    <w:rsid w:val="0066192C"/>
    <w:rsid w:val="00661A3B"/>
    <w:rsid w:val="00661A8C"/>
    <w:rsid w:val="00661ACB"/>
    <w:rsid w:val="00661D05"/>
    <w:rsid w:val="00661D15"/>
    <w:rsid w:val="00661D4E"/>
    <w:rsid w:val="00661D52"/>
    <w:rsid w:val="00661DFD"/>
    <w:rsid w:val="00661F66"/>
    <w:rsid w:val="006621A1"/>
    <w:rsid w:val="006622C9"/>
    <w:rsid w:val="006623CD"/>
    <w:rsid w:val="006624F4"/>
    <w:rsid w:val="006625CE"/>
    <w:rsid w:val="0066267C"/>
    <w:rsid w:val="00662698"/>
    <w:rsid w:val="0066279E"/>
    <w:rsid w:val="0066281E"/>
    <w:rsid w:val="0066291D"/>
    <w:rsid w:val="006629D5"/>
    <w:rsid w:val="006629E8"/>
    <w:rsid w:val="006629F3"/>
    <w:rsid w:val="00662E0F"/>
    <w:rsid w:val="00662F7E"/>
    <w:rsid w:val="00662F88"/>
    <w:rsid w:val="00662FFC"/>
    <w:rsid w:val="00663035"/>
    <w:rsid w:val="00663153"/>
    <w:rsid w:val="006632E0"/>
    <w:rsid w:val="006632FE"/>
    <w:rsid w:val="00663357"/>
    <w:rsid w:val="0066338C"/>
    <w:rsid w:val="006634A3"/>
    <w:rsid w:val="0066353D"/>
    <w:rsid w:val="006635F8"/>
    <w:rsid w:val="00663C4A"/>
    <w:rsid w:val="006640B0"/>
    <w:rsid w:val="006640E4"/>
    <w:rsid w:val="00664341"/>
    <w:rsid w:val="006644D1"/>
    <w:rsid w:val="0066456B"/>
    <w:rsid w:val="00664682"/>
    <w:rsid w:val="0066479D"/>
    <w:rsid w:val="006648E8"/>
    <w:rsid w:val="006649CD"/>
    <w:rsid w:val="00664AA4"/>
    <w:rsid w:val="00664C88"/>
    <w:rsid w:val="00664ECC"/>
    <w:rsid w:val="00664F3C"/>
    <w:rsid w:val="00665013"/>
    <w:rsid w:val="006650C5"/>
    <w:rsid w:val="006650F4"/>
    <w:rsid w:val="0066528A"/>
    <w:rsid w:val="00665372"/>
    <w:rsid w:val="0066543B"/>
    <w:rsid w:val="00665548"/>
    <w:rsid w:val="0066568A"/>
    <w:rsid w:val="00665696"/>
    <w:rsid w:val="006657A9"/>
    <w:rsid w:val="0066594E"/>
    <w:rsid w:val="00665992"/>
    <w:rsid w:val="00665A6C"/>
    <w:rsid w:val="00665A8B"/>
    <w:rsid w:val="00665B66"/>
    <w:rsid w:val="00665CB5"/>
    <w:rsid w:val="00665D19"/>
    <w:rsid w:val="00665E02"/>
    <w:rsid w:val="00665E47"/>
    <w:rsid w:val="00665F65"/>
    <w:rsid w:val="006660BE"/>
    <w:rsid w:val="006661A9"/>
    <w:rsid w:val="00666333"/>
    <w:rsid w:val="006663C3"/>
    <w:rsid w:val="006665DB"/>
    <w:rsid w:val="006665F7"/>
    <w:rsid w:val="00666614"/>
    <w:rsid w:val="00666707"/>
    <w:rsid w:val="00666728"/>
    <w:rsid w:val="006667A5"/>
    <w:rsid w:val="006667C6"/>
    <w:rsid w:val="006668E6"/>
    <w:rsid w:val="006669B7"/>
    <w:rsid w:val="00666C77"/>
    <w:rsid w:val="00666CFD"/>
    <w:rsid w:val="00666DF0"/>
    <w:rsid w:val="00666E9F"/>
    <w:rsid w:val="006670C0"/>
    <w:rsid w:val="00667185"/>
    <w:rsid w:val="006672AC"/>
    <w:rsid w:val="00667405"/>
    <w:rsid w:val="00667624"/>
    <w:rsid w:val="0066769E"/>
    <w:rsid w:val="0066776E"/>
    <w:rsid w:val="00667AB8"/>
    <w:rsid w:val="00667B05"/>
    <w:rsid w:val="00667B82"/>
    <w:rsid w:val="00667CD9"/>
    <w:rsid w:val="00667CEE"/>
    <w:rsid w:val="00667DEA"/>
    <w:rsid w:val="00670121"/>
    <w:rsid w:val="00670161"/>
    <w:rsid w:val="00670333"/>
    <w:rsid w:val="0067058E"/>
    <w:rsid w:val="00670663"/>
    <w:rsid w:val="00670737"/>
    <w:rsid w:val="00670B28"/>
    <w:rsid w:val="00670DE9"/>
    <w:rsid w:val="00670E65"/>
    <w:rsid w:val="00671043"/>
    <w:rsid w:val="00671130"/>
    <w:rsid w:val="006711BC"/>
    <w:rsid w:val="00671225"/>
    <w:rsid w:val="006713CD"/>
    <w:rsid w:val="0067185A"/>
    <w:rsid w:val="00671864"/>
    <w:rsid w:val="0067194C"/>
    <w:rsid w:val="006719F5"/>
    <w:rsid w:val="00671A03"/>
    <w:rsid w:val="00671A32"/>
    <w:rsid w:val="00671C2A"/>
    <w:rsid w:val="00671C37"/>
    <w:rsid w:val="00671C42"/>
    <w:rsid w:val="00671D07"/>
    <w:rsid w:val="00671E3A"/>
    <w:rsid w:val="00671EAB"/>
    <w:rsid w:val="00671FC5"/>
    <w:rsid w:val="0067203C"/>
    <w:rsid w:val="00672254"/>
    <w:rsid w:val="00672472"/>
    <w:rsid w:val="00672606"/>
    <w:rsid w:val="00672697"/>
    <w:rsid w:val="006728AA"/>
    <w:rsid w:val="006729DC"/>
    <w:rsid w:val="00672C19"/>
    <w:rsid w:val="00672D9F"/>
    <w:rsid w:val="00672E4A"/>
    <w:rsid w:val="00672FAF"/>
    <w:rsid w:val="00672FDC"/>
    <w:rsid w:val="006730BB"/>
    <w:rsid w:val="00673104"/>
    <w:rsid w:val="00673139"/>
    <w:rsid w:val="006732EF"/>
    <w:rsid w:val="0067350C"/>
    <w:rsid w:val="006735D4"/>
    <w:rsid w:val="0067377C"/>
    <w:rsid w:val="00673BD6"/>
    <w:rsid w:val="00673C50"/>
    <w:rsid w:val="00673DA7"/>
    <w:rsid w:val="00673FE9"/>
    <w:rsid w:val="006742A1"/>
    <w:rsid w:val="00674316"/>
    <w:rsid w:val="006743FE"/>
    <w:rsid w:val="00674401"/>
    <w:rsid w:val="006744B6"/>
    <w:rsid w:val="006744F2"/>
    <w:rsid w:val="0067453B"/>
    <w:rsid w:val="006745F3"/>
    <w:rsid w:val="00674885"/>
    <w:rsid w:val="00674AA7"/>
    <w:rsid w:val="00674BBC"/>
    <w:rsid w:val="00674C05"/>
    <w:rsid w:val="00674CEF"/>
    <w:rsid w:val="00674D68"/>
    <w:rsid w:val="00674E82"/>
    <w:rsid w:val="00674EA9"/>
    <w:rsid w:val="0067515B"/>
    <w:rsid w:val="006751AA"/>
    <w:rsid w:val="0067539F"/>
    <w:rsid w:val="00675576"/>
    <w:rsid w:val="006755EA"/>
    <w:rsid w:val="0067566A"/>
    <w:rsid w:val="0067569D"/>
    <w:rsid w:val="006756CD"/>
    <w:rsid w:val="00675762"/>
    <w:rsid w:val="00675962"/>
    <w:rsid w:val="006759BE"/>
    <w:rsid w:val="00675A83"/>
    <w:rsid w:val="00675B01"/>
    <w:rsid w:val="00675B7C"/>
    <w:rsid w:val="00675DF5"/>
    <w:rsid w:val="00675F48"/>
    <w:rsid w:val="0067608B"/>
    <w:rsid w:val="006760FC"/>
    <w:rsid w:val="006762E3"/>
    <w:rsid w:val="0067631B"/>
    <w:rsid w:val="0067634B"/>
    <w:rsid w:val="0067640E"/>
    <w:rsid w:val="0067655D"/>
    <w:rsid w:val="00676577"/>
    <w:rsid w:val="00676580"/>
    <w:rsid w:val="00676606"/>
    <w:rsid w:val="006766D9"/>
    <w:rsid w:val="006766DA"/>
    <w:rsid w:val="006768E0"/>
    <w:rsid w:val="00676988"/>
    <w:rsid w:val="00676B62"/>
    <w:rsid w:val="00676D75"/>
    <w:rsid w:val="00676DE2"/>
    <w:rsid w:val="00676E0A"/>
    <w:rsid w:val="0067714D"/>
    <w:rsid w:val="00677234"/>
    <w:rsid w:val="00677272"/>
    <w:rsid w:val="006772E3"/>
    <w:rsid w:val="0067737A"/>
    <w:rsid w:val="006773A6"/>
    <w:rsid w:val="006774B9"/>
    <w:rsid w:val="00677812"/>
    <w:rsid w:val="00677868"/>
    <w:rsid w:val="00677B71"/>
    <w:rsid w:val="00677CCC"/>
    <w:rsid w:val="00680208"/>
    <w:rsid w:val="0068030F"/>
    <w:rsid w:val="006805E8"/>
    <w:rsid w:val="0068089D"/>
    <w:rsid w:val="00680AD2"/>
    <w:rsid w:val="00680B91"/>
    <w:rsid w:val="00680BCD"/>
    <w:rsid w:val="00680F5A"/>
    <w:rsid w:val="00680FE3"/>
    <w:rsid w:val="00681031"/>
    <w:rsid w:val="006811E2"/>
    <w:rsid w:val="00681374"/>
    <w:rsid w:val="006814AF"/>
    <w:rsid w:val="00681638"/>
    <w:rsid w:val="00681659"/>
    <w:rsid w:val="0068181B"/>
    <w:rsid w:val="0068193A"/>
    <w:rsid w:val="00681A1D"/>
    <w:rsid w:val="00681A8F"/>
    <w:rsid w:val="00681CCB"/>
    <w:rsid w:val="00681CD3"/>
    <w:rsid w:val="00681CE5"/>
    <w:rsid w:val="00681D86"/>
    <w:rsid w:val="00681E79"/>
    <w:rsid w:val="00681EDA"/>
    <w:rsid w:val="00681FA0"/>
    <w:rsid w:val="00682067"/>
    <w:rsid w:val="006821CF"/>
    <w:rsid w:val="00682540"/>
    <w:rsid w:val="00682587"/>
    <w:rsid w:val="006825B7"/>
    <w:rsid w:val="006825D4"/>
    <w:rsid w:val="006825E5"/>
    <w:rsid w:val="00682718"/>
    <w:rsid w:val="00682745"/>
    <w:rsid w:val="0068283F"/>
    <w:rsid w:val="0068292D"/>
    <w:rsid w:val="00682A6B"/>
    <w:rsid w:val="00682D1C"/>
    <w:rsid w:val="00682D5A"/>
    <w:rsid w:val="00682D68"/>
    <w:rsid w:val="00682DF7"/>
    <w:rsid w:val="00682E77"/>
    <w:rsid w:val="00682E93"/>
    <w:rsid w:val="00682F97"/>
    <w:rsid w:val="00683059"/>
    <w:rsid w:val="006831A6"/>
    <w:rsid w:val="006831CB"/>
    <w:rsid w:val="006831F6"/>
    <w:rsid w:val="0068326F"/>
    <w:rsid w:val="006832E0"/>
    <w:rsid w:val="006832E2"/>
    <w:rsid w:val="0068377C"/>
    <w:rsid w:val="00683861"/>
    <w:rsid w:val="0068393A"/>
    <w:rsid w:val="00683C03"/>
    <w:rsid w:val="00683C7F"/>
    <w:rsid w:val="00683CA9"/>
    <w:rsid w:val="00683E40"/>
    <w:rsid w:val="00683E5E"/>
    <w:rsid w:val="00684073"/>
    <w:rsid w:val="00684098"/>
    <w:rsid w:val="0068433F"/>
    <w:rsid w:val="0068436A"/>
    <w:rsid w:val="0068447A"/>
    <w:rsid w:val="0068470B"/>
    <w:rsid w:val="00684883"/>
    <w:rsid w:val="00684928"/>
    <w:rsid w:val="00684932"/>
    <w:rsid w:val="00684999"/>
    <w:rsid w:val="006849C1"/>
    <w:rsid w:val="00684A1C"/>
    <w:rsid w:val="00684A20"/>
    <w:rsid w:val="00684B28"/>
    <w:rsid w:val="00684C81"/>
    <w:rsid w:val="00684C9C"/>
    <w:rsid w:val="00684CB8"/>
    <w:rsid w:val="00684D0A"/>
    <w:rsid w:val="00684DA0"/>
    <w:rsid w:val="00684E0F"/>
    <w:rsid w:val="00684F08"/>
    <w:rsid w:val="00684F52"/>
    <w:rsid w:val="00685133"/>
    <w:rsid w:val="006853A7"/>
    <w:rsid w:val="006853E8"/>
    <w:rsid w:val="00685590"/>
    <w:rsid w:val="006856FF"/>
    <w:rsid w:val="00685794"/>
    <w:rsid w:val="006857B0"/>
    <w:rsid w:val="006857B5"/>
    <w:rsid w:val="006857D0"/>
    <w:rsid w:val="00685871"/>
    <w:rsid w:val="00685DD7"/>
    <w:rsid w:val="00685E57"/>
    <w:rsid w:val="00686041"/>
    <w:rsid w:val="00686051"/>
    <w:rsid w:val="0068609D"/>
    <w:rsid w:val="0068616A"/>
    <w:rsid w:val="00686276"/>
    <w:rsid w:val="006862D2"/>
    <w:rsid w:val="006864C6"/>
    <w:rsid w:val="00686578"/>
    <w:rsid w:val="00686595"/>
    <w:rsid w:val="006865AF"/>
    <w:rsid w:val="0068667F"/>
    <w:rsid w:val="00686765"/>
    <w:rsid w:val="00686846"/>
    <w:rsid w:val="00686AD8"/>
    <w:rsid w:val="00686B79"/>
    <w:rsid w:val="00686EB9"/>
    <w:rsid w:val="00687085"/>
    <w:rsid w:val="0068710E"/>
    <w:rsid w:val="006871BB"/>
    <w:rsid w:val="006874CF"/>
    <w:rsid w:val="006875C7"/>
    <w:rsid w:val="006876BB"/>
    <w:rsid w:val="0068789C"/>
    <w:rsid w:val="00687A91"/>
    <w:rsid w:val="00687A95"/>
    <w:rsid w:val="00687B3A"/>
    <w:rsid w:val="00687D49"/>
    <w:rsid w:val="00687E2F"/>
    <w:rsid w:val="00687EC9"/>
    <w:rsid w:val="00687EE7"/>
    <w:rsid w:val="00687F89"/>
    <w:rsid w:val="0068FB31"/>
    <w:rsid w:val="0069007F"/>
    <w:rsid w:val="006900CC"/>
    <w:rsid w:val="006901BC"/>
    <w:rsid w:val="00690254"/>
    <w:rsid w:val="006902B7"/>
    <w:rsid w:val="0069042E"/>
    <w:rsid w:val="0069043A"/>
    <w:rsid w:val="0069051F"/>
    <w:rsid w:val="0069059F"/>
    <w:rsid w:val="0069064B"/>
    <w:rsid w:val="006906AC"/>
    <w:rsid w:val="006907CB"/>
    <w:rsid w:val="0069083F"/>
    <w:rsid w:val="006908C0"/>
    <w:rsid w:val="00690AE6"/>
    <w:rsid w:val="00690B78"/>
    <w:rsid w:val="00690C2E"/>
    <w:rsid w:val="00690D08"/>
    <w:rsid w:val="00690D54"/>
    <w:rsid w:val="00690D73"/>
    <w:rsid w:val="00690E03"/>
    <w:rsid w:val="00690EC8"/>
    <w:rsid w:val="00690EE0"/>
    <w:rsid w:val="00690FC8"/>
    <w:rsid w:val="00691134"/>
    <w:rsid w:val="0069122B"/>
    <w:rsid w:val="006916B1"/>
    <w:rsid w:val="0069179A"/>
    <w:rsid w:val="0069190D"/>
    <w:rsid w:val="00691920"/>
    <w:rsid w:val="00691985"/>
    <w:rsid w:val="00691B0C"/>
    <w:rsid w:val="00691C65"/>
    <w:rsid w:val="00691CA9"/>
    <w:rsid w:val="00691CBF"/>
    <w:rsid w:val="00691D38"/>
    <w:rsid w:val="00691E07"/>
    <w:rsid w:val="00692010"/>
    <w:rsid w:val="00692130"/>
    <w:rsid w:val="0069216C"/>
    <w:rsid w:val="00692327"/>
    <w:rsid w:val="0069246B"/>
    <w:rsid w:val="00692648"/>
    <w:rsid w:val="00692782"/>
    <w:rsid w:val="006927C4"/>
    <w:rsid w:val="006928C5"/>
    <w:rsid w:val="006929D3"/>
    <w:rsid w:val="006929D4"/>
    <w:rsid w:val="00692D37"/>
    <w:rsid w:val="00692D56"/>
    <w:rsid w:val="00692D64"/>
    <w:rsid w:val="00692F79"/>
    <w:rsid w:val="00692FCC"/>
    <w:rsid w:val="00692FFA"/>
    <w:rsid w:val="006931BB"/>
    <w:rsid w:val="0069326C"/>
    <w:rsid w:val="006933E9"/>
    <w:rsid w:val="00693442"/>
    <w:rsid w:val="006934CC"/>
    <w:rsid w:val="006934FB"/>
    <w:rsid w:val="00693542"/>
    <w:rsid w:val="00693559"/>
    <w:rsid w:val="006935ED"/>
    <w:rsid w:val="0069365A"/>
    <w:rsid w:val="006936C3"/>
    <w:rsid w:val="006936D8"/>
    <w:rsid w:val="006936FC"/>
    <w:rsid w:val="00693716"/>
    <w:rsid w:val="00693756"/>
    <w:rsid w:val="006938A3"/>
    <w:rsid w:val="006938FF"/>
    <w:rsid w:val="0069391D"/>
    <w:rsid w:val="006939F2"/>
    <w:rsid w:val="00693AC9"/>
    <w:rsid w:val="00693B2F"/>
    <w:rsid w:val="00693C50"/>
    <w:rsid w:val="00693CB6"/>
    <w:rsid w:val="00693E8B"/>
    <w:rsid w:val="006940B7"/>
    <w:rsid w:val="00694125"/>
    <w:rsid w:val="0069414E"/>
    <w:rsid w:val="00694439"/>
    <w:rsid w:val="0069451C"/>
    <w:rsid w:val="006946AE"/>
    <w:rsid w:val="006948AD"/>
    <w:rsid w:val="0069490F"/>
    <w:rsid w:val="006949C5"/>
    <w:rsid w:val="00694AB2"/>
    <w:rsid w:val="00694B96"/>
    <w:rsid w:val="00694C37"/>
    <w:rsid w:val="00694CCE"/>
    <w:rsid w:val="00694D50"/>
    <w:rsid w:val="00694D89"/>
    <w:rsid w:val="00694F88"/>
    <w:rsid w:val="0069506B"/>
    <w:rsid w:val="00695109"/>
    <w:rsid w:val="00695142"/>
    <w:rsid w:val="0069525D"/>
    <w:rsid w:val="00695261"/>
    <w:rsid w:val="006952D3"/>
    <w:rsid w:val="0069542B"/>
    <w:rsid w:val="00695439"/>
    <w:rsid w:val="006957DB"/>
    <w:rsid w:val="006959D7"/>
    <w:rsid w:val="00695D7E"/>
    <w:rsid w:val="006960C4"/>
    <w:rsid w:val="00696117"/>
    <w:rsid w:val="006961B2"/>
    <w:rsid w:val="0069629F"/>
    <w:rsid w:val="006962E4"/>
    <w:rsid w:val="00696437"/>
    <w:rsid w:val="00696529"/>
    <w:rsid w:val="0069653E"/>
    <w:rsid w:val="006965C9"/>
    <w:rsid w:val="0069662B"/>
    <w:rsid w:val="0069677E"/>
    <w:rsid w:val="00696854"/>
    <w:rsid w:val="00696A7B"/>
    <w:rsid w:val="00696C32"/>
    <w:rsid w:val="00696C55"/>
    <w:rsid w:val="00696EB7"/>
    <w:rsid w:val="00696EBA"/>
    <w:rsid w:val="00696EDD"/>
    <w:rsid w:val="00696F41"/>
    <w:rsid w:val="0069705D"/>
    <w:rsid w:val="006970E5"/>
    <w:rsid w:val="00697216"/>
    <w:rsid w:val="006972EC"/>
    <w:rsid w:val="006972FE"/>
    <w:rsid w:val="00697363"/>
    <w:rsid w:val="0069768F"/>
    <w:rsid w:val="006976C0"/>
    <w:rsid w:val="00697750"/>
    <w:rsid w:val="006977EE"/>
    <w:rsid w:val="0069786B"/>
    <w:rsid w:val="00697962"/>
    <w:rsid w:val="00697A9F"/>
    <w:rsid w:val="00697DB3"/>
    <w:rsid w:val="00697F8E"/>
    <w:rsid w:val="006A0316"/>
    <w:rsid w:val="006A0453"/>
    <w:rsid w:val="006A050E"/>
    <w:rsid w:val="006A056D"/>
    <w:rsid w:val="006A057E"/>
    <w:rsid w:val="006A0674"/>
    <w:rsid w:val="006A06CF"/>
    <w:rsid w:val="006A0970"/>
    <w:rsid w:val="006A09AD"/>
    <w:rsid w:val="006A09D7"/>
    <w:rsid w:val="006A0A6C"/>
    <w:rsid w:val="006A0B2F"/>
    <w:rsid w:val="006A0BAF"/>
    <w:rsid w:val="006A0DE6"/>
    <w:rsid w:val="006A109B"/>
    <w:rsid w:val="006A145D"/>
    <w:rsid w:val="006A160D"/>
    <w:rsid w:val="006A164B"/>
    <w:rsid w:val="006A17C8"/>
    <w:rsid w:val="006A183F"/>
    <w:rsid w:val="006A18BB"/>
    <w:rsid w:val="006A1983"/>
    <w:rsid w:val="006A1A27"/>
    <w:rsid w:val="006A1C4F"/>
    <w:rsid w:val="006A1C75"/>
    <w:rsid w:val="006A1D18"/>
    <w:rsid w:val="006A1DCD"/>
    <w:rsid w:val="006A1DCE"/>
    <w:rsid w:val="006A1FA4"/>
    <w:rsid w:val="006A21C7"/>
    <w:rsid w:val="006A229C"/>
    <w:rsid w:val="006A22B1"/>
    <w:rsid w:val="006A22CB"/>
    <w:rsid w:val="006A253E"/>
    <w:rsid w:val="006A25CA"/>
    <w:rsid w:val="006A26E5"/>
    <w:rsid w:val="006A270C"/>
    <w:rsid w:val="006A27FE"/>
    <w:rsid w:val="006A284D"/>
    <w:rsid w:val="006A2948"/>
    <w:rsid w:val="006A29D2"/>
    <w:rsid w:val="006A2AD3"/>
    <w:rsid w:val="006A314F"/>
    <w:rsid w:val="006A321A"/>
    <w:rsid w:val="006A334D"/>
    <w:rsid w:val="006A33D0"/>
    <w:rsid w:val="006A3445"/>
    <w:rsid w:val="006A3524"/>
    <w:rsid w:val="006A35C4"/>
    <w:rsid w:val="006A3611"/>
    <w:rsid w:val="006A38D5"/>
    <w:rsid w:val="006A3968"/>
    <w:rsid w:val="006A396D"/>
    <w:rsid w:val="006A3B16"/>
    <w:rsid w:val="006A3D5B"/>
    <w:rsid w:val="006A3EC1"/>
    <w:rsid w:val="006A3F78"/>
    <w:rsid w:val="006A4069"/>
    <w:rsid w:val="006A4154"/>
    <w:rsid w:val="006A4155"/>
    <w:rsid w:val="006A41AB"/>
    <w:rsid w:val="006A41B4"/>
    <w:rsid w:val="006A41FE"/>
    <w:rsid w:val="006A4264"/>
    <w:rsid w:val="006A4277"/>
    <w:rsid w:val="006A43FD"/>
    <w:rsid w:val="006A44D5"/>
    <w:rsid w:val="006A45BE"/>
    <w:rsid w:val="006A463A"/>
    <w:rsid w:val="006A48CA"/>
    <w:rsid w:val="006A493E"/>
    <w:rsid w:val="006A4D2C"/>
    <w:rsid w:val="006A5007"/>
    <w:rsid w:val="006A5035"/>
    <w:rsid w:val="006A512A"/>
    <w:rsid w:val="006A5156"/>
    <w:rsid w:val="006A520F"/>
    <w:rsid w:val="006A5228"/>
    <w:rsid w:val="006A522A"/>
    <w:rsid w:val="006A5413"/>
    <w:rsid w:val="006A546C"/>
    <w:rsid w:val="006A575A"/>
    <w:rsid w:val="006A593A"/>
    <w:rsid w:val="006A5961"/>
    <w:rsid w:val="006A59CF"/>
    <w:rsid w:val="006A59E8"/>
    <w:rsid w:val="006A5A3D"/>
    <w:rsid w:val="006A5A9E"/>
    <w:rsid w:val="006A5BF0"/>
    <w:rsid w:val="006A5D50"/>
    <w:rsid w:val="006A5E67"/>
    <w:rsid w:val="006A5EF3"/>
    <w:rsid w:val="006A5FD3"/>
    <w:rsid w:val="006A6102"/>
    <w:rsid w:val="006A618E"/>
    <w:rsid w:val="006A61A5"/>
    <w:rsid w:val="006A62DC"/>
    <w:rsid w:val="006A644A"/>
    <w:rsid w:val="006A64E2"/>
    <w:rsid w:val="006A6501"/>
    <w:rsid w:val="006A65A0"/>
    <w:rsid w:val="006A6696"/>
    <w:rsid w:val="006A67AE"/>
    <w:rsid w:val="006A6824"/>
    <w:rsid w:val="006A68C7"/>
    <w:rsid w:val="006A6A21"/>
    <w:rsid w:val="006A6A2D"/>
    <w:rsid w:val="006A6AA9"/>
    <w:rsid w:val="006A6ABA"/>
    <w:rsid w:val="006A6C34"/>
    <w:rsid w:val="006A6E30"/>
    <w:rsid w:val="006A6EB1"/>
    <w:rsid w:val="006A6EDD"/>
    <w:rsid w:val="006A6F4A"/>
    <w:rsid w:val="006A7126"/>
    <w:rsid w:val="006A7214"/>
    <w:rsid w:val="006A73AC"/>
    <w:rsid w:val="006A7451"/>
    <w:rsid w:val="006A7510"/>
    <w:rsid w:val="006A79E9"/>
    <w:rsid w:val="006A7A0C"/>
    <w:rsid w:val="006A7C37"/>
    <w:rsid w:val="006A7CA8"/>
    <w:rsid w:val="006A7D46"/>
    <w:rsid w:val="006A7E26"/>
    <w:rsid w:val="006A7E70"/>
    <w:rsid w:val="006A7E7F"/>
    <w:rsid w:val="006A7F59"/>
    <w:rsid w:val="006B0002"/>
    <w:rsid w:val="006B0181"/>
    <w:rsid w:val="006B02DE"/>
    <w:rsid w:val="006B0317"/>
    <w:rsid w:val="006B033C"/>
    <w:rsid w:val="006B03AD"/>
    <w:rsid w:val="006B03C3"/>
    <w:rsid w:val="006B03C6"/>
    <w:rsid w:val="006B03CD"/>
    <w:rsid w:val="006B0452"/>
    <w:rsid w:val="006B0588"/>
    <w:rsid w:val="006B05F3"/>
    <w:rsid w:val="006B06AC"/>
    <w:rsid w:val="006B0898"/>
    <w:rsid w:val="006B090D"/>
    <w:rsid w:val="006B0A1A"/>
    <w:rsid w:val="006B0A23"/>
    <w:rsid w:val="006B0AFE"/>
    <w:rsid w:val="006B0BE3"/>
    <w:rsid w:val="006B0E82"/>
    <w:rsid w:val="006B1017"/>
    <w:rsid w:val="006B126D"/>
    <w:rsid w:val="006B1431"/>
    <w:rsid w:val="006B14AB"/>
    <w:rsid w:val="006B161D"/>
    <w:rsid w:val="006B1673"/>
    <w:rsid w:val="006B16EC"/>
    <w:rsid w:val="006B18D4"/>
    <w:rsid w:val="006B1A1A"/>
    <w:rsid w:val="006B1A8E"/>
    <w:rsid w:val="006B1BD7"/>
    <w:rsid w:val="006B1C38"/>
    <w:rsid w:val="006B1CEA"/>
    <w:rsid w:val="006B1D42"/>
    <w:rsid w:val="006B1DFB"/>
    <w:rsid w:val="006B1E11"/>
    <w:rsid w:val="006B1F22"/>
    <w:rsid w:val="006B1FAA"/>
    <w:rsid w:val="006B2209"/>
    <w:rsid w:val="006B2413"/>
    <w:rsid w:val="006B2469"/>
    <w:rsid w:val="006B24A3"/>
    <w:rsid w:val="006B2673"/>
    <w:rsid w:val="006B2674"/>
    <w:rsid w:val="006B26D6"/>
    <w:rsid w:val="006B2773"/>
    <w:rsid w:val="006B289B"/>
    <w:rsid w:val="006B29F7"/>
    <w:rsid w:val="006B29FA"/>
    <w:rsid w:val="006B2A83"/>
    <w:rsid w:val="006B2ADF"/>
    <w:rsid w:val="006B2C13"/>
    <w:rsid w:val="006B2C4A"/>
    <w:rsid w:val="006B2CF8"/>
    <w:rsid w:val="006B2D4A"/>
    <w:rsid w:val="006B3036"/>
    <w:rsid w:val="006B315D"/>
    <w:rsid w:val="006B322A"/>
    <w:rsid w:val="006B327D"/>
    <w:rsid w:val="006B32A8"/>
    <w:rsid w:val="006B3387"/>
    <w:rsid w:val="006B3651"/>
    <w:rsid w:val="006B391A"/>
    <w:rsid w:val="006B3966"/>
    <w:rsid w:val="006B39E3"/>
    <w:rsid w:val="006B3A3E"/>
    <w:rsid w:val="006B3A73"/>
    <w:rsid w:val="006B3BAD"/>
    <w:rsid w:val="006B3BB4"/>
    <w:rsid w:val="006B3C80"/>
    <w:rsid w:val="006B3D91"/>
    <w:rsid w:val="006B3DBB"/>
    <w:rsid w:val="006B3E05"/>
    <w:rsid w:val="006B4045"/>
    <w:rsid w:val="006B4321"/>
    <w:rsid w:val="006B44A2"/>
    <w:rsid w:val="006B44F6"/>
    <w:rsid w:val="006B46D9"/>
    <w:rsid w:val="006B4713"/>
    <w:rsid w:val="006B4761"/>
    <w:rsid w:val="006B477F"/>
    <w:rsid w:val="006B48CD"/>
    <w:rsid w:val="006B4908"/>
    <w:rsid w:val="006B4914"/>
    <w:rsid w:val="006B4986"/>
    <w:rsid w:val="006B4E2C"/>
    <w:rsid w:val="006B4F4E"/>
    <w:rsid w:val="006B4FA1"/>
    <w:rsid w:val="006B4FFE"/>
    <w:rsid w:val="006B5079"/>
    <w:rsid w:val="006B5349"/>
    <w:rsid w:val="006B53A6"/>
    <w:rsid w:val="006B5834"/>
    <w:rsid w:val="006B58C4"/>
    <w:rsid w:val="006B5A58"/>
    <w:rsid w:val="006B5B51"/>
    <w:rsid w:val="006B5C62"/>
    <w:rsid w:val="006B5CD4"/>
    <w:rsid w:val="006B5DB2"/>
    <w:rsid w:val="006B5E1D"/>
    <w:rsid w:val="006B5E72"/>
    <w:rsid w:val="006B6013"/>
    <w:rsid w:val="006B60DD"/>
    <w:rsid w:val="006B6122"/>
    <w:rsid w:val="006B6222"/>
    <w:rsid w:val="006B6246"/>
    <w:rsid w:val="006B63A4"/>
    <w:rsid w:val="006B6551"/>
    <w:rsid w:val="006B6712"/>
    <w:rsid w:val="006B6719"/>
    <w:rsid w:val="006B67C4"/>
    <w:rsid w:val="006B68BA"/>
    <w:rsid w:val="006B6BEC"/>
    <w:rsid w:val="006B6C46"/>
    <w:rsid w:val="006B6C84"/>
    <w:rsid w:val="006B6CA4"/>
    <w:rsid w:val="006B6E84"/>
    <w:rsid w:val="006B6FE4"/>
    <w:rsid w:val="006B708C"/>
    <w:rsid w:val="006B72BF"/>
    <w:rsid w:val="006B7580"/>
    <w:rsid w:val="006B7630"/>
    <w:rsid w:val="006B7A33"/>
    <w:rsid w:val="006B7B10"/>
    <w:rsid w:val="006B7C12"/>
    <w:rsid w:val="006B7DED"/>
    <w:rsid w:val="006B7E03"/>
    <w:rsid w:val="006B7E54"/>
    <w:rsid w:val="006B7E6A"/>
    <w:rsid w:val="006B7ECE"/>
    <w:rsid w:val="006B7F0B"/>
    <w:rsid w:val="006C0084"/>
    <w:rsid w:val="006C00EE"/>
    <w:rsid w:val="006C018C"/>
    <w:rsid w:val="006C01D6"/>
    <w:rsid w:val="006C0254"/>
    <w:rsid w:val="006C028C"/>
    <w:rsid w:val="006C039E"/>
    <w:rsid w:val="006C04A2"/>
    <w:rsid w:val="006C04FF"/>
    <w:rsid w:val="006C05F8"/>
    <w:rsid w:val="006C068F"/>
    <w:rsid w:val="006C0826"/>
    <w:rsid w:val="006C08AA"/>
    <w:rsid w:val="006C0BE1"/>
    <w:rsid w:val="006C0CF2"/>
    <w:rsid w:val="006C0E1D"/>
    <w:rsid w:val="006C0FC1"/>
    <w:rsid w:val="006C10A6"/>
    <w:rsid w:val="006C1285"/>
    <w:rsid w:val="006C13A0"/>
    <w:rsid w:val="006C14BD"/>
    <w:rsid w:val="006C14BF"/>
    <w:rsid w:val="006C1555"/>
    <w:rsid w:val="006C1574"/>
    <w:rsid w:val="006C1702"/>
    <w:rsid w:val="006C189A"/>
    <w:rsid w:val="006C18FB"/>
    <w:rsid w:val="006C19A8"/>
    <w:rsid w:val="006C19C1"/>
    <w:rsid w:val="006C1D52"/>
    <w:rsid w:val="006C206C"/>
    <w:rsid w:val="006C20DB"/>
    <w:rsid w:val="006C214A"/>
    <w:rsid w:val="006C21DD"/>
    <w:rsid w:val="006C2265"/>
    <w:rsid w:val="006C22B2"/>
    <w:rsid w:val="006C23B6"/>
    <w:rsid w:val="006C23D7"/>
    <w:rsid w:val="006C248D"/>
    <w:rsid w:val="006C277D"/>
    <w:rsid w:val="006C2785"/>
    <w:rsid w:val="006C279B"/>
    <w:rsid w:val="006C288B"/>
    <w:rsid w:val="006C2ABD"/>
    <w:rsid w:val="006C2AE1"/>
    <w:rsid w:val="006C2D99"/>
    <w:rsid w:val="006C3044"/>
    <w:rsid w:val="006C32E1"/>
    <w:rsid w:val="006C32EA"/>
    <w:rsid w:val="006C345E"/>
    <w:rsid w:val="006C3464"/>
    <w:rsid w:val="006C34E6"/>
    <w:rsid w:val="006C3723"/>
    <w:rsid w:val="006C378C"/>
    <w:rsid w:val="006C3797"/>
    <w:rsid w:val="006C385D"/>
    <w:rsid w:val="006C3A7F"/>
    <w:rsid w:val="006C3B51"/>
    <w:rsid w:val="006C3BB7"/>
    <w:rsid w:val="006C3BFB"/>
    <w:rsid w:val="006C3C19"/>
    <w:rsid w:val="006C3CCF"/>
    <w:rsid w:val="006C3D48"/>
    <w:rsid w:val="006C3F25"/>
    <w:rsid w:val="006C4063"/>
    <w:rsid w:val="006C40D1"/>
    <w:rsid w:val="006C40DE"/>
    <w:rsid w:val="006C4175"/>
    <w:rsid w:val="006C4273"/>
    <w:rsid w:val="006C4318"/>
    <w:rsid w:val="006C43D1"/>
    <w:rsid w:val="006C44F3"/>
    <w:rsid w:val="006C450B"/>
    <w:rsid w:val="006C452A"/>
    <w:rsid w:val="006C45DA"/>
    <w:rsid w:val="006C4605"/>
    <w:rsid w:val="006C46B8"/>
    <w:rsid w:val="006C46F1"/>
    <w:rsid w:val="006C4782"/>
    <w:rsid w:val="006C4803"/>
    <w:rsid w:val="006C4827"/>
    <w:rsid w:val="006C48C5"/>
    <w:rsid w:val="006C4AFB"/>
    <w:rsid w:val="006C4B6D"/>
    <w:rsid w:val="006C4BC7"/>
    <w:rsid w:val="006C4C25"/>
    <w:rsid w:val="006C4CD2"/>
    <w:rsid w:val="006C4CE5"/>
    <w:rsid w:val="006C4F11"/>
    <w:rsid w:val="006C511D"/>
    <w:rsid w:val="006C518F"/>
    <w:rsid w:val="006C51D1"/>
    <w:rsid w:val="006C528B"/>
    <w:rsid w:val="006C536C"/>
    <w:rsid w:val="006C5643"/>
    <w:rsid w:val="006C5644"/>
    <w:rsid w:val="006C5792"/>
    <w:rsid w:val="006C5834"/>
    <w:rsid w:val="006C58D1"/>
    <w:rsid w:val="006C58E0"/>
    <w:rsid w:val="006C5944"/>
    <w:rsid w:val="006C595A"/>
    <w:rsid w:val="006C597E"/>
    <w:rsid w:val="006C59FC"/>
    <w:rsid w:val="006C5A1E"/>
    <w:rsid w:val="006C5B59"/>
    <w:rsid w:val="006C5BC0"/>
    <w:rsid w:val="006C5CFE"/>
    <w:rsid w:val="006C613D"/>
    <w:rsid w:val="006C61C1"/>
    <w:rsid w:val="006C63D0"/>
    <w:rsid w:val="006C6586"/>
    <w:rsid w:val="006C65F7"/>
    <w:rsid w:val="006C6660"/>
    <w:rsid w:val="006C673E"/>
    <w:rsid w:val="006C6846"/>
    <w:rsid w:val="006C6B9D"/>
    <w:rsid w:val="006C6C07"/>
    <w:rsid w:val="006C6E2D"/>
    <w:rsid w:val="006C6E8D"/>
    <w:rsid w:val="006C6F6C"/>
    <w:rsid w:val="006C714C"/>
    <w:rsid w:val="006C7170"/>
    <w:rsid w:val="006C742A"/>
    <w:rsid w:val="006C7692"/>
    <w:rsid w:val="006C7697"/>
    <w:rsid w:val="006C776E"/>
    <w:rsid w:val="006C77A9"/>
    <w:rsid w:val="006C77FB"/>
    <w:rsid w:val="006C7826"/>
    <w:rsid w:val="006C78E3"/>
    <w:rsid w:val="006C7932"/>
    <w:rsid w:val="006C7982"/>
    <w:rsid w:val="006C7B4C"/>
    <w:rsid w:val="006C7BE3"/>
    <w:rsid w:val="006C7CBE"/>
    <w:rsid w:val="006C7DE2"/>
    <w:rsid w:val="006C7EC7"/>
    <w:rsid w:val="006C7FBC"/>
    <w:rsid w:val="006D0118"/>
    <w:rsid w:val="006D02FD"/>
    <w:rsid w:val="006D03C5"/>
    <w:rsid w:val="006D0415"/>
    <w:rsid w:val="006D0691"/>
    <w:rsid w:val="006D0AA6"/>
    <w:rsid w:val="006D0C2A"/>
    <w:rsid w:val="006D0C37"/>
    <w:rsid w:val="006D0D34"/>
    <w:rsid w:val="006D0D5C"/>
    <w:rsid w:val="006D0E22"/>
    <w:rsid w:val="006D0F3C"/>
    <w:rsid w:val="006D0F5A"/>
    <w:rsid w:val="006D1032"/>
    <w:rsid w:val="006D1117"/>
    <w:rsid w:val="006D1282"/>
    <w:rsid w:val="006D12C7"/>
    <w:rsid w:val="006D12CF"/>
    <w:rsid w:val="006D130C"/>
    <w:rsid w:val="006D1335"/>
    <w:rsid w:val="006D14BD"/>
    <w:rsid w:val="006D14EB"/>
    <w:rsid w:val="006D171D"/>
    <w:rsid w:val="006D1834"/>
    <w:rsid w:val="006D1848"/>
    <w:rsid w:val="006D1876"/>
    <w:rsid w:val="006D1A85"/>
    <w:rsid w:val="006D1A88"/>
    <w:rsid w:val="006D1AC3"/>
    <w:rsid w:val="006D1B05"/>
    <w:rsid w:val="006D1B20"/>
    <w:rsid w:val="006D1B35"/>
    <w:rsid w:val="006D1D31"/>
    <w:rsid w:val="006D1F0B"/>
    <w:rsid w:val="006D2151"/>
    <w:rsid w:val="006D21C9"/>
    <w:rsid w:val="006D21D8"/>
    <w:rsid w:val="006D2205"/>
    <w:rsid w:val="006D233F"/>
    <w:rsid w:val="006D289F"/>
    <w:rsid w:val="006D29DD"/>
    <w:rsid w:val="006D2A9D"/>
    <w:rsid w:val="006D2B70"/>
    <w:rsid w:val="006D2C35"/>
    <w:rsid w:val="006D2C80"/>
    <w:rsid w:val="006D2CB6"/>
    <w:rsid w:val="006D300C"/>
    <w:rsid w:val="006D36D8"/>
    <w:rsid w:val="006D3813"/>
    <w:rsid w:val="006D3819"/>
    <w:rsid w:val="006D39DC"/>
    <w:rsid w:val="006D3A3E"/>
    <w:rsid w:val="006D3CA2"/>
    <w:rsid w:val="006D3E72"/>
    <w:rsid w:val="006D4534"/>
    <w:rsid w:val="006D45EF"/>
    <w:rsid w:val="006D46DE"/>
    <w:rsid w:val="006D488D"/>
    <w:rsid w:val="006D4910"/>
    <w:rsid w:val="006D4965"/>
    <w:rsid w:val="006D4A49"/>
    <w:rsid w:val="006D4AD8"/>
    <w:rsid w:val="006D4B0B"/>
    <w:rsid w:val="006D4FD9"/>
    <w:rsid w:val="006D4FE5"/>
    <w:rsid w:val="006D5010"/>
    <w:rsid w:val="006D5143"/>
    <w:rsid w:val="006D5231"/>
    <w:rsid w:val="006D526F"/>
    <w:rsid w:val="006D528F"/>
    <w:rsid w:val="006D5315"/>
    <w:rsid w:val="006D537B"/>
    <w:rsid w:val="006D5655"/>
    <w:rsid w:val="006D5694"/>
    <w:rsid w:val="006D56D7"/>
    <w:rsid w:val="006D586B"/>
    <w:rsid w:val="006D5A11"/>
    <w:rsid w:val="006D5AD5"/>
    <w:rsid w:val="006D5C22"/>
    <w:rsid w:val="006D5D01"/>
    <w:rsid w:val="006D5D63"/>
    <w:rsid w:val="006D5E11"/>
    <w:rsid w:val="006D5E6B"/>
    <w:rsid w:val="006D5EB9"/>
    <w:rsid w:val="006D605A"/>
    <w:rsid w:val="006D6129"/>
    <w:rsid w:val="006D6145"/>
    <w:rsid w:val="006D6426"/>
    <w:rsid w:val="006D646C"/>
    <w:rsid w:val="006D64C4"/>
    <w:rsid w:val="006D650D"/>
    <w:rsid w:val="006D6604"/>
    <w:rsid w:val="006D66C6"/>
    <w:rsid w:val="006D66D2"/>
    <w:rsid w:val="006D692A"/>
    <w:rsid w:val="006D69A5"/>
    <w:rsid w:val="006D69E9"/>
    <w:rsid w:val="006D6A3B"/>
    <w:rsid w:val="006D6B3D"/>
    <w:rsid w:val="006D6E09"/>
    <w:rsid w:val="006D6EED"/>
    <w:rsid w:val="006D7148"/>
    <w:rsid w:val="006D7275"/>
    <w:rsid w:val="006D7392"/>
    <w:rsid w:val="006D74FE"/>
    <w:rsid w:val="006D75BE"/>
    <w:rsid w:val="006D75F8"/>
    <w:rsid w:val="006D75FF"/>
    <w:rsid w:val="006D76A2"/>
    <w:rsid w:val="006D78E2"/>
    <w:rsid w:val="006D7978"/>
    <w:rsid w:val="006D7A73"/>
    <w:rsid w:val="006D7A7A"/>
    <w:rsid w:val="006D7E40"/>
    <w:rsid w:val="006D7FCE"/>
    <w:rsid w:val="006E0228"/>
    <w:rsid w:val="006E0262"/>
    <w:rsid w:val="006E04EA"/>
    <w:rsid w:val="006E057E"/>
    <w:rsid w:val="006E072B"/>
    <w:rsid w:val="006E0A0F"/>
    <w:rsid w:val="006E0B9D"/>
    <w:rsid w:val="006E0DD0"/>
    <w:rsid w:val="006E0E1B"/>
    <w:rsid w:val="006E0F25"/>
    <w:rsid w:val="006E14A8"/>
    <w:rsid w:val="006E15C3"/>
    <w:rsid w:val="006E1734"/>
    <w:rsid w:val="006E1973"/>
    <w:rsid w:val="006E1A37"/>
    <w:rsid w:val="006E1A46"/>
    <w:rsid w:val="006E1A48"/>
    <w:rsid w:val="006E1B83"/>
    <w:rsid w:val="006E1BAD"/>
    <w:rsid w:val="006E1C05"/>
    <w:rsid w:val="006E1D6C"/>
    <w:rsid w:val="006E1DAB"/>
    <w:rsid w:val="006E1DE1"/>
    <w:rsid w:val="006E1F1A"/>
    <w:rsid w:val="006E1FD0"/>
    <w:rsid w:val="006E2091"/>
    <w:rsid w:val="006E2261"/>
    <w:rsid w:val="006E2295"/>
    <w:rsid w:val="006E22A6"/>
    <w:rsid w:val="006E235F"/>
    <w:rsid w:val="006E252F"/>
    <w:rsid w:val="006E2616"/>
    <w:rsid w:val="006E2716"/>
    <w:rsid w:val="006E2753"/>
    <w:rsid w:val="006E27D2"/>
    <w:rsid w:val="006E2822"/>
    <w:rsid w:val="006E283C"/>
    <w:rsid w:val="006E28C7"/>
    <w:rsid w:val="006E28C8"/>
    <w:rsid w:val="006E2944"/>
    <w:rsid w:val="006E2CF8"/>
    <w:rsid w:val="006E2E70"/>
    <w:rsid w:val="006E2F12"/>
    <w:rsid w:val="006E2F32"/>
    <w:rsid w:val="006E2F4D"/>
    <w:rsid w:val="006E2FBA"/>
    <w:rsid w:val="006E3090"/>
    <w:rsid w:val="006E323E"/>
    <w:rsid w:val="006E327F"/>
    <w:rsid w:val="006E331E"/>
    <w:rsid w:val="006E3336"/>
    <w:rsid w:val="006E345B"/>
    <w:rsid w:val="006E3468"/>
    <w:rsid w:val="006E3539"/>
    <w:rsid w:val="006E358D"/>
    <w:rsid w:val="006E36B0"/>
    <w:rsid w:val="006E36F0"/>
    <w:rsid w:val="006E3A86"/>
    <w:rsid w:val="006E3AD1"/>
    <w:rsid w:val="006E3AE3"/>
    <w:rsid w:val="006E3AF8"/>
    <w:rsid w:val="006E3B51"/>
    <w:rsid w:val="006E3C47"/>
    <w:rsid w:val="006E401F"/>
    <w:rsid w:val="006E4267"/>
    <w:rsid w:val="006E4336"/>
    <w:rsid w:val="006E4340"/>
    <w:rsid w:val="006E4341"/>
    <w:rsid w:val="006E43FE"/>
    <w:rsid w:val="006E4400"/>
    <w:rsid w:val="006E440E"/>
    <w:rsid w:val="006E4460"/>
    <w:rsid w:val="006E4533"/>
    <w:rsid w:val="006E4573"/>
    <w:rsid w:val="006E4927"/>
    <w:rsid w:val="006E4960"/>
    <w:rsid w:val="006E4969"/>
    <w:rsid w:val="006E4998"/>
    <w:rsid w:val="006E4A9C"/>
    <w:rsid w:val="006E4AAA"/>
    <w:rsid w:val="006E4BBC"/>
    <w:rsid w:val="006E4E58"/>
    <w:rsid w:val="006E4F0C"/>
    <w:rsid w:val="006E4FB1"/>
    <w:rsid w:val="006E5045"/>
    <w:rsid w:val="006E5333"/>
    <w:rsid w:val="006E5568"/>
    <w:rsid w:val="006E5815"/>
    <w:rsid w:val="006E588B"/>
    <w:rsid w:val="006E5962"/>
    <w:rsid w:val="006E596C"/>
    <w:rsid w:val="006E59E5"/>
    <w:rsid w:val="006E5A96"/>
    <w:rsid w:val="006E5BCB"/>
    <w:rsid w:val="006E5D28"/>
    <w:rsid w:val="006E5D33"/>
    <w:rsid w:val="006E5D3F"/>
    <w:rsid w:val="006E5E4E"/>
    <w:rsid w:val="006E5E6D"/>
    <w:rsid w:val="006E5EF3"/>
    <w:rsid w:val="006E6163"/>
    <w:rsid w:val="006E61AE"/>
    <w:rsid w:val="006E6277"/>
    <w:rsid w:val="006E6381"/>
    <w:rsid w:val="006E63F4"/>
    <w:rsid w:val="006E6411"/>
    <w:rsid w:val="006E67A6"/>
    <w:rsid w:val="006E6852"/>
    <w:rsid w:val="006E6898"/>
    <w:rsid w:val="006E6B45"/>
    <w:rsid w:val="006E6D23"/>
    <w:rsid w:val="006E6D86"/>
    <w:rsid w:val="006E6DC5"/>
    <w:rsid w:val="006E6E7C"/>
    <w:rsid w:val="006E6FAF"/>
    <w:rsid w:val="006E71F1"/>
    <w:rsid w:val="006E720C"/>
    <w:rsid w:val="006E7316"/>
    <w:rsid w:val="006E7370"/>
    <w:rsid w:val="006E7588"/>
    <w:rsid w:val="006E770C"/>
    <w:rsid w:val="006E7793"/>
    <w:rsid w:val="006E77DF"/>
    <w:rsid w:val="006E785D"/>
    <w:rsid w:val="006E78FC"/>
    <w:rsid w:val="006E7923"/>
    <w:rsid w:val="006E79C9"/>
    <w:rsid w:val="006E7A40"/>
    <w:rsid w:val="006E7A5F"/>
    <w:rsid w:val="006E7B80"/>
    <w:rsid w:val="006E7C82"/>
    <w:rsid w:val="006E7D3C"/>
    <w:rsid w:val="006E7F3E"/>
    <w:rsid w:val="006F0016"/>
    <w:rsid w:val="006F00DF"/>
    <w:rsid w:val="006F019B"/>
    <w:rsid w:val="006F0339"/>
    <w:rsid w:val="006F0343"/>
    <w:rsid w:val="006F04C5"/>
    <w:rsid w:val="006F05FF"/>
    <w:rsid w:val="006F069E"/>
    <w:rsid w:val="006F0799"/>
    <w:rsid w:val="006F080F"/>
    <w:rsid w:val="006F0895"/>
    <w:rsid w:val="006F0981"/>
    <w:rsid w:val="006F0A99"/>
    <w:rsid w:val="006F0C4B"/>
    <w:rsid w:val="006F0C5D"/>
    <w:rsid w:val="006F0C7E"/>
    <w:rsid w:val="006F0C85"/>
    <w:rsid w:val="006F0C8E"/>
    <w:rsid w:val="006F0CE7"/>
    <w:rsid w:val="006F0D0F"/>
    <w:rsid w:val="006F0D4D"/>
    <w:rsid w:val="006F0E3A"/>
    <w:rsid w:val="006F0E73"/>
    <w:rsid w:val="006F0E79"/>
    <w:rsid w:val="006F0F02"/>
    <w:rsid w:val="006F105B"/>
    <w:rsid w:val="006F11BE"/>
    <w:rsid w:val="006F1422"/>
    <w:rsid w:val="006F1522"/>
    <w:rsid w:val="006F1686"/>
    <w:rsid w:val="006F16BB"/>
    <w:rsid w:val="006F1741"/>
    <w:rsid w:val="006F18D0"/>
    <w:rsid w:val="006F195F"/>
    <w:rsid w:val="006F1C14"/>
    <w:rsid w:val="006F1D29"/>
    <w:rsid w:val="006F1DE3"/>
    <w:rsid w:val="006F1E4D"/>
    <w:rsid w:val="006F208E"/>
    <w:rsid w:val="006F2261"/>
    <w:rsid w:val="006F229E"/>
    <w:rsid w:val="006F23BA"/>
    <w:rsid w:val="006F24EA"/>
    <w:rsid w:val="006F251A"/>
    <w:rsid w:val="006F25BF"/>
    <w:rsid w:val="006F25C3"/>
    <w:rsid w:val="006F260C"/>
    <w:rsid w:val="006F26FD"/>
    <w:rsid w:val="006F27C0"/>
    <w:rsid w:val="006F283B"/>
    <w:rsid w:val="006F286B"/>
    <w:rsid w:val="006F2922"/>
    <w:rsid w:val="006F2A59"/>
    <w:rsid w:val="006F2B51"/>
    <w:rsid w:val="006F2BF0"/>
    <w:rsid w:val="006F2E1F"/>
    <w:rsid w:val="006F30C0"/>
    <w:rsid w:val="006F31D8"/>
    <w:rsid w:val="006F3386"/>
    <w:rsid w:val="006F34E2"/>
    <w:rsid w:val="006F357E"/>
    <w:rsid w:val="006F359D"/>
    <w:rsid w:val="006F35CC"/>
    <w:rsid w:val="006F35FF"/>
    <w:rsid w:val="006F36C1"/>
    <w:rsid w:val="006F3792"/>
    <w:rsid w:val="006F3917"/>
    <w:rsid w:val="006F39D2"/>
    <w:rsid w:val="006F3AEC"/>
    <w:rsid w:val="006F3B1C"/>
    <w:rsid w:val="006F3B60"/>
    <w:rsid w:val="006F3C62"/>
    <w:rsid w:val="006F3E7C"/>
    <w:rsid w:val="006F3E7F"/>
    <w:rsid w:val="006F3F1C"/>
    <w:rsid w:val="006F3F9A"/>
    <w:rsid w:val="006F3FC3"/>
    <w:rsid w:val="006F40A7"/>
    <w:rsid w:val="006F4119"/>
    <w:rsid w:val="006F41D5"/>
    <w:rsid w:val="006F4294"/>
    <w:rsid w:val="006F42D6"/>
    <w:rsid w:val="006F4456"/>
    <w:rsid w:val="006F4465"/>
    <w:rsid w:val="006F44A3"/>
    <w:rsid w:val="006F466E"/>
    <w:rsid w:val="006F4804"/>
    <w:rsid w:val="006F483F"/>
    <w:rsid w:val="006F4AB1"/>
    <w:rsid w:val="006F4B77"/>
    <w:rsid w:val="006F4D0C"/>
    <w:rsid w:val="006F4DD2"/>
    <w:rsid w:val="006F5020"/>
    <w:rsid w:val="006F5048"/>
    <w:rsid w:val="006F5076"/>
    <w:rsid w:val="006F5082"/>
    <w:rsid w:val="006F50F9"/>
    <w:rsid w:val="006F5475"/>
    <w:rsid w:val="006F564C"/>
    <w:rsid w:val="006F565A"/>
    <w:rsid w:val="006F5701"/>
    <w:rsid w:val="006F5754"/>
    <w:rsid w:val="006F582A"/>
    <w:rsid w:val="006F5A3F"/>
    <w:rsid w:val="006F5A48"/>
    <w:rsid w:val="006F5A90"/>
    <w:rsid w:val="006F5B2C"/>
    <w:rsid w:val="006F5BB7"/>
    <w:rsid w:val="006F5E3D"/>
    <w:rsid w:val="006F5E63"/>
    <w:rsid w:val="006F605B"/>
    <w:rsid w:val="006F6164"/>
    <w:rsid w:val="006F61AA"/>
    <w:rsid w:val="006F61F1"/>
    <w:rsid w:val="006F6323"/>
    <w:rsid w:val="006F639B"/>
    <w:rsid w:val="006F63E9"/>
    <w:rsid w:val="006F64BE"/>
    <w:rsid w:val="006F64C6"/>
    <w:rsid w:val="006F6507"/>
    <w:rsid w:val="006F651D"/>
    <w:rsid w:val="006F6568"/>
    <w:rsid w:val="006F6692"/>
    <w:rsid w:val="006F6696"/>
    <w:rsid w:val="006F67B4"/>
    <w:rsid w:val="006F67C2"/>
    <w:rsid w:val="006F67C4"/>
    <w:rsid w:val="006F6834"/>
    <w:rsid w:val="006F6A3C"/>
    <w:rsid w:val="006F6B22"/>
    <w:rsid w:val="006F6B76"/>
    <w:rsid w:val="006F6BC5"/>
    <w:rsid w:val="006F6CB2"/>
    <w:rsid w:val="006F6D1E"/>
    <w:rsid w:val="006F6EAF"/>
    <w:rsid w:val="006F706C"/>
    <w:rsid w:val="006F7074"/>
    <w:rsid w:val="006F7123"/>
    <w:rsid w:val="006F71D4"/>
    <w:rsid w:val="006F7308"/>
    <w:rsid w:val="006F738D"/>
    <w:rsid w:val="006F73C6"/>
    <w:rsid w:val="006F74C6"/>
    <w:rsid w:val="006F74D6"/>
    <w:rsid w:val="006F75B4"/>
    <w:rsid w:val="006F76A0"/>
    <w:rsid w:val="006F78AD"/>
    <w:rsid w:val="006F793E"/>
    <w:rsid w:val="006F7989"/>
    <w:rsid w:val="006F79C9"/>
    <w:rsid w:val="006F7A2B"/>
    <w:rsid w:val="006F7C02"/>
    <w:rsid w:val="006F7C4E"/>
    <w:rsid w:val="006F7FE4"/>
    <w:rsid w:val="00700012"/>
    <w:rsid w:val="00700018"/>
    <w:rsid w:val="0070004F"/>
    <w:rsid w:val="00700185"/>
    <w:rsid w:val="00700220"/>
    <w:rsid w:val="007002C3"/>
    <w:rsid w:val="007002CD"/>
    <w:rsid w:val="00700355"/>
    <w:rsid w:val="0070062E"/>
    <w:rsid w:val="007006BC"/>
    <w:rsid w:val="0070076C"/>
    <w:rsid w:val="00700861"/>
    <w:rsid w:val="00700AA3"/>
    <w:rsid w:val="00700B0B"/>
    <w:rsid w:val="00700BC4"/>
    <w:rsid w:val="00700BD0"/>
    <w:rsid w:val="00700BD7"/>
    <w:rsid w:val="00700BFD"/>
    <w:rsid w:val="00700C07"/>
    <w:rsid w:val="00700CC1"/>
    <w:rsid w:val="00700FBA"/>
    <w:rsid w:val="007010BF"/>
    <w:rsid w:val="007013A6"/>
    <w:rsid w:val="00701599"/>
    <w:rsid w:val="0070159B"/>
    <w:rsid w:val="0070169A"/>
    <w:rsid w:val="00701745"/>
    <w:rsid w:val="00701846"/>
    <w:rsid w:val="00701859"/>
    <w:rsid w:val="0070185A"/>
    <w:rsid w:val="00701A81"/>
    <w:rsid w:val="00701BFB"/>
    <w:rsid w:val="00701C33"/>
    <w:rsid w:val="00701C9C"/>
    <w:rsid w:val="00701DDB"/>
    <w:rsid w:val="00701E1F"/>
    <w:rsid w:val="00701EB8"/>
    <w:rsid w:val="00701F31"/>
    <w:rsid w:val="00701F62"/>
    <w:rsid w:val="00702092"/>
    <w:rsid w:val="007021FC"/>
    <w:rsid w:val="0070223C"/>
    <w:rsid w:val="00702279"/>
    <w:rsid w:val="007023A3"/>
    <w:rsid w:val="007024C3"/>
    <w:rsid w:val="007024E8"/>
    <w:rsid w:val="00702508"/>
    <w:rsid w:val="00702544"/>
    <w:rsid w:val="0070263C"/>
    <w:rsid w:val="00702690"/>
    <w:rsid w:val="00702764"/>
    <w:rsid w:val="007027D7"/>
    <w:rsid w:val="0070286C"/>
    <w:rsid w:val="00702901"/>
    <w:rsid w:val="0070295A"/>
    <w:rsid w:val="007029CC"/>
    <w:rsid w:val="00702AA4"/>
    <w:rsid w:val="00702B22"/>
    <w:rsid w:val="00702E59"/>
    <w:rsid w:val="007030E8"/>
    <w:rsid w:val="00703149"/>
    <w:rsid w:val="0070326A"/>
    <w:rsid w:val="007033DF"/>
    <w:rsid w:val="0070342E"/>
    <w:rsid w:val="00703469"/>
    <w:rsid w:val="0070346E"/>
    <w:rsid w:val="007035D0"/>
    <w:rsid w:val="007035F4"/>
    <w:rsid w:val="00703A9F"/>
    <w:rsid w:val="00703AA0"/>
    <w:rsid w:val="00703D7A"/>
    <w:rsid w:val="00703F74"/>
    <w:rsid w:val="007040A4"/>
    <w:rsid w:val="007040B3"/>
    <w:rsid w:val="007041BC"/>
    <w:rsid w:val="0070431E"/>
    <w:rsid w:val="0070434F"/>
    <w:rsid w:val="007044BD"/>
    <w:rsid w:val="00704505"/>
    <w:rsid w:val="00704596"/>
    <w:rsid w:val="00704695"/>
    <w:rsid w:val="007046CA"/>
    <w:rsid w:val="00704792"/>
    <w:rsid w:val="00704B94"/>
    <w:rsid w:val="00704C78"/>
    <w:rsid w:val="00704CB3"/>
    <w:rsid w:val="00704D94"/>
    <w:rsid w:val="00704EA7"/>
    <w:rsid w:val="00704EFE"/>
    <w:rsid w:val="00705242"/>
    <w:rsid w:val="007054C4"/>
    <w:rsid w:val="00705564"/>
    <w:rsid w:val="007056A2"/>
    <w:rsid w:val="007056B0"/>
    <w:rsid w:val="007056FA"/>
    <w:rsid w:val="0070591D"/>
    <w:rsid w:val="00705951"/>
    <w:rsid w:val="00705C44"/>
    <w:rsid w:val="00705CF4"/>
    <w:rsid w:val="00705D07"/>
    <w:rsid w:val="00705D42"/>
    <w:rsid w:val="00705DD4"/>
    <w:rsid w:val="00705DE4"/>
    <w:rsid w:val="00705DE5"/>
    <w:rsid w:val="00705EBF"/>
    <w:rsid w:val="00705FD5"/>
    <w:rsid w:val="007060C9"/>
    <w:rsid w:val="00706197"/>
    <w:rsid w:val="007063BA"/>
    <w:rsid w:val="00706420"/>
    <w:rsid w:val="0070664A"/>
    <w:rsid w:val="007066D3"/>
    <w:rsid w:val="00706741"/>
    <w:rsid w:val="0070677C"/>
    <w:rsid w:val="00706807"/>
    <w:rsid w:val="0070695C"/>
    <w:rsid w:val="007069FC"/>
    <w:rsid w:val="00706B56"/>
    <w:rsid w:val="00706C08"/>
    <w:rsid w:val="00706D56"/>
    <w:rsid w:val="00706E5F"/>
    <w:rsid w:val="00706FB9"/>
    <w:rsid w:val="0070700B"/>
    <w:rsid w:val="00707023"/>
    <w:rsid w:val="0070708E"/>
    <w:rsid w:val="007070DE"/>
    <w:rsid w:val="007071D1"/>
    <w:rsid w:val="007073A0"/>
    <w:rsid w:val="00707470"/>
    <w:rsid w:val="007074B5"/>
    <w:rsid w:val="00707528"/>
    <w:rsid w:val="007075BA"/>
    <w:rsid w:val="007075E4"/>
    <w:rsid w:val="007075E9"/>
    <w:rsid w:val="00707799"/>
    <w:rsid w:val="00707821"/>
    <w:rsid w:val="00707822"/>
    <w:rsid w:val="007079A6"/>
    <w:rsid w:val="00707CAD"/>
    <w:rsid w:val="00707CB7"/>
    <w:rsid w:val="00707DEF"/>
    <w:rsid w:val="00707E3A"/>
    <w:rsid w:val="00707E7C"/>
    <w:rsid w:val="00707EF4"/>
    <w:rsid w:val="00707F27"/>
    <w:rsid w:val="00707FAA"/>
    <w:rsid w:val="00710067"/>
    <w:rsid w:val="0071006B"/>
    <w:rsid w:val="0071006D"/>
    <w:rsid w:val="0071015D"/>
    <w:rsid w:val="007101BC"/>
    <w:rsid w:val="00710210"/>
    <w:rsid w:val="007102C0"/>
    <w:rsid w:val="007102E0"/>
    <w:rsid w:val="00710382"/>
    <w:rsid w:val="00710670"/>
    <w:rsid w:val="00710677"/>
    <w:rsid w:val="007106D9"/>
    <w:rsid w:val="007108E3"/>
    <w:rsid w:val="0071090F"/>
    <w:rsid w:val="00710B68"/>
    <w:rsid w:val="00710BE9"/>
    <w:rsid w:val="00710C84"/>
    <w:rsid w:val="00710CE1"/>
    <w:rsid w:val="00710D32"/>
    <w:rsid w:val="00710E9E"/>
    <w:rsid w:val="00710EB6"/>
    <w:rsid w:val="00711082"/>
    <w:rsid w:val="007110BF"/>
    <w:rsid w:val="007111E0"/>
    <w:rsid w:val="007112FE"/>
    <w:rsid w:val="007113FE"/>
    <w:rsid w:val="00711647"/>
    <w:rsid w:val="00711652"/>
    <w:rsid w:val="007116D8"/>
    <w:rsid w:val="00711BC9"/>
    <w:rsid w:val="00711F98"/>
    <w:rsid w:val="007120C1"/>
    <w:rsid w:val="00712129"/>
    <w:rsid w:val="007121DD"/>
    <w:rsid w:val="00712221"/>
    <w:rsid w:val="00712357"/>
    <w:rsid w:val="0071254A"/>
    <w:rsid w:val="00712634"/>
    <w:rsid w:val="0071278A"/>
    <w:rsid w:val="00712867"/>
    <w:rsid w:val="0071295C"/>
    <w:rsid w:val="00712AF7"/>
    <w:rsid w:val="00712C05"/>
    <w:rsid w:val="00712C44"/>
    <w:rsid w:val="00712CAD"/>
    <w:rsid w:val="00712D6C"/>
    <w:rsid w:val="00712E81"/>
    <w:rsid w:val="00712EAD"/>
    <w:rsid w:val="00713047"/>
    <w:rsid w:val="0071305B"/>
    <w:rsid w:val="007131BF"/>
    <w:rsid w:val="00713239"/>
    <w:rsid w:val="0071342C"/>
    <w:rsid w:val="007135E0"/>
    <w:rsid w:val="00713699"/>
    <w:rsid w:val="00713710"/>
    <w:rsid w:val="00713725"/>
    <w:rsid w:val="00713761"/>
    <w:rsid w:val="007137B1"/>
    <w:rsid w:val="00713879"/>
    <w:rsid w:val="007138F5"/>
    <w:rsid w:val="00713A05"/>
    <w:rsid w:val="00713A8F"/>
    <w:rsid w:val="00713B0B"/>
    <w:rsid w:val="00713B1E"/>
    <w:rsid w:val="00713BF1"/>
    <w:rsid w:val="00713C06"/>
    <w:rsid w:val="00713C3C"/>
    <w:rsid w:val="00713CE8"/>
    <w:rsid w:val="00713DD7"/>
    <w:rsid w:val="00713EE6"/>
    <w:rsid w:val="00713F86"/>
    <w:rsid w:val="00713F99"/>
    <w:rsid w:val="007140DB"/>
    <w:rsid w:val="00714154"/>
    <w:rsid w:val="00714321"/>
    <w:rsid w:val="007143EF"/>
    <w:rsid w:val="007144DB"/>
    <w:rsid w:val="007144E5"/>
    <w:rsid w:val="007145CC"/>
    <w:rsid w:val="00714809"/>
    <w:rsid w:val="00714A63"/>
    <w:rsid w:val="00714B20"/>
    <w:rsid w:val="00714B31"/>
    <w:rsid w:val="00714CB7"/>
    <w:rsid w:val="00714D86"/>
    <w:rsid w:val="00714DF3"/>
    <w:rsid w:val="00715048"/>
    <w:rsid w:val="007150A8"/>
    <w:rsid w:val="007151B0"/>
    <w:rsid w:val="007152CE"/>
    <w:rsid w:val="00715343"/>
    <w:rsid w:val="00715496"/>
    <w:rsid w:val="00715627"/>
    <w:rsid w:val="007156A5"/>
    <w:rsid w:val="0071576A"/>
    <w:rsid w:val="0071579E"/>
    <w:rsid w:val="007157A5"/>
    <w:rsid w:val="0071582B"/>
    <w:rsid w:val="00715923"/>
    <w:rsid w:val="0071598E"/>
    <w:rsid w:val="007159B9"/>
    <w:rsid w:val="00715B6D"/>
    <w:rsid w:val="00715F38"/>
    <w:rsid w:val="00715FBE"/>
    <w:rsid w:val="007161E7"/>
    <w:rsid w:val="0071621B"/>
    <w:rsid w:val="007162B1"/>
    <w:rsid w:val="007163F2"/>
    <w:rsid w:val="00716428"/>
    <w:rsid w:val="00716572"/>
    <w:rsid w:val="00716587"/>
    <w:rsid w:val="007165C5"/>
    <w:rsid w:val="007166AC"/>
    <w:rsid w:val="007166D4"/>
    <w:rsid w:val="0071679A"/>
    <w:rsid w:val="0071689C"/>
    <w:rsid w:val="007168CF"/>
    <w:rsid w:val="00716A3D"/>
    <w:rsid w:val="00716AC1"/>
    <w:rsid w:val="00716AEA"/>
    <w:rsid w:val="00716D6A"/>
    <w:rsid w:val="00716E21"/>
    <w:rsid w:val="00716F7F"/>
    <w:rsid w:val="00716FDD"/>
    <w:rsid w:val="0071709A"/>
    <w:rsid w:val="007170AB"/>
    <w:rsid w:val="0071711C"/>
    <w:rsid w:val="007172A7"/>
    <w:rsid w:val="007174E7"/>
    <w:rsid w:val="0071791B"/>
    <w:rsid w:val="0071793D"/>
    <w:rsid w:val="0071795D"/>
    <w:rsid w:val="00717A7F"/>
    <w:rsid w:val="00717A92"/>
    <w:rsid w:val="00717AFD"/>
    <w:rsid w:val="00717C01"/>
    <w:rsid w:val="00717CB0"/>
    <w:rsid w:val="00717CF6"/>
    <w:rsid w:val="00720007"/>
    <w:rsid w:val="0072004D"/>
    <w:rsid w:val="00720074"/>
    <w:rsid w:val="007200EE"/>
    <w:rsid w:val="007201C5"/>
    <w:rsid w:val="00720477"/>
    <w:rsid w:val="00720482"/>
    <w:rsid w:val="007204CB"/>
    <w:rsid w:val="00720593"/>
    <w:rsid w:val="007205B3"/>
    <w:rsid w:val="00720733"/>
    <w:rsid w:val="00720894"/>
    <w:rsid w:val="00720913"/>
    <w:rsid w:val="00720A6D"/>
    <w:rsid w:val="00720A87"/>
    <w:rsid w:val="00720AAA"/>
    <w:rsid w:val="00720C27"/>
    <w:rsid w:val="00720D57"/>
    <w:rsid w:val="00720DF7"/>
    <w:rsid w:val="00720F8A"/>
    <w:rsid w:val="0072107E"/>
    <w:rsid w:val="00721283"/>
    <w:rsid w:val="00721332"/>
    <w:rsid w:val="00721345"/>
    <w:rsid w:val="007213A7"/>
    <w:rsid w:val="00721512"/>
    <w:rsid w:val="00721607"/>
    <w:rsid w:val="00721631"/>
    <w:rsid w:val="007217A3"/>
    <w:rsid w:val="00721853"/>
    <w:rsid w:val="0072189A"/>
    <w:rsid w:val="00721BAC"/>
    <w:rsid w:val="00721C7B"/>
    <w:rsid w:val="00721D4F"/>
    <w:rsid w:val="00721ED8"/>
    <w:rsid w:val="00721F11"/>
    <w:rsid w:val="0072213E"/>
    <w:rsid w:val="0072237C"/>
    <w:rsid w:val="00722591"/>
    <w:rsid w:val="007225BD"/>
    <w:rsid w:val="007226F3"/>
    <w:rsid w:val="0072277B"/>
    <w:rsid w:val="00722A4F"/>
    <w:rsid w:val="00722B01"/>
    <w:rsid w:val="00722C7E"/>
    <w:rsid w:val="00722E89"/>
    <w:rsid w:val="00722EAF"/>
    <w:rsid w:val="0072302A"/>
    <w:rsid w:val="0072334E"/>
    <w:rsid w:val="0072335E"/>
    <w:rsid w:val="00723360"/>
    <w:rsid w:val="00723403"/>
    <w:rsid w:val="00723744"/>
    <w:rsid w:val="0072379F"/>
    <w:rsid w:val="00723800"/>
    <w:rsid w:val="007238D9"/>
    <w:rsid w:val="00723ACE"/>
    <w:rsid w:val="00723B48"/>
    <w:rsid w:val="00723BB6"/>
    <w:rsid w:val="00723BE5"/>
    <w:rsid w:val="00723C79"/>
    <w:rsid w:val="00723E9B"/>
    <w:rsid w:val="00723FE4"/>
    <w:rsid w:val="00724053"/>
    <w:rsid w:val="007240C3"/>
    <w:rsid w:val="007241E4"/>
    <w:rsid w:val="00724295"/>
    <w:rsid w:val="00724355"/>
    <w:rsid w:val="00724433"/>
    <w:rsid w:val="007245D5"/>
    <w:rsid w:val="007246FB"/>
    <w:rsid w:val="00724842"/>
    <w:rsid w:val="0072489E"/>
    <w:rsid w:val="007249A5"/>
    <w:rsid w:val="00724C58"/>
    <w:rsid w:val="00724C6B"/>
    <w:rsid w:val="00724C91"/>
    <w:rsid w:val="00724D2F"/>
    <w:rsid w:val="00724D59"/>
    <w:rsid w:val="00724E09"/>
    <w:rsid w:val="00724E14"/>
    <w:rsid w:val="00724F98"/>
    <w:rsid w:val="00725198"/>
    <w:rsid w:val="00725212"/>
    <w:rsid w:val="0072529F"/>
    <w:rsid w:val="00725331"/>
    <w:rsid w:val="00725354"/>
    <w:rsid w:val="007253A5"/>
    <w:rsid w:val="007256F1"/>
    <w:rsid w:val="0072578A"/>
    <w:rsid w:val="007258A5"/>
    <w:rsid w:val="00725C0C"/>
    <w:rsid w:val="00725C35"/>
    <w:rsid w:val="00725C8C"/>
    <w:rsid w:val="00725C95"/>
    <w:rsid w:val="00725CC7"/>
    <w:rsid w:val="00725CE7"/>
    <w:rsid w:val="00725D43"/>
    <w:rsid w:val="00725EC0"/>
    <w:rsid w:val="00725F70"/>
    <w:rsid w:val="00726084"/>
    <w:rsid w:val="007260D7"/>
    <w:rsid w:val="00726111"/>
    <w:rsid w:val="00726207"/>
    <w:rsid w:val="0072621D"/>
    <w:rsid w:val="0072625E"/>
    <w:rsid w:val="007262E6"/>
    <w:rsid w:val="00726378"/>
    <w:rsid w:val="00726392"/>
    <w:rsid w:val="0072639E"/>
    <w:rsid w:val="0072649C"/>
    <w:rsid w:val="0072654D"/>
    <w:rsid w:val="00726891"/>
    <w:rsid w:val="00726A14"/>
    <w:rsid w:val="00726A21"/>
    <w:rsid w:val="00726AB9"/>
    <w:rsid w:val="00726B87"/>
    <w:rsid w:val="00726BE4"/>
    <w:rsid w:val="00726BE8"/>
    <w:rsid w:val="00726BF1"/>
    <w:rsid w:val="00726C1A"/>
    <w:rsid w:val="00726CC4"/>
    <w:rsid w:val="00726FBB"/>
    <w:rsid w:val="0072706A"/>
    <w:rsid w:val="007270F4"/>
    <w:rsid w:val="007271AB"/>
    <w:rsid w:val="007272EF"/>
    <w:rsid w:val="00727415"/>
    <w:rsid w:val="00727454"/>
    <w:rsid w:val="0072750D"/>
    <w:rsid w:val="007277E7"/>
    <w:rsid w:val="00727807"/>
    <w:rsid w:val="00727B6D"/>
    <w:rsid w:val="00727BBF"/>
    <w:rsid w:val="00727C8D"/>
    <w:rsid w:val="00727D73"/>
    <w:rsid w:val="00727EC4"/>
    <w:rsid w:val="00727F15"/>
    <w:rsid w:val="00727FCF"/>
    <w:rsid w:val="00730052"/>
    <w:rsid w:val="007301A2"/>
    <w:rsid w:val="00730211"/>
    <w:rsid w:val="00730233"/>
    <w:rsid w:val="0073032F"/>
    <w:rsid w:val="0073051E"/>
    <w:rsid w:val="00730578"/>
    <w:rsid w:val="00730641"/>
    <w:rsid w:val="00730684"/>
    <w:rsid w:val="00730688"/>
    <w:rsid w:val="007307BD"/>
    <w:rsid w:val="0073085A"/>
    <w:rsid w:val="0073095C"/>
    <w:rsid w:val="00730AE8"/>
    <w:rsid w:val="00730B0E"/>
    <w:rsid w:val="00730B1A"/>
    <w:rsid w:val="00730C63"/>
    <w:rsid w:val="00730DF8"/>
    <w:rsid w:val="00730E0D"/>
    <w:rsid w:val="00731073"/>
    <w:rsid w:val="007311BD"/>
    <w:rsid w:val="007311EF"/>
    <w:rsid w:val="00731345"/>
    <w:rsid w:val="0073183E"/>
    <w:rsid w:val="00731862"/>
    <w:rsid w:val="007318B8"/>
    <w:rsid w:val="007318D4"/>
    <w:rsid w:val="007318E2"/>
    <w:rsid w:val="00731A85"/>
    <w:rsid w:val="00731BFD"/>
    <w:rsid w:val="00731C0E"/>
    <w:rsid w:val="00731C5B"/>
    <w:rsid w:val="00731D15"/>
    <w:rsid w:val="00731E1F"/>
    <w:rsid w:val="00731E51"/>
    <w:rsid w:val="00731E75"/>
    <w:rsid w:val="00731FCD"/>
    <w:rsid w:val="0073211D"/>
    <w:rsid w:val="00732121"/>
    <w:rsid w:val="00732311"/>
    <w:rsid w:val="007323BB"/>
    <w:rsid w:val="00732424"/>
    <w:rsid w:val="00732460"/>
    <w:rsid w:val="007327DE"/>
    <w:rsid w:val="007327F7"/>
    <w:rsid w:val="007328AC"/>
    <w:rsid w:val="00732983"/>
    <w:rsid w:val="00732EA9"/>
    <w:rsid w:val="00732FED"/>
    <w:rsid w:val="00733005"/>
    <w:rsid w:val="0073308B"/>
    <w:rsid w:val="00733326"/>
    <w:rsid w:val="00733356"/>
    <w:rsid w:val="007333E1"/>
    <w:rsid w:val="0073344E"/>
    <w:rsid w:val="007334D3"/>
    <w:rsid w:val="00733571"/>
    <w:rsid w:val="007335CB"/>
    <w:rsid w:val="00733691"/>
    <w:rsid w:val="007337AB"/>
    <w:rsid w:val="007337BA"/>
    <w:rsid w:val="00733894"/>
    <w:rsid w:val="00733BE5"/>
    <w:rsid w:val="00733E44"/>
    <w:rsid w:val="00733EB4"/>
    <w:rsid w:val="0073405B"/>
    <w:rsid w:val="00734171"/>
    <w:rsid w:val="007341EF"/>
    <w:rsid w:val="00734655"/>
    <w:rsid w:val="0073476C"/>
    <w:rsid w:val="0073478E"/>
    <w:rsid w:val="007347DD"/>
    <w:rsid w:val="0073480B"/>
    <w:rsid w:val="007348B9"/>
    <w:rsid w:val="00734982"/>
    <w:rsid w:val="00734BBE"/>
    <w:rsid w:val="00734C52"/>
    <w:rsid w:val="00734CE8"/>
    <w:rsid w:val="00734D41"/>
    <w:rsid w:val="00734D58"/>
    <w:rsid w:val="00734E20"/>
    <w:rsid w:val="00734EB8"/>
    <w:rsid w:val="00734F31"/>
    <w:rsid w:val="00734F85"/>
    <w:rsid w:val="00735018"/>
    <w:rsid w:val="00735057"/>
    <w:rsid w:val="0073507A"/>
    <w:rsid w:val="007353D0"/>
    <w:rsid w:val="00735453"/>
    <w:rsid w:val="007354E3"/>
    <w:rsid w:val="00735586"/>
    <w:rsid w:val="0073563D"/>
    <w:rsid w:val="00735856"/>
    <w:rsid w:val="00735A56"/>
    <w:rsid w:val="00735AD4"/>
    <w:rsid w:val="00735B14"/>
    <w:rsid w:val="00735B7D"/>
    <w:rsid w:val="00735D6A"/>
    <w:rsid w:val="00736052"/>
    <w:rsid w:val="0073612B"/>
    <w:rsid w:val="00736137"/>
    <w:rsid w:val="00736244"/>
    <w:rsid w:val="00736496"/>
    <w:rsid w:val="00736712"/>
    <w:rsid w:val="007367CD"/>
    <w:rsid w:val="0073680C"/>
    <w:rsid w:val="007368B9"/>
    <w:rsid w:val="00736922"/>
    <w:rsid w:val="00736934"/>
    <w:rsid w:val="00736A07"/>
    <w:rsid w:val="00736A4F"/>
    <w:rsid w:val="00736B86"/>
    <w:rsid w:val="00736CC9"/>
    <w:rsid w:val="00736CF9"/>
    <w:rsid w:val="00736E1F"/>
    <w:rsid w:val="00736FAF"/>
    <w:rsid w:val="0073713B"/>
    <w:rsid w:val="00737215"/>
    <w:rsid w:val="007374B5"/>
    <w:rsid w:val="0073758B"/>
    <w:rsid w:val="007378E0"/>
    <w:rsid w:val="0073793E"/>
    <w:rsid w:val="007379FF"/>
    <w:rsid w:val="00737A27"/>
    <w:rsid w:val="00737A5C"/>
    <w:rsid w:val="00737B7A"/>
    <w:rsid w:val="00737CCA"/>
    <w:rsid w:val="00737D1C"/>
    <w:rsid w:val="00737DC5"/>
    <w:rsid w:val="00737EDD"/>
    <w:rsid w:val="00737F0D"/>
    <w:rsid w:val="00740026"/>
    <w:rsid w:val="00740375"/>
    <w:rsid w:val="007403B0"/>
    <w:rsid w:val="007404C4"/>
    <w:rsid w:val="00740545"/>
    <w:rsid w:val="00740604"/>
    <w:rsid w:val="00740623"/>
    <w:rsid w:val="007406C2"/>
    <w:rsid w:val="0074073A"/>
    <w:rsid w:val="0074076E"/>
    <w:rsid w:val="007407BD"/>
    <w:rsid w:val="00740934"/>
    <w:rsid w:val="0074098B"/>
    <w:rsid w:val="00740AE2"/>
    <w:rsid w:val="00740B6D"/>
    <w:rsid w:val="00740C5D"/>
    <w:rsid w:val="00740C68"/>
    <w:rsid w:val="00740D0C"/>
    <w:rsid w:val="00740ED1"/>
    <w:rsid w:val="00740FBE"/>
    <w:rsid w:val="007410F9"/>
    <w:rsid w:val="00741124"/>
    <w:rsid w:val="007412A7"/>
    <w:rsid w:val="0074136E"/>
    <w:rsid w:val="00741397"/>
    <w:rsid w:val="007413A0"/>
    <w:rsid w:val="007414BC"/>
    <w:rsid w:val="00741517"/>
    <w:rsid w:val="00741545"/>
    <w:rsid w:val="0074155B"/>
    <w:rsid w:val="007417CF"/>
    <w:rsid w:val="00741885"/>
    <w:rsid w:val="00741930"/>
    <w:rsid w:val="00741B10"/>
    <w:rsid w:val="00741BB6"/>
    <w:rsid w:val="00741BFE"/>
    <w:rsid w:val="00741C95"/>
    <w:rsid w:val="00741CC8"/>
    <w:rsid w:val="00741DA1"/>
    <w:rsid w:val="00741DE1"/>
    <w:rsid w:val="00741E26"/>
    <w:rsid w:val="00741E3B"/>
    <w:rsid w:val="00741EC3"/>
    <w:rsid w:val="00742165"/>
    <w:rsid w:val="007421C8"/>
    <w:rsid w:val="00742481"/>
    <w:rsid w:val="007424B7"/>
    <w:rsid w:val="007424CF"/>
    <w:rsid w:val="007426B2"/>
    <w:rsid w:val="00742803"/>
    <w:rsid w:val="0074292A"/>
    <w:rsid w:val="00742970"/>
    <w:rsid w:val="00742A41"/>
    <w:rsid w:val="00742C88"/>
    <w:rsid w:val="00742D50"/>
    <w:rsid w:val="00742EC9"/>
    <w:rsid w:val="00742F36"/>
    <w:rsid w:val="00743023"/>
    <w:rsid w:val="0074306B"/>
    <w:rsid w:val="00743223"/>
    <w:rsid w:val="007432D4"/>
    <w:rsid w:val="00743590"/>
    <w:rsid w:val="0074381E"/>
    <w:rsid w:val="007438D2"/>
    <w:rsid w:val="0074399D"/>
    <w:rsid w:val="007439C1"/>
    <w:rsid w:val="00743B22"/>
    <w:rsid w:val="00743B83"/>
    <w:rsid w:val="00743BA9"/>
    <w:rsid w:val="00743CC4"/>
    <w:rsid w:val="00743D94"/>
    <w:rsid w:val="00743E12"/>
    <w:rsid w:val="00743EB4"/>
    <w:rsid w:val="00743ECC"/>
    <w:rsid w:val="007440CC"/>
    <w:rsid w:val="00744149"/>
    <w:rsid w:val="0074416E"/>
    <w:rsid w:val="007441CC"/>
    <w:rsid w:val="007441D4"/>
    <w:rsid w:val="00744226"/>
    <w:rsid w:val="00744368"/>
    <w:rsid w:val="0074441B"/>
    <w:rsid w:val="007444CC"/>
    <w:rsid w:val="007444D3"/>
    <w:rsid w:val="0074460D"/>
    <w:rsid w:val="00744773"/>
    <w:rsid w:val="00744854"/>
    <w:rsid w:val="00744B0A"/>
    <w:rsid w:val="00744B42"/>
    <w:rsid w:val="00744BE5"/>
    <w:rsid w:val="00744C7B"/>
    <w:rsid w:val="00744D4E"/>
    <w:rsid w:val="00744EF7"/>
    <w:rsid w:val="00744FB7"/>
    <w:rsid w:val="0074501F"/>
    <w:rsid w:val="00745097"/>
    <w:rsid w:val="007450A7"/>
    <w:rsid w:val="007450CC"/>
    <w:rsid w:val="007450E3"/>
    <w:rsid w:val="00745115"/>
    <w:rsid w:val="00745345"/>
    <w:rsid w:val="0074535E"/>
    <w:rsid w:val="00745548"/>
    <w:rsid w:val="0074558B"/>
    <w:rsid w:val="00745850"/>
    <w:rsid w:val="00745866"/>
    <w:rsid w:val="00745875"/>
    <w:rsid w:val="00745A7D"/>
    <w:rsid w:val="00745BAC"/>
    <w:rsid w:val="00745BD4"/>
    <w:rsid w:val="00745BE9"/>
    <w:rsid w:val="00745C1F"/>
    <w:rsid w:val="00745CE3"/>
    <w:rsid w:val="00745D7F"/>
    <w:rsid w:val="0074602D"/>
    <w:rsid w:val="00746115"/>
    <w:rsid w:val="00746233"/>
    <w:rsid w:val="0074643E"/>
    <w:rsid w:val="00746448"/>
    <w:rsid w:val="007466C0"/>
    <w:rsid w:val="00746708"/>
    <w:rsid w:val="0074670B"/>
    <w:rsid w:val="00746729"/>
    <w:rsid w:val="00746753"/>
    <w:rsid w:val="0074680E"/>
    <w:rsid w:val="00746872"/>
    <w:rsid w:val="007468FD"/>
    <w:rsid w:val="00746B1E"/>
    <w:rsid w:val="00746C27"/>
    <w:rsid w:val="00746DFE"/>
    <w:rsid w:val="00746E86"/>
    <w:rsid w:val="00746EA7"/>
    <w:rsid w:val="00746F0C"/>
    <w:rsid w:val="00746F5A"/>
    <w:rsid w:val="007470D4"/>
    <w:rsid w:val="00747181"/>
    <w:rsid w:val="007471A7"/>
    <w:rsid w:val="007472E5"/>
    <w:rsid w:val="00747356"/>
    <w:rsid w:val="0074746C"/>
    <w:rsid w:val="007474E8"/>
    <w:rsid w:val="00747500"/>
    <w:rsid w:val="007476C6"/>
    <w:rsid w:val="0074775E"/>
    <w:rsid w:val="007477E7"/>
    <w:rsid w:val="007478F7"/>
    <w:rsid w:val="0074790E"/>
    <w:rsid w:val="00747918"/>
    <w:rsid w:val="00747D31"/>
    <w:rsid w:val="00747D43"/>
    <w:rsid w:val="00747DD3"/>
    <w:rsid w:val="00747E41"/>
    <w:rsid w:val="00747E84"/>
    <w:rsid w:val="00747ECF"/>
    <w:rsid w:val="00750185"/>
    <w:rsid w:val="00750646"/>
    <w:rsid w:val="0075079D"/>
    <w:rsid w:val="007508FD"/>
    <w:rsid w:val="00750A33"/>
    <w:rsid w:val="00750AE5"/>
    <w:rsid w:val="00750F96"/>
    <w:rsid w:val="00751041"/>
    <w:rsid w:val="00751060"/>
    <w:rsid w:val="007510FD"/>
    <w:rsid w:val="00751363"/>
    <w:rsid w:val="007513CE"/>
    <w:rsid w:val="007514F3"/>
    <w:rsid w:val="0075154C"/>
    <w:rsid w:val="0075158C"/>
    <w:rsid w:val="00751605"/>
    <w:rsid w:val="0075160C"/>
    <w:rsid w:val="00751653"/>
    <w:rsid w:val="007516EB"/>
    <w:rsid w:val="0075189D"/>
    <w:rsid w:val="007519E3"/>
    <w:rsid w:val="00751A6D"/>
    <w:rsid w:val="00751AE1"/>
    <w:rsid w:val="00751B3B"/>
    <w:rsid w:val="00751D35"/>
    <w:rsid w:val="00751DAA"/>
    <w:rsid w:val="00751E0F"/>
    <w:rsid w:val="00751F40"/>
    <w:rsid w:val="00751FC4"/>
    <w:rsid w:val="0075231F"/>
    <w:rsid w:val="00752361"/>
    <w:rsid w:val="00752385"/>
    <w:rsid w:val="007523EA"/>
    <w:rsid w:val="00752443"/>
    <w:rsid w:val="007524D3"/>
    <w:rsid w:val="00752510"/>
    <w:rsid w:val="007527CC"/>
    <w:rsid w:val="007527E5"/>
    <w:rsid w:val="0075287B"/>
    <w:rsid w:val="0075288C"/>
    <w:rsid w:val="00752BE8"/>
    <w:rsid w:val="00752D16"/>
    <w:rsid w:val="00752DA2"/>
    <w:rsid w:val="00752E16"/>
    <w:rsid w:val="00752E2E"/>
    <w:rsid w:val="00752E5A"/>
    <w:rsid w:val="00752E7A"/>
    <w:rsid w:val="00752E9B"/>
    <w:rsid w:val="00753084"/>
    <w:rsid w:val="007530A9"/>
    <w:rsid w:val="00753124"/>
    <w:rsid w:val="00753132"/>
    <w:rsid w:val="0075322F"/>
    <w:rsid w:val="007532B9"/>
    <w:rsid w:val="0075330E"/>
    <w:rsid w:val="00753364"/>
    <w:rsid w:val="007533C2"/>
    <w:rsid w:val="007533D6"/>
    <w:rsid w:val="0075342B"/>
    <w:rsid w:val="00753463"/>
    <w:rsid w:val="00753645"/>
    <w:rsid w:val="007536D1"/>
    <w:rsid w:val="00753800"/>
    <w:rsid w:val="007538A1"/>
    <w:rsid w:val="0075397E"/>
    <w:rsid w:val="00753A60"/>
    <w:rsid w:val="00753AA9"/>
    <w:rsid w:val="00753ADA"/>
    <w:rsid w:val="00753B63"/>
    <w:rsid w:val="00753BD8"/>
    <w:rsid w:val="00753C33"/>
    <w:rsid w:val="00753C5E"/>
    <w:rsid w:val="00753C96"/>
    <w:rsid w:val="00753CED"/>
    <w:rsid w:val="00753D53"/>
    <w:rsid w:val="00753D8F"/>
    <w:rsid w:val="00753DDC"/>
    <w:rsid w:val="00753E07"/>
    <w:rsid w:val="00753F07"/>
    <w:rsid w:val="00754105"/>
    <w:rsid w:val="0075411F"/>
    <w:rsid w:val="0075417C"/>
    <w:rsid w:val="007543C8"/>
    <w:rsid w:val="00754414"/>
    <w:rsid w:val="00754614"/>
    <w:rsid w:val="00754649"/>
    <w:rsid w:val="00754650"/>
    <w:rsid w:val="007546B6"/>
    <w:rsid w:val="0075483A"/>
    <w:rsid w:val="007548AA"/>
    <w:rsid w:val="0075490A"/>
    <w:rsid w:val="00754A75"/>
    <w:rsid w:val="00754A9A"/>
    <w:rsid w:val="00754C31"/>
    <w:rsid w:val="00754D20"/>
    <w:rsid w:val="00754D67"/>
    <w:rsid w:val="00755150"/>
    <w:rsid w:val="00755207"/>
    <w:rsid w:val="0075527A"/>
    <w:rsid w:val="007552D4"/>
    <w:rsid w:val="007552F0"/>
    <w:rsid w:val="007553D6"/>
    <w:rsid w:val="007553F0"/>
    <w:rsid w:val="00755417"/>
    <w:rsid w:val="0075543D"/>
    <w:rsid w:val="0075544A"/>
    <w:rsid w:val="007554A3"/>
    <w:rsid w:val="007554D7"/>
    <w:rsid w:val="0075557B"/>
    <w:rsid w:val="007555D6"/>
    <w:rsid w:val="007555E1"/>
    <w:rsid w:val="007557B0"/>
    <w:rsid w:val="007559B6"/>
    <w:rsid w:val="00755A5D"/>
    <w:rsid w:val="00755ABE"/>
    <w:rsid w:val="00755C07"/>
    <w:rsid w:val="00755C51"/>
    <w:rsid w:val="00755DE6"/>
    <w:rsid w:val="00755E1D"/>
    <w:rsid w:val="00755E22"/>
    <w:rsid w:val="007560B1"/>
    <w:rsid w:val="0075610C"/>
    <w:rsid w:val="0075629D"/>
    <w:rsid w:val="00756382"/>
    <w:rsid w:val="007563E5"/>
    <w:rsid w:val="0075657B"/>
    <w:rsid w:val="00756764"/>
    <w:rsid w:val="00756844"/>
    <w:rsid w:val="0075689B"/>
    <w:rsid w:val="00756981"/>
    <w:rsid w:val="007569DE"/>
    <w:rsid w:val="00756BF0"/>
    <w:rsid w:val="00756C68"/>
    <w:rsid w:val="00756CC8"/>
    <w:rsid w:val="00756D8D"/>
    <w:rsid w:val="00756E5E"/>
    <w:rsid w:val="00756FFC"/>
    <w:rsid w:val="0075707C"/>
    <w:rsid w:val="00757178"/>
    <w:rsid w:val="007571C0"/>
    <w:rsid w:val="007574C0"/>
    <w:rsid w:val="007575A1"/>
    <w:rsid w:val="007575B8"/>
    <w:rsid w:val="007576B8"/>
    <w:rsid w:val="0075777B"/>
    <w:rsid w:val="007577BB"/>
    <w:rsid w:val="00757814"/>
    <w:rsid w:val="007578C2"/>
    <w:rsid w:val="00757A5E"/>
    <w:rsid w:val="00757C8F"/>
    <w:rsid w:val="00757CBE"/>
    <w:rsid w:val="00757D8F"/>
    <w:rsid w:val="00757F77"/>
    <w:rsid w:val="007600D4"/>
    <w:rsid w:val="0076019C"/>
    <w:rsid w:val="007602A7"/>
    <w:rsid w:val="0076038D"/>
    <w:rsid w:val="007603C6"/>
    <w:rsid w:val="0076045B"/>
    <w:rsid w:val="007606A1"/>
    <w:rsid w:val="007606F6"/>
    <w:rsid w:val="0076091D"/>
    <w:rsid w:val="007609F7"/>
    <w:rsid w:val="00760A3A"/>
    <w:rsid w:val="00760FD3"/>
    <w:rsid w:val="00760FF4"/>
    <w:rsid w:val="0076100C"/>
    <w:rsid w:val="00761090"/>
    <w:rsid w:val="0076112D"/>
    <w:rsid w:val="00761138"/>
    <w:rsid w:val="007611D2"/>
    <w:rsid w:val="0076122A"/>
    <w:rsid w:val="00761446"/>
    <w:rsid w:val="00761536"/>
    <w:rsid w:val="00761561"/>
    <w:rsid w:val="007615E4"/>
    <w:rsid w:val="0076166C"/>
    <w:rsid w:val="00761705"/>
    <w:rsid w:val="0076174B"/>
    <w:rsid w:val="007618A7"/>
    <w:rsid w:val="007618EC"/>
    <w:rsid w:val="0076193A"/>
    <w:rsid w:val="007619E2"/>
    <w:rsid w:val="00761C32"/>
    <w:rsid w:val="00761C38"/>
    <w:rsid w:val="00761EB2"/>
    <w:rsid w:val="00761EE6"/>
    <w:rsid w:val="0076204B"/>
    <w:rsid w:val="0076207E"/>
    <w:rsid w:val="007620BF"/>
    <w:rsid w:val="007622E8"/>
    <w:rsid w:val="00762488"/>
    <w:rsid w:val="0076256B"/>
    <w:rsid w:val="0076261C"/>
    <w:rsid w:val="007626AA"/>
    <w:rsid w:val="00762787"/>
    <w:rsid w:val="007628FB"/>
    <w:rsid w:val="00762A7F"/>
    <w:rsid w:val="00762B4B"/>
    <w:rsid w:val="00762C85"/>
    <w:rsid w:val="00762C8A"/>
    <w:rsid w:val="00762D42"/>
    <w:rsid w:val="00762D54"/>
    <w:rsid w:val="00762DB4"/>
    <w:rsid w:val="00762E2B"/>
    <w:rsid w:val="00762FEE"/>
    <w:rsid w:val="0076306D"/>
    <w:rsid w:val="007632FD"/>
    <w:rsid w:val="0076335D"/>
    <w:rsid w:val="0076358B"/>
    <w:rsid w:val="007637CC"/>
    <w:rsid w:val="00763816"/>
    <w:rsid w:val="0076388A"/>
    <w:rsid w:val="00763912"/>
    <w:rsid w:val="00763B40"/>
    <w:rsid w:val="00763B44"/>
    <w:rsid w:val="00763B8E"/>
    <w:rsid w:val="00763B93"/>
    <w:rsid w:val="00763BBB"/>
    <w:rsid w:val="00763CD8"/>
    <w:rsid w:val="00763EE8"/>
    <w:rsid w:val="007640A7"/>
    <w:rsid w:val="007640AE"/>
    <w:rsid w:val="0076417E"/>
    <w:rsid w:val="0076426E"/>
    <w:rsid w:val="00764293"/>
    <w:rsid w:val="007643AD"/>
    <w:rsid w:val="00764509"/>
    <w:rsid w:val="00764527"/>
    <w:rsid w:val="007645E8"/>
    <w:rsid w:val="007646C8"/>
    <w:rsid w:val="00764943"/>
    <w:rsid w:val="00764B51"/>
    <w:rsid w:val="00764C98"/>
    <w:rsid w:val="00764CC4"/>
    <w:rsid w:val="00764D36"/>
    <w:rsid w:val="007650A9"/>
    <w:rsid w:val="007650B0"/>
    <w:rsid w:val="007650DC"/>
    <w:rsid w:val="007651FB"/>
    <w:rsid w:val="00765231"/>
    <w:rsid w:val="00765421"/>
    <w:rsid w:val="00765431"/>
    <w:rsid w:val="00765491"/>
    <w:rsid w:val="00765563"/>
    <w:rsid w:val="00765625"/>
    <w:rsid w:val="0076566C"/>
    <w:rsid w:val="00765778"/>
    <w:rsid w:val="007657F8"/>
    <w:rsid w:val="0076580A"/>
    <w:rsid w:val="00765845"/>
    <w:rsid w:val="00765907"/>
    <w:rsid w:val="007659C0"/>
    <w:rsid w:val="007660C5"/>
    <w:rsid w:val="00766412"/>
    <w:rsid w:val="007664B7"/>
    <w:rsid w:val="007665BC"/>
    <w:rsid w:val="00766676"/>
    <w:rsid w:val="007666E7"/>
    <w:rsid w:val="00766799"/>
    <w:rsid w:val="007667CB"/>
    <w:rsid w:val="007667DF"/>
    <w:rsid w:val="007668BA"/>
    <w:rsid w:val="0076691D"/>
    <w:rsid w:val="007669EA"/>
    <w:rsid w:val="00766A71"/>
    <w:rsid w:val="00766B29"/>
    <w:rsid w:val="00766B75"/>
    <w:rsid w:val="00766BDC"/>
    <w:rsid w:val="00766C8E"/>
    <w:rsid w:val="00766D72"/>
    <w:rsid w:val="00766DF2"/>
    <w:rsid w:val="00766F0F"/>
    <w:rsid w:val="00766FA5"/>
    <w:rsid w:val="0076719E"/>
    <w:rsid w:val="007672E6"/>
    <w:rsid w:val="00767383"/>
    <w:rsid w:val="00767694"/>
    <w:rsid w:val="00767733"/>
    <w:rsid w:val="00767909"/>
    <w:rsid w:val="00767957"/>
    <w:rsid w:val="0076799F"/>
    <w:rsid w:val="00767A2E"/>
    <w:rsid w:val="00767A4E"/>
    <w:rsid w:val="00767A87"/>
    <w:rsid w:val="00767B06"/>
    <w:rsid w:val="00767B36"/>
    <w:rsid w:val="00767EA6"/>
    <w:rsid w:val="00767EE4"/>
    <w:rsid w:val="00770025"/>
    <w:rsid w:val="00770122"/>
    <w:rsid w:val="0077033A"/>
    <w:rsid w:val="00770388"/>
    <w:rsid w:val="00770479"/>
    <w:rsid w:val="0077048E"/>
    <w:rsid w:val="007707A0"/>
    <w:rsid w:val="007707BE"/>
    <w:rsid w:val="00770A2F"/>
    <w:rsid w:val="00770AF6"/>
    <w:rsid w:val="00770BC9"/>
    <w:rsid w:val="00770FA8"/>
    <w:rsid w:val="007711B9"/>
    <w:rsid w:val="007711BF"/>
    <w:rsid w:val="00771298"/>
    <w:rsid w:val="007713E6"/>
    <w:rsid w:val="0077147D"/>
    <w:rsid w:val="007714B0"/>
    <w:rsid w:val="007715EB"/>
    <w:rsid w:val="00771615"/>
    <w:rsid w:val="00771852"/>
    <w:rsid w:val="00771B28"/>
    <w:rsid w:val="00771CA4"/>
    <w:rsid w:val="00771D7A"/>
    <w:rsid w:val="00771F2E"/>
    <w:rsid w:val="00772096"/>
    <w:rsid w:val="007720F4"/>
    <w:rsid w:val="0077219A"/>
    <w:rsid w:val="00772236"/>
    <w:rsid w:val="007723AF"/>
    <w:rsid w:val="00772616"/>
    <w:rsid w:val="007726A0"/>
    <w:rsid w:val="0077288E"/>
    <w:rsid w:val="00772952"/>
    <w:rsid w:val="00772AAD"/>
    <w:rsid w:val="00772B2F"/>
    <w:rsid w:val="00772C76"/>
    <w:rsid w:val="00772E1E"/>
    <w:rsid w:val="00772F19"/>
    <w:rsid w:val="00772F8B"/>
    <w:rsid w:val="00772FDD"/>
    <w:rsid w:val="007732FF"/>
    <w:rsid w:val="00773319"/>
    <w:rsid w:val="0077331B"/>
    <w:rsid w:val="00773342"/>
    <w:rsid w:val="00773348"/>
    <w:rsid w:val="007733E1"/>
    <w:rsid w:val="0077367E"/>
    <w:rsid w:val="007737A9"/>
    <w:rsid w:val="007737D6"/>
    <w:rsid w:val="00773821"/>
    <w:rsid w:val="00773953"/>
    <w:rsid w:val="007739BF"/>
    <w:rsid w:val="00773BA9"/>
    <w:rsid w:val="00773CCD"/>
    <w:rsid w:val="00773FCE"/>
    <w:rsid w:val="00773FFD"/>
    <w:rsid w:val="0077408C"/>
    <w:rsid w:val="00774122"/>
    <w:rsid w:val="00774215"/>
    <w:rsid w:val="0077424C"/>
    <w:rsid w:val="00774262"/>
    <w:rsid w:val="007743E6"/>
    <w:rsid w:val="00774446"/>
    <w:rsid w:val="007744C1"/>
    <w:rsid w:val="0077460F"/>
    <w:rsid w:val="007746AD"/>
    <w:rsid w:val="00774718"/>
    <w:rsid w:val="00774762"/>
    <w:rsid w:val="0077481C"/>
    <w:rsid w:val="0077494A"/>
    <w:rsid w:val="0077496A"/>
    <w:rsid w:val="00774989"/>
    <w:rsid w:val="00774A3A"/>
    <w:rsid w:val="00774A85"/>
    <w:rsid w:val="00774A96"/>
    <w:rsid w:val="00774AB3"/>
    <w:rsid w:val="00774BF6"/>
    <w:rsid w:val="00774D1B"/>
    <w:rsid w:val="00774D51"/>
    <w:rsid w:val="00774DBE"/>
    <w:rsid w:val="00774E44"/>
    <w:rsid w:val="00774EEA"/>
    <w:rsid w:val="00775039"/>
    <w:rsid w:val="0077504D"/>
    <w:rsid w:val="0077506E"/>
    <w:rsid w:val="00775161"/>
    <w:rsid w:val="00775474"/>
    <w:rsid w:val="00775613"/>
    <w:rsid w:val="007757DD"/>
    <w:rsid w:val="00775850"/>
    <w:rsid w:val="00775AEA"/>
    <w:rsid w:val="00775BEF"/>
    <w:rsid w:val="00775CAC"/>
    <w:rsid w:val="00775CB9"/>
    <w:rsid w:val="00775CFF"/>
    <w:rsid w:val="00775D8C"/>
    <w:rsid w:val="00775E14"/>
    <w:rsid w:val="00775E54"/>
    <w:rsid w:val="00775E9F"/>
    <w:rsid w:val="00775ED4"/>
    <w:rsid w:val="00775F50"/>
    <w:rsid w:val="00775F9E"/>
    <w:rsid w:val="00776269"/>
    <w:rsid w:val="0077631B"/>
    <w:rsid w:val="00776342"/>
    <w:rsid w:val="007767F3"/>
    <w:rsid w:val="00776892"/>
    <w:rsid w:val="0077698E"/>
    <w:rsid w:val="00776A3D"/>
    <w:rsid w:val="00776EB1"/>
    <w:rsid w:val="00776F45"/>
    <w:rsid w:val="00776FBA"/>
    <w:rsid w:val="00777104"/>
    <w:rsid w:val="00777178"/>
    <w:rsid w:val="007771A9"/>
    <w:rsid w:val="007772E8"/>
    <w:rsid w:val="0077730E"/>
    <w:rsid w:val="0077740D"/>
    <w:rsid w:val="00777425"/>
    <w:rsid w:val="00777458"/>
    <w:rsid w:val="0077773F"/>
    <w:rsid w:val="007777DB"/>
    <w:rsid w:val="007778E7"/>
    <w:rsid w:val="00777943"/>
    <w:rsid w:val="00777A15"/>
    <w:rsid w:val="00777A16"/>
    <w:rsid w:val="00777B4C"/>
    <w:rsid w:val="00777E8A"/>
    <w:rsid w:val="007800D5"/>
    <w:rsid w:val="00780166"/>
    <w:rsid w:val="007801F0"/>
    <w:rsid w:val="00780278"/>
    <w:rsid w:val="00780429"/>
    <w:rsid w:val="00780716"/>
    <w:rsid w:val="007807A4"/>
    <w:rsid w:val="00780AA3"/>
    <w:rsid w:val="00780AA5"/>
    <w:rsid w:val="00780D2F"/>
    <w:rsid w:val="00780D9F"/>
    <w:rsid w:val="0078137D"/>
    <w:rsid w:val="007813BD"/>
    <w:rsid w:val="0078144D"/>
    <w:rsid w:val="00781461"/>
    <w:rsid w:val="007814C3"/>
    <w:rsid w:val="0078177A"/>
    <w:rsid w:val="00781B65"/>
    <w:rsid w:val="00781BFE"/>
    <w:rsid w:val="00781C58"/>
    <w:rsid w:val="00781D3A"/>
    <w:rsid w:val="00781D7D"/>
    <w:rsid w:val="00781F65"/>
    <w:rsid w:val="00782062"/>
    <w:rsid w:val="007821C6"/>
    <w:rsid w:val="007823D6"/>
    <w:rsid w:val="0078256F"/>
    <w:rsid w:val="007825DB"/>
    <w:rsid w:val="007826DD"/>
    <w:rsid w:val="007826ED"/>
    <w:rsid w:val="00782722"/>
    <w:rsid w:val="00782822"/>
    <w:rsid w:val="00782995"/>
    <w:rsid w:val="00782A0C"/>
    <w:rsid w:val="00782BF5"/>
    <w:rsid w:val="00782E21"/>
    <w:rsid w:val="00782F06"/>
    <w:rsid w:val="00782F4F"/>
    <w:rsid w:val="00782FBC"/>
    <w:rsid w:val="00782FF5"/>
    <w:rsid w:val="0078308D"/>
    <w:rsid w:val="00783103"/>
    <w:rsid w:val="00783117"/>
    <w:rsid w:val="00783193"/>
    <w:rsid w:val="007831F8"/>
    <w:rsid w:val="00783296"/>
    <w:rsid w:val="0078329F"/>
    <w:rsid w:val="007832C8"/>
    <w:rsid w:val="00783300"/>
    <w:rsid w:val="00783820"/>
    <w:rsid w:val="0078385D"/>
    <w:rsid w:val="007838F3"/>
    <w:rsid w:val="0078391E"/>
    <w:rsid w:val="00783997"/>
    <w:rsid w:val="007839FC"/>
    <w:rsid w:val="00783A5D"/>
    <w:rsid w:val="00783EDE"/>
    <w:rsid w:val="00783EF8"/>
    <w:rsid w:val="00783FDF"/>
    <w:rsid w:val="0078414F"/>
    <w:rsid w:val="007841D9"/>
    <w:rsid w:val="007841F1"/>
    <w:rsid w:val="007843CE"/>
    <w:rsid w:val="00784425"/>
    <w:rsid w:val="00784774"/>
    <w:rsid w:val="007848EA"/>
    <w:rsid w:val="00784911"/>
    <w:rsid w:val="00784AD2"/>
    <w:rsid w:val="00784D55"/>
    <w:rsid w:val="00784E1D"/>
    <w:rsid w:val="00784EC8"/>
    <w:rsid w:val="00784FA2"/>
    <w:rsid w:val="0078505C"/>
    <w:rsid w:val="00785078"/>
    <w:rsid w:val="0078518D"/>
    <w:rsid w:val="00785365"/>
    <w:rsid w:val="0078542A"/>
    <w:rsid w:val="007854CD"/>
    <w:rsid w:val="007854FD"/>
    <w:rsid w:val="00785505"/>
    <w:rsid w:val="0078554B"/>
    <w:rsid w:val="007855C4"/>
    <w:rsid w:val="007857A7"/>
    <w:rsid w:val="00785CC4"/>
    <w:rsid w:val="00785D05"/>
    <w:rsid w:val="00785D33"/>
    <w:rsid w:val="00785E1B"/>
    <w:rsid w:val="00785E20"/>
    <w:rsid w:val="00785EA1"/>
    <w:rsid w:val="0078608A"/>
    <w:rsid w:val="00786099"/>
    <w:rsid w:val="007860E5"/>
    <w:rsid w:val="0078625B"/>
    <w:rsid w:val="007862A2"/>
    <w:rsid w:val="007863D9"/>
    <w:rsid w:val="007864D9"/>
    <w:rsid w:val="0078671A"/>
    <w:rsid w:val="0078692A"/>
    <w:rsid w:val="007869E5"/>
    <w:rsid w:val="00786B62"/>
    <w:rsid w:val="00786CE2"/>
    <w:rsid w:val="00786D82"/>
    <w:rsid w:val="00786F13"/>
    <w:rsid w:val="00786FC0"/>
    <w:rsid w:val="007870BB"/>
    <w:rsid w:val="007871B3"/>
    <w:rsid w:val="0078724C"/>
    <w:rsid w:val="007873B1"/>
    <w:rsid w:val="00787452"/>
    <w:rsid w:val="007874B6"/>
    <w:rsid w:val="00787711"/>
    <w:rsid w:val="00787A60"/>
    <w:rsid w:val="00787B27"/>
    <w:rsid w:val="00787B5B"/>
    <w:rsid w:val="00787CCC"/>
    <w:rsid w:val="00787D04"/>
    <w:rsid w:val="00787D8D"/>
    <w:rsid w:val="00787DE4"/>
    <w:rsid w:val="00787F23"/>
    <w:rsid w:val="00787FFD"/>
    <w:rsid w:val="0079028D"/>
    <w:rsid w:val="007903F7"/>
    <w:rsid w:val="007904E1"/>
    <w:rsid w:val="007905C3"/>
    <w:rsid w:val="007908E8"/>
    <w:rsid w:val="00790915"/>
    <w:rsid w:val="00790B2E"/>
    <w:rsid w:val="00790C7E"/>
    <w:rsid w:val="00790DD7"/>
    <w:rsid w:val="00790E61"/>
    <w:rsid w:val="00790E83"/>
    <w:rsid w:val="00790F33"/>
    <w:rsid w:val="0079106A"/>
    <w:rsid w:val="00791122"/>
    <w:rsid w:val="007911F4"/>
    <w:rsid w:val="00791202"/>
    <w:rsid w:val="00791289"/>
    <w:rsid w:val="0079131A"/>
    <w:rsid w:val="0079132A"/>
    <w:rsid w:val="0079133B"/>
    <w:rsid w:val="00791447"/>
    <w:rsid w:val="007915B2"/>
    <w:rsid w:val="0079192A"/>
    <w:rsid w:val="0079192E"/>
    <w:rsid w:val="00791A46"/>
    <w:rsid w:val="00791B5E"/>
    <w:rsid w:val="00791CA2"/>
    <w:rsid w:val="00791E11"/>
    <w:rsid w:val="00791E71"/>
    <w:rsid w:val="00791ED8"/>
    <w:rsid w:val="00791FE0"/>
    <w:rsid w:val="0079200A"/>
    <w:rsid w:val="007922FE"/>
    <w:rsid w:val="00792536"/>
    <w:rsid w:val="00792679"/>
    <w:rsid w:val="007927E2"/>
    <w:rsid w:val="00792886"/>
    <w:rsid w:val="007928DE"/>
    <w:rsid w:val="007929EC"/>
    <w:rsid w:val="00792ABF"/>
    <w:rsid w:val="00792B35"/>
    <w:rsid w:val="00792CC9"/>
    <w:rsid w:val="00792CFB"/>
    <w:rsid w:val="00792DC4"/>
    <w:rsid w:val="00792F23"/>
    <w:rsid w:val="00792F3B"/>
    <w:rsid w:val="00792FFE"/>
    <w:rsid w:val="00793002"/>
    <w:rsid w:val="00793054"/>
    <w:rsid w:val="0079307D"/>
    <w:rsid w:val="007931C9"/>
    <w:rsid w:val="00793239"/>
    <w:rsid w:val="00793251"/>
    <w:rsid w:val="00793260"/>
    <w:rsid w:val="0079345F"/>
    <w:rsid w:val="00793507"/>
    <w:rsid w:val="00793569"/>
    <w:rsid w:val="007935A5"/>
    <w:rsid w:val="0079364B"/>
    <w:rsid w:val="00793836"/>
    <w:rsid w:val="007938DF"/>
    <w:rsid w:val="00793A24"/>
    <w:rsid w:val="00793D48"/>
    <w:rsid w:val="00793E9E"/>
    <w:rsid w:val="007940EE"/>
    <w:rsid w:val="0079415A"/>
    <w:rsid w:val="00794263"/>
    <w:rsid w:val="007942EF"/>
    <w:rsid w:val="007942F7"/>
    <w:rsid w:val="00794379"/>
    <w:rsid w:val="007943A8"/>
    <w:rsid w:val="0079442E"/>
    <w:rsid w:val="00794484"/>
    <w:rsid w:val="0079449C"/>
    <w:rsid w:val="007944FB"/>
    <w:rsid w:val="00794771"/>
    <w:rsid w:val="0079479F"/>
    <w:rsid w:val="0079480E"/>
    <w:rsid w:val="00794886"/>
    <w:rsid w:val="00794923"/>
    <w:rsid w:val="00794A3E"/>
    <w:rsid w:val="00794BE5"/>
    <w:rsid w:val="00794CA4"/>
    <w:rsid w:val="00794CBC"/>
    <w:rsid w:val="00794D71"/>
    <w:rsid w:val="00794DAA"/>
    <w:rsid w:val="007951EA"/>
    <w:rsid w:val="0079533E"/>
    <w:rsid w:val="0079539C"/>
    <w:rsid w:val="00795414"/>
    <w:rsid w:val="007955B2"/>
    <w:rsid w:val="00795632"/>
    <w:rsid w:val="00795720"/>
    <w:rsid w:val="00795826"/>
    <w:rsid w:val="00795A86"/>
    <w:rsid w:val="00795B4E"/>
    <w:rsid w:val="00795CBB"/>
    <w:rsid w:val="00795E9C"/>
    <w:rsid w:val="00796072"/>
    <w:rsid w:val="007960FD"/>
    <w:rsid w:val="007961D9"/>
    <w:rsid w:val="007963A1"/>
    <w:rsid w:val="007963A4"/>
    <w:rsid w:val="00796458"/>
    <w:rsid w:val="00796463"/>
    <w:rsid w:val="00796496"/>
    <w:rsid w:val="00796512"/>
    <w:rsid w:val="00796684"/>
    <w:rsid w:val="007967F9"/>
    <w:rsid w:val="007968F3"/>
    <w:rsid w:val="0079691B"/>
    <w:rsid w:val="0079699F"/>
    <w:rsid w:val="00796A38"/>
    <w:rsid w:val="00796F83"/>
    <w:rsid w:val="007970BD"/>
    <w:rsid w:val="007970DE"/>
    <w:rsid w:val="0079712D"/>
    <w:rsid w:val="00797199"/>
    <w:rsid w:val="007971E6"/>
    <w:rsid w:val="00797247"/>
    <w:rsid w:val="007972D6"/>
    <w:rsid w:val="0079734F"/>
    <w:rsid w:val="007974D2"/>
    <w:rsid w:val="007974D5"/>
    <w:rsid w:val="0079754D"/>
    <w:rsid w:val="00797568"/>
    <w:rsid w:val="00797878"/>
    <w:rsid w:val="007978C7"/>
    <w:rsid w:val="00797970"/>
    <w:rsid w:val="00797A7E"/>
    <w:rsid w:val="00797B34"/>
    <w:rsid w:val="00797BD6"/>
    <w:rsid w:val="00797CBD"/>
    <w:rsid w:val="00797CCE"/>
    <w:rsid w:val="00797E05"/>
    <w:rsid w:val="00797F56"/>
    <w:rsid w:val="00797FEA"/>
    <w:rsid w:val="00798193"/>
    <w:rsid w:val="007A0016"/>
    <w:rsid w:val="007A0065"/>
    <w:rsid w:val="007A0203"/>
    <w:rsid w:val="007A02FE"/>
    <w:rsid w:val="007A032D"/>
    <w:rsid w:val="007A03CB"/>
    <w:rsid w:val="007A054F"/>
    <w:rsid w:val="007A073E"/>
    <w:rsid w:val="007A07DE"/>
    <w:rsid w:val="007A082C"/>
    <w:rsid w:val="007A0A00"/>
    <w:rsid w:val="007A0A0C"/>
    <w:rsid w:val="007A0B28"/>
    <w:rsid w:val="007A0B38"/>
    <w:rsid w:val="007A0D7E"/>
    <w:rsid w:val="007A0E4A"/>
    <w:rsid w:val="007A11A0"/>
    <w:rsid w:val="007A11BD"/>
    <w:rsid w:val="007A1463"/>
    <w:rsid w:val="007A15E9"/>
    <w:rsid w:val="007A15F9"/>
    <w:rsid w:val="007A171A"/>
    <w:rsid w:val="007A192C"/>
    <w:rsid w:val="007A1968"/>
    <w:rsid w:val="007A1A2D"/>
    <w:rsid w:val="007A1A8E"/>
    <w:rsid w:val="007A1D06"/>
    <w:rsid w:val="007A1DB9"/>
    <w:rsid w:val="007A1F7B"/>
    <w:rsid w:val="007A2031"/>
    <w:rsid w:val="007A20A6"/>
    <w:rsid w:val="007A20CA"/>
    <w:rsid w:val="007A21F5"/>
    <w:rsid w:val="007A2235"/>
    <w:rsid w:val="007A22A9"/>
    <w:rsid w:val="007A2348"/>
    <w:rsid w:val="007A2389"/>
    <w:rsid w:val="007A258D"/>
    <w:rsid w:val="007A2762"/>
    <w:rsid w:val="007A2B6B"/>
    <w:rsid w:val="007A2C4B"/>
    <w:rsid w:val="007A2E7B"/>
    <w:rsid w:val="007A2E82"/>
    <w:rsid w:val="007A3027"/>
    <w:rsid w:val="007A3184"/>
    <w:rsid w:val="007A31C4"/>
    <w:rsid w:val="007A323A"/>
    <w:rsid w:val="007A3282"/>
    <w:rsid w:val="007A3283"/>
    <w:rsid w:val="007A32B4"/>
    <w:rsid w:val="007A336C"/>
    <w:rsid w:val="007A344E"/>
    <w:rsid w:val="007A361B"/>
    <w:rsid w:val="007A3672"/>
    <w:rsid w:val="007A36F5"/>
    <w:rsid w:val="007A3822"/>
    <w:rsid w:val="007A39C9"/>
    <w:rsid w:val="007A39CC"/>
    <w:rsid w:val="007A39F3"/>
    <w:rsid w:val="007A3AD2"/>
    <w:rsid w:val="007A3B92"/>
    <w:rsid w:val="007A3C4E"/>
    <w:rsid w:val="007A3C99"/>
    <w:rsid w:val="007A3D44"/>
    <w:rsid w:val="007A3D67"/>
    <w:rsid w:val="007A3D7C"/>
    <w:rsid w:val="007A40EA"/>
    <w:rsid w:val="007A416B"/>
    <w:rsid w:val="007A426F"/>
    <w:rsid w:val="007A42A3"/>
    <w:rsid w:val="007A43C2"/>
    <w:rsid w:val="007A44AB"/>
    <w:rsid w:val="007A44F9"/>
    <w:rsid w:val="007A4608"/>
    <w:rsid w:val="007A4693"/>
    <w:rsid w:val="007A46C1"/>
    <w:rsid w:val="007A48D5"/>
    <w:rsid w:val="007A4BA7"/>
    <w:rsid w:val="007A4CE5"/>
    <w:rsid w:val="007A4E8B"/>
    <w:rsid w:val="007A4E95"/>
    <w:rsid w:val="007A4F07"/>
    <w:rsid w:val="007A4F16"/>
    <w:rsid w:val="007A4FD1"/>
    <w:rsid w:val="007A50C2"/>
    <w:rsid w:val="007A50E6"/>
    <w:rsid w:val="007A5101"/>
    <w:rsid w:val="007A5158"/>
    <w:rsid w:val="007A5173"/>
    <w:rsid w:val="007A5183"/>
    <w:rsid w:val="007A5342"/>
    <w:rsid w:val="007A53DB"/>
    <w:rsid w:val="007A5480"/>
    <w:rsid w:val="007A54D3"/>
    <w:rsid w:val="007A5737"/>
    <w:rsid w:val="007A576C"/>
    <w:rsid w:val="007A5825"/>
    <w:rsid w:val="007A584A"/>
    <w:rsid w:val="007A5BE9"/>
    <w:rsid w:val="007A5C8C"/>
    <w:rsid w:val="007A5E7A"/>
    <w:rsid w:val="007A5ED4"/>
    <w:rsid w:val="007A5F3D"/>
    <w:rsid w:val="007A6007"/>
    <w:rsid w:val="007A60AC"/>
    <w:rsid w:val="007A60BE"/>
    <w:rsid w:val="007A60E1"/>
    <w:rsid w:val="007A614B"/>
    <w:rsid w:val="007A62FE"/>
    <w:rsid w:val="007A6379"/>
    <w:rsid w:val="007A639C"/>
    <w:rsid w:val="007A63A0"/>
    <w:rsid w:val="007A6478"/>
    <w:rsid w:val="007A64E6"/>
    <w:rsid w:val="007A6521"/>
    <w:rsid w:val="007A65E0"/>
    <w:rsid w:val="007A678D"/>
    <w:rsid w:val="007A67CD"/>
    <w:rsid w:val="007A68D1"/>
    <w:rsid w:val="007A690D"/>
    <w:rsid w:val="007A6B51"/>
    <w:rsid w:val="007A6B63"/>
    <w:rsid w:val="007A6BBB"/>
    <w:rsid w:val="007A6CD5"/>
    <w:rsid w:val="007A6D8D"/>
    <w:rsid w:val="007A6DCF"/>
    <w:rsid w:val="007A6EDA"/>
    <w:rsid w:val="007A70D4"/>
    <w:rsid w:val="007A75DD"/>
    <w:rsid w:val="007A7683"/>
    <w:rsid w:val="007A7777"/>
    <w:rsid w:val="007A7791"/>
    <w:rsid w:val="007A7914"/>
    <w:rsid w:val="007A7A29"/>
    <w:rsid w:val="007A7E02"/>
    <w:rsid w:val="007B0331"/>
    <w:rsid w:val="007B06CB"/>
    <w:rsid w:val="007B070F"/>
    <w:rsid w:val="007B074E"/>
    <w:rsid w:val="007B08B3"/>
    <w:rsid w:val="007B0950"/>
    <w:rsid w:val="007B0BA6"/>
    <w:rsid w:val="007B0BC5"/>
    <w:rsid w:val="007B0EB8"/>
    <w:rsid w:val="007B0F46"/>
    <w:rsid w:val="007B1022"/>
    <w:rsid w:val="007B1060"/>
    <w:rsid w:val="007B1067"/>
    <w:rsid w:val="007B10CC"/>
    <w:rsid w:val="007B1122"/>
    <w:rsid w:val="007B11A5"/>
    <w:rsid w:val="007B1475"/>
    <w:rsid w:val="007B151D"/>
    <w:rsid w:val="007B1591"/>
    <w:rsid w:val="007B15FD"/>
    <w:rsid w:val="007B1713"/>
    <w:rsid w:val="007B17B5"/>
    <w:rsid w:val="007B197F"/>
    <w:rsid w:val="007B19F4"/>
    <w:rsid w:val="007B1B1C"/>
    <w:rsid w:val="007B1D16"/>
    <w:rsid w:val="007B1D76"/>
    <w:rsid w:val="007B1ECA"/>
    <w:rsid w:val="007B1ED5"/>
    <w:rsid w:val="007B231A"/>
    <w:rsid w:val="007B23A6"/>
    <w:rsid w:val="007B2423"/>
    <w:rsid w:val="007B24B6"/>
    <w:rsid w:val="007B25F5"/>
    <w:rsid w:val="007B25FA"/>
    <w:rsid w:val="007B2644"/>
    <w:rsid w:val="007B27CE"/>
    <w:rsid w:val="007B28C5"/>
    <w:rsid w:val="007B2B36"/>
    <w:rsid w:val="007B2CB4"/>
    <w:rsid w:val="007B2DF2"/>
    <w:rsid w:val="007B2E32"/>
    <w:rsid w:val="007B2E7F"/>
    <w:rsid w:val="007B3084"/>
    <w:rsid w:val="007B34FA"/>
    <w:rsid w:val="007B3613"/>
    <w:rsid w:val="007B3668"/>
    <w:rsid w:val="007B3710"/>
    <w:rsid w:val="007B381C"/>
    <w:rsid w:val="007B3AD3"/>
    <w:rsid w:val="007B3B18"/>
    <w:rsid w:val="007B3C51"/>
    <w:rsid w:val="007B3CB9"/>
    <w:rsid w:val="007B3D1E"/>
    <w:rsid w:val="007B3D82"/>
    <w:rsid w:val="007B3DBC"/>
    <w:rsid w:val="007B3EC9"/>
    <w:rsid w:val="007B420E"/>
    <w:rsid w:val="007B4294"/>
    <w:rsid w:val="007B4342"/>
    <w:rsid w:val="007B4382"/>
    <w:rsid w:val="007B461B"/>
    <w:rsid w:val="007B46D5"/>
    <w:rsid w:val="007B4A91"/>
    <w:rsid w:val="007B4E92"/>
    <w:rsid w:val="007B4EE4"/>
    <w:rsid w:val="007B502B"/>
    <w:rsid w:val="007B505B"/>
    <w:rsid w:val="007B525D"/>
    <w:rsid w:val="007B5269"/>
    <w:rsid w:val="007B55E2"/>
    <w:rsid w:val="007B5635"/>
    <w:rsid w:val="007B56AF"/>
    <w:rsid w:val="007B5762"/>
    <w:rsid w:val="007B5882"/>
    <w:rsid w:val="007B5998"/>
    <w:rsid w:val="007B59F7"/>
    <w:rsid w:val="007B5A12"/>
    <w:rsid w:val="007B5A50"/>
    <w:rsid w:val="007B5B3B"/>
    <w:rsid w:val="007B5CA7"/>
    <w:rsid w:val="007B5F7D"/>
    <w:rsid w:val="007B600A"/>
    <w:rsid w:val="007B6026"/>
    <w:rsid w:val="007B60D8"/>
    <w:rsid w:val="007B60EF"/>
    <w:rsid w:val="007B6101"/>
    <w:rsid w:val="007B6169"/>
    <w:rsid w:val="007B6296"/>
    <w:rsid w:val="007B6644"/>
    <w:rsid w:val="007B678E"/>
    <w:rsid w:val="007B6835"/>
    <w:rsid w:val="007B69F6"/>
    <w:rsid w:val="007B6ABF"/>
    <w:rsid w:val="007B6AEE"/>
    <w:rsid w:val="007B6BC7"/>
    <w:rsid w:val="007B6DAB"/>
    <w:rsid w:val="007B6DF3"/>
    <w:rsid w:val="007B6E03"/>
    <w:rsid w:val="007B6E67"/>
    <w:rsid w:val="007B6F8B"/>
    <w:rsid w:val="007B70DF"/>
    <w:rsid w:val="007B7187"/>
    <w:rsid w:val="007B7208"/>
    <w:rsid w:val="007B731C"/>
    <w:rsid w:val="007B7535"/>
    <w:rsid w:val="007B75C8"/>
    <w:rsid w:val="007B76CF"/>
    <w:rsid w:val="007B7732"/>
    <w:rsid w:val="007B77E6"/>
    <w:rsid w:val="007B78E9"/>
    <w:rsid w:val="007B79E8"/>
    <w:rsid w:val="007B7BBE"/>
    <w:rsid w:val="007B7C51"/>
    <w:rsid w:val="007B7D6F"/>
    <w:rsid w:val="007B7ED2"/>
    <w:rsid w:val="007B7EEF"/>
    <w:rsid w:val="007B7FB9"/>
    <w:rsid w:val="007BA5C9"/>
    <w:rsid w:val="007C002F"/>
    <w:rsid w:val="007C003C"/>
    <w:rsid w:val="007C01DD"/>
    <w:rsid w:val="007C01EE"/>
    <w:rsid w:val="007C05E0"/>
    <w:rsid w:val="007C0615"/>
    <w:rsid w:val="007C072E"/>
    <w:rsid w:val="007C0851"/>
    <w:rsid w:val="007C08D5"/>
    <w:rsid w:val="007C090C"/>
    <w:rsid w:val="007C0978"/>
    <w:rsid w:val="007C09B3"/>
    <w:rsid w:val="007C0A2A"/>
    <w:rsid w:val="007C0B0E"/>
    <w:rsid w:val="007C0C80"/>
    <w:rsid w:val="007C0E86"/>
    <w:rsid w:val="007C1206"/>
    <w:rsid w:val="007C1208"/>
    <w:rsid w:val="007C12F3"/>
    <w:rsid w:val="007C1576"/>
    <w:rsid w:val="007C16F4"/>
    <w:rsid w:val="007C16FE"/>
    <w:rsid w:val="007C18CD"/>
    <w:rsid w:val="007C18EE"/>
    <w:rsid w:val="007C1920"/>
    <w:rsid w:val="007C1CC7"/>
    <w:rsid w:val="007C1F4B"/>
    <w:rsid w:val="007C1F6C"/>
    <w:rsid w:val="007C1FAC"/>
    <w:rsid w:val="007C2032"/>
    <w:rsid w:val="007C207E"/>
    <w:rsid w:val="007C20A2"/>
    <w:rsid w:val="007C213E"/>
    <w:rsid w:val="007C216E"/>
    <w:rsid w:val="007C2249"/>
    <w:rsid w:val="007C224C"/>
    <w:rsid w:val="007C232E"/>
    <w:rsid w:val="007C2372"/>
    <w:rsid w:val="007C2415"/>
    <w:rsid w:val="007C249C"/>
    <w:rsid w:val="007C24BD"/>
    <w:rsid w:val="007C2535"/>
    <w:rsid w:val="007C2587"/>
    <w:rsid w:val="007C25E3"/>
    <w:rsid w:val="007C2934"/>
    <w:rsid w:val="007C29B9"/>
    <w:rsid w:val="007C29C5"/>
    <w:rsid w:val="007C2AC1"/>
    <w:rsid w:val="007C2C5C"/>
    <w:rsid w:val="007C2E82"/>
    <w:rsid w:val="007C2E93"/>
    <w:rsid w:val="007C2EE0"/>
    <w:rsid w:val="007C3163"/>
    <w:rsid w:val="007C337F"/>
    <w:rsid w:val="007C33FC"/>
    <w:rsid w:val="007C3409"/>
    <w:rsid w:val="007C3488"/>
    <w:rsid w:val="007C3500"/>
    <w:rsid w:val="007C3536"/>
    <w:rsid w:val="007C3567"/>
    <w:rsid w:val="007C3963"/>
    <w:rsid w:val="007C3998"/>
    <w:rsid w:val="007C39A3"/>
    <w:rsid w:val="007C39DD"/>
    <w:rsid w:val="007C3D24"/>
    <w:rsid w:val="007C3DA6"/>
    <w:rsid w:val="007C3F56"/>
    <w:rsid w:val="007C3F59"/>
    <w:rsid w:val="007C3F92"/>
    <w:rsid w:val="007C408C"/>
    <w:rsid w:val="007C40E3"/>
    <w:rsid w:val="007C4219"/>
    <w:rsid w:val="007C42CE"/>
    <w:rsid w:val="007C44A5"/>
    <w:rsid w:val="007C46B0"/>
    <w:rsid w:val="007C4802"/>
    <w:rsid w:val="007C485A"/>
    <w:rsid w:val="007C4974"/>
    <w:rsid w:val="007C4B60"/>
    <w:rsid w:val="007C4BDE"/>
    <w:rsid w:val="007C4CA6"/>
    <w:rsid w:val="007C4D2E"/>
    <w:rsid w:val="007C4F20"/>
    <w:rsid w:val="007C4F55"/>
    <w:rsid w:val="007C4FD3"/>
    <w:rsid w:val="007C512B"/>
    <w:rsid w:val="007C51F5"/>
    <w:rsid w:val="007C5293"/>
    <w:rsid w:val="007C529F"/>
    <w:rsid w:val="007C5412"/>
    <w:rsid w:val="007C563E"/>
    <w:rsid w:val="007C5767"/>
    <w:rsid w:val="007C5779"/>
    <w:rsid w:val="007C583A"/>
    <w:rsid w:val="007C5911"/>
    <w:rsid w:val="007C5BFF"/>
    <w:rsid w:val="007C5C9A"/>
    <w:rsid w:val="007C5D22"/>
    <w:rsid w:val="007C5E2D"/>
    <w:rsid w:val="007C6072"/>
    <w:rsid w:val="007C6169"/>
    <w:rsid w:val="007C61A3"/>
    <w:rsid w:val="007C62E5"/>
    <w:rsid w:val="007C646C"/>
    <w:rsid w:val="007C64D3"/>
    <w:rsid w:val="007C655A"/>
    <w:rsid w:val="007C65F9"/>
    <w:rsid w:val="007C6601"/>
    <w:rsid w:val="007C668D"/>
    <w:rsid w:val="007C6898"/>
    <w:rsid w:val="007C68BB"/>
    <w:rsid w:val="007C6B29"/>
    <w:rsid w:val="007C6B61"/>
    <w:rsid w:val="007C6B63"/>
    <w:rsid w:val="007C6C57"/>
    <w:rsid w:val="007C6E51"/>
    <w:rsid w:val="007C6F00"/>
    <w:rsid w:val="007C73F4"/>
    <w:rsid w:val="007C7536"/>
    <w:rsid w:val="007C7542"/>
    <w:rsid w:val="007C75EF"/>
    <w:rsid w:val="007C7801"/>
    <w:rsid w:val="007C792D"/>
    <w:rsid w:val="007C7A16"/>
    <w:rsid w:val="007C7B07"/>
    <w:rsid w:val="007C7CC4"/>
    <w:rsid w:val="007C7CDA"/>
    <w:rsid w:val="007C7D7C"/>
    <w:rsid w:val="007C7EBF"/>
    <w:rsid w:val="007C7F45"/>
    <w:rsid w:val="007D011C"/>
    <w:rsid w:val="007D01F0"/>
    <w:rsid w:val="007D031D"/>
    <w:rsid w:val="007D03B7"/>
    <w:rsid w:val="007D04D3"/>
    <w:rsid w:val="007D0557"/>
    <w:rsid w:val="007D0A93"/>
    <w:rsid w:val="007D0C8D"/>
    <w:rsid w:val="007D0DE2"/>
    <w:rsid w:val="007D0E0A"/>
    <w:rsid w:val="007D0FE5"/>
    <w:rsid w:val="007D1047"/>
    <w:rsid w:val="007D1053"/>
    <w:rsid w:val="007D1155"/>
    <w:rsid w:val="007D11BB"/>
    <w:rsid w:val="007D13AB"/>
    <w:rsid w:val="007D1529"/>
    <w:rsid w:val="007D1B91"/>
    <w:rsid w:val="007D1B93"/>
    <w:rsid w:val="007D1C1F"/>
    <w:rsid w:val="007D1D0C"/>
    <w:rsid w:val="007D1DBE"/>
    <w:rsid w:val="007D1E68"/>
    <w:rsid w:val="007D20F5"/>
    <w:rsid w:val="007D2133"/>
    <w:rsid w:val="007D226B"/>
    <w:rsid w:val="007D238F"/>
    <w:rsid w:val="007D2443"/>
    <w:rsid w:val="007D2455"/>
    <w:rsid w:val="007D2477"/>
    <w:rsid w:val="007D2605"/>
    <w:rsid w:val="007D273D"/>
    <w:rsid w:val="007D2837"/>
    <w:rsid w:val="007D289B"/>
    <w:rsid w:val="007D29CF"/>
    <w:rsid w:val="007D2A1C"/>
    <w:rsid w:val="007D2AD2"/>
    <w:rsid w:val="007D2B06"/>
    <w:rsid w:val="007D2B34"/>
    <w:rsid w:val="007D2B73"/>
    <w:rsid w:val="007D2C6A"/>
    <w:rsid w:val="007D2CF9"/>
    <w:rsid w:val="007D2F83"/>
    <w:rsid w:val="007D30D3"/>
    <w:rsid w:val="007D3126"/>
    <w:rsid w:val="007D31CD"/>
    <w:rsid w:val="007D31FD"/>
    <w:rsid w:val="007D3357"/>
    <w:rsid w:val="007D33D1"/>
    <w:rsid w:val="007D3483"/>
    <w:rsid w:val="007D35A1"/>
    <w:rsid w:val="007D373F"/>
    <w:rsid w:val="007D396A"/>
    <w:rsid w:val="007D398C"/>
    <w:rsid w:val="007D3995"/>
    <w:rsid w:val="007D39A9"/>
    <w:rsid w:val="007D3A42"/>
    <w:rsid w:val="007D3A52"/>
    <w:rsid w:val="007D3A71"/>
    <w:rsid w:val="007D3BD7"/>
    <w:rsid w:val="007D3C1F"/>
    <w:rsid w:val="007D3CA1"/>
    <w:rsid w:val="007D3E46"/>
    <w:rsid w:val="007D3F7B"/>
    <w:rsid w:val="007D4048"/>
    <w:rsid w:val="007D40F9"/>
    <w:rsid w:val="007D43A1"/>
    <w:rsid w:val="007D445C"/>
    <w:rsid w:val="007D453D"/>
    <w:rsid w:val="007D4575"/>
    <w:rsid w:val="007D45DF"/>
    <w:rsid w:val="007D465E"/>
    <w:rsid w:val="007D4799"/>
    <w:rsid w:val="007D48EA"/>
    <w:rsid w:val="007D48FB"/>
    <w:rsid w:val="007D4960"/>
    <w:rsid w:val="007D49CB"/>
    <w:rsid w:val="007D4A36"/>
    <w:rsid w:val="007D4F75"/>
    <w:rsid w:val="007D4FDF"/>
    <w:rsid w:val="007D505A"/>
    <w:rsid w:val="007D509B"/>
    <w:rsid w:val="007D50F2"/>
    <w:rsid w:val="007D510D"/>
    <w:rsid w:val="007D53C4"/>
    <w:rsid w:val="007D549B"/>
    <w:rsid w:val="007D5546"/>
    <w:rsid w:val="007D55A7"/>
    <w:rsid w:val="007D5666"/>
    <w:rsid w:val="007D5691"/>
    <w:rsid w:val="007D56C1"/>
    <w:rsid w:val="007D57DC"/>
    <w:rsid w:val="007D5B2A"/>
    <w:rsid w:val="007D5D47"/>
    <w:rsid w:val="007D5EAF"/>
    <w:rsid w:val="007D5FF9"/>
    <w:rsid w:val="007D6003"/>
    <w:rsid w:val="007D630C"/>
    <w:rsid w:val="007D637C"/>
    <w:rsid w:val="007D6389"/>
    <w:rsid w:val="007D6435"/>
    <w:rsid w:val="007D65EB"/>
    <w:rsid w:val="007D667D"/>
    <w:rsid w:val="007D677A"/>
    <w:rsid w:val="007D6791"/>
    <w:rsid w:val="007D67F8"/>
    <w:rsid w:val="007D684E"/>
    <w:rsid w:val="007D68FD"/>
    <w:rsid w:val="007D692C"/>
    <w:rsid w:val="007D6A92"/>
    <w:rsid w:val="007D6B3C"/>
    <w:rsid w:val="007D6C37"/>
    <w:rsid w:val="007D6C53"/>
    <w:rsid w:val="007D6D05"/>
    <w:rsid w:val="007D6E50"/>
    <w:rsid w:val="007D7055"/>
    <w:rsid w:val="007D706E"/>
    <w:rsid w:val="007D70FA"/>
    <w:rsid w:val="007D71F9"/>
    <w:rsid w:val="007D7236"/>
    <w:rsid w:val="007D7354"/>
    <w:rsid w:val="007D74CD"/>
    <w:rsid w:val="007D74EA"/>
    <w:rsid w:val="007D7633"/>
    <w:rsid w:val="007D7644"/>
    <w:rsid w:val="007D77EA"/>
    <w:rsid w:val="007D7895"/>
    <w:rsid w:val="007D7969"/>
    <w:rsid w:val="007D79BE"/>
    <w:rsid w:val="007D7AEA"/>
    <w:rsid w:val="007D7B86"/>
    <w:rsid w:val="007D7BDA"/>
    <w:rsid w:val="007D7C85"/>
    <w:rsid w:val="007D7D72"/>
    <w:rsid w:val="007D7DD3"/>
    <w:rsid w:val="007D7DD7"/>
    <w:rsid w:val="007D7DFC"/>
    <w:rsid w:val="007D7EA0"/>
    <w:rsid w:val="007D7F7F"/>
    <w:rsid w:val="007E0093"/>
    <w:rsid w:val="007E00F0"/>
    <w:rsid w:val="007E0200"/>
    <w:rsid w:val="007E02F4"/>
    <w:rsid w:val="007E0483"/>
    <w:rsid w:val="007E05AC"/>
    <w:rsid w:val="007E06D2"/>
    <w:rsid w:val="007E07EA"/>
    <w:rsid w:val="007E08BF"/>
    <w:rsid w:val="007E09ED"/>
    <w:rsid w:val="007E0AC2"/>
    <w:rsid w:val="007E0EC3"/>
    <w:rsid w:val="007E0EF6"/>
    <w:rsid w:val="007E0FA2"/>
    <w:rsid w:val="007E1344"/>
    <w:rsid w:val="007E1406"/>
    <w:rsid w:val="007E1408"/>
    <w:rsid w:val="007E145A"/>
    <w:rsid w:val="007E154C"/>
    <w:rsid w:val="007E156A"/>
    <w:rsid w:val="007E15D9"/>
    <w:rsid w:val="007E1644"/>
    <w:rsid w:val="007E16F1"/>
    <w:rsid w:val="007E1745"/>
    <w:rsid w:val="007E1824"/>
    <w:rsid w:val="007E18FD"/>
    <w:rsid w:val="007E19AF"/>
    <w:rsid w:val="007E1A43"/>
    <w:rsid w:val="007E1C47"/>
    <w:rsid w:val="007E1E3E"/>
    <w:rsid w:val="007E1E98"/>
    <w:rsid w:val="007E1EC7"/>
    <w:rsid w:val="007E1F38"/>
    <w:rsid w:val="007E20AD"/>
    <w:rsid w:val="007E2288"/>
    <w:rsid w:val="007E22AA"/>
    <w:rsid w:val="007E22CB"/>
    <w:rsid w:val="007E22E4"/>
    <w:rsid w:val="007E2564"/>
    <w:rsid w:val="007E25FD"/>
    <w:rsid w:val="007E264B"/>
    <w:rsid w:val="007E2667"/>
    <w:rsid w:val="007E2C40"/>
    <w:rsid w:val="007E2D2F"/>
    <w:rsid w:val="007E2DCE"/>
    <w:rsid w:val="007E30B5"/>
    <w:rsid w:val="007E32EF"/>
    <w:rsid w:val="007E3561"/>
    <w:rsid w:val="007E35F2"/>
    <w:rsid w:val="007E3614"/>
    <w:rsid w:val="007E36C3"/>
    <w:rsid w:val="007E38B8"/>
    <w:rsid w:val="007E39DE"/>
    <w:rsid w:val="007E3B7F"/>
    <w:rsid w:val="007E3BE4"/>
    <w:rsid w:val="007E3DE1"/>
    <w:rsid w:val="007E3F73"/>
    <w:rsid w:val="007E3FA9"/>
    <w:rsid w:val="007E402C"/>
    <w:rsid w:val="007E4072"/>
    <w:rsid w:val="007E40BA"/>
    <w:rsid w:val="007E4208"/>
    <w:rsid w:val="007E42C6"/>
    <w:rsid w:val="007E44EC"/>
    <w:rsid w:val="007E45F6"/>
    <w:rsid w:val="007E4856"/>
    <w:rsid w:val="007E48CB"/>
    <w:rsid w:val="007E491D"/>
    <w:rsid w:val="007E496A"/>
    <w:rsid w:val="007E4B8F"/>
    <w:rsid w:val="007E4DA0"/>
    <w:rsid w:val="007E4F5B"/>
    <w:rsid w:val="007E5020"/>
    <w:rsid w:val="007E5045"/>
    <w:rsid w:val="007E50E6"/>
    <w:rsid w:val="007E5129"/>
    <w:rsid w:val="007E519D"/>
    <w:rsid w:val="007E51D6"/>
    <w:rsid w:val="007E5432"/>
    <w:rsid w:val="007E5516"/>
    <w:rsid w:val="007E551C"/>
    <w:rsid w:val="007E55BA"/>
    <w:rsid w:val="007E5628"/>
    <w:rsid w:val="007E56A0"/>
    <w:rsid w:val="007E584E"/>
    <w:rsid w:val="007E5A88"/>
    <w:rsid w:val="007E5AE3"/>
    <w:rsid w:val="007E5B14"/>
    <w:rsid w:val="007E5C7D"/>
    <w:rsid w:val="007E5CA1"/>
    <w:rsid w:val="007E5D68"/>
    <w:rsid w:val="007E5D9D"/>
    <w:rsid w:val="007E5DB3"/>
    <w:rsid w:val="007E5DD8"/>
    <w:rsid w:val="007E5E61"/>
    <w:rsid w:val="007E5FD3"/>
    <w:rsid w:val="007E5FED"/>
    <w:rsid w:val="007E61E5"/>
    <w:rsid w:val="007E61F5"/>
    <w:rsid w:val="007E63FB"/>
    <w:rsid w:val="007E644B"/>
    <w:rsid w:val="007E671B"/>
    <w:rsid w:val="007E6837"/>
    <w:rsid w:val="007E6849"/>
    <w:rsid w:val="007E6918"/>
    <w:rsid w:val="007E6AE4"/>
    <w:rsid w:val="007E6BD2"/>
    <w:rsid w:val="007E6C9E"/>
    <w:rsid w:val="007E6ECE"/>
    <w:rsid w:val="007E6EDA"/>
    <w:rsid w:val="007E7060"/>
    <w:rsid w:val="007E70ED"/>
    <w:rsid w:val="007E732A"/>
    <w:rsid w:val="007E740B"/>
    <w:rsid w:val="007E7486"/>
    <w:rsid w:val="007E78B8"/>
    <w:rsid w:val="007E79A3"/>
    <w:rsid w:val="007E7A58"/>
    <w:rsid w:val="007E7A65"/>
    <w:rsid w:val="007E7ACD"/>
    <w:rsid w:val="007E7B3A"/>
    <w:rsid w:val="007E7EFC"/>
    <w:rsid w:val="007E7F94"/>
    <w:rsid w:val="007F0070"/>
    <w:rsid w:val="007F0123"/>
    <w:rsid w:val="007F01B5"/>
    <w:rsid w:val="007F022C"/>
    <w:rsid w:val="007F0366"/>
    <w:rsid w:val="007F04DB"/>
    <w:rsid w:val="007F0699"/>
    <w:rsid w:val="007F06A1"/>
    <w:rsid w:val="007F06EC"/>
    <w:rsid w:val="007F0730"/>
    <w:rsid w:val="007F0766"/>
    <w:rsid w:val="007F08EF"/>
    <w:rsid w:val="007F0952"/>
    <w:rsid w:val="007F0A17"/>
    <w:rsid w:val="007F0A37"/>
    <w:rsid w:val="007F0B27"/>
    <w:rsid w:val="007F0B55"/>
    <w:rsid w:val="007F0B60"/>
    <w:rsid w:val="007F0D9F"/>
    <w:rsid w:val="007F0F06"/>
    <w:rsid w:val="007F0F2A"/>
    <w:rsid w:val="007F1132"/>
    <w:rsid w:val="007F129B"/>
    <w:rsid w:val="007F12C7"/>
    <w:rsid w:val="007F135D"/>
    <w:rsid w:val="007F1421"/>
    <w:rsid w:val="007F1576"/>
    <w:rsid w:val="007F1609"/>
    <w:rsid w:val="007F1696"/>
    <w:rsid w:val="007F1703"/>
    <w:rsid w:val="007F18F6"/>
    <w:rsid w:val="007F1A6E"/>
    <w:rsid w:val="007F1B9C"/>
    <w:rsid w:val="007F1C14"/>
    <w:rsid w:val="007F1CA9"/>
    <w:rsid w:val="007F1CB1"/>
    <w:rsid w:val="007F1DC8"/>
    <w:rsid w:val="007F1E5F"/>
    <w:rsid w:val="007F1E92"/>
    <w:rsid w:val="007F1EF4"/>
    <w:rsid w:val="007F1FC0"/>
    <w:rsid w:val="007F1FE9"/>
    <w:rsid w:val="007F2020"/>
    <w:rsid w:val="007F213C"/>
    <w:rsid w:val="007F22E9"/>
    <w:rsid w:val="007F2316"/>
    <w:rsid w:val="007F2380"/>
    <w:rsid w:val="007F2392"/>
    <w:rsid w:val="007F242D"/>
    <w:rsid w:val="007F2526"/>
    <w:rsid w:val="007F26D8"/>
    <w:rsid w:val="007F277D"/>
    <w:rsid w:val="007F27C4"/>
    <w:rsid w:val="007F27FA"/>
    <w:rsid w:val="007F28F8"/>
    <w:rsid w:val="007F2919"/>
    <w:rsid w:val="007F29A5"/>
    <w:rsid w:val="007F2AF5"/>
    <w:rsid w:val="007F2C0A"/>
    <w:rsid w:val="007F2D27"/>
    <w:rsid w:val="007F2E43"/>
    <w:rsid w:val="007F2EC4"/>
    <w:rsid w:val="007F2EC9"/>
    <w:rsid w:val="007F31CE"/>
    <w:rsid w:val="007F321A"/>
    <w:rsid w:val="007F335D"/>
    <w:rsid w:val="007F3503"/>
    <w:rsid w:val="007F3744"/>
    <w:rsid w:val="007F380B"/>
    <w:rsid w:val="007F380D"/>
    <w:rsid w:val="007F3950"/>
    <w:rsid w:val="007F39EB"/>
    <w:rsid w:val="007F3A41"/>
    <w:rsid w:val="007F3A55"/>
    <w:rsid w:val="007F3A90"/>
    <w:rsid w:val="007F3AEB"/>
    <w:rsid w:val="007F3E18"/>
    <w:rsid w:val="007F3EBB"/>
    <w:rsid w:val="007F3F55"/>
    <w:rsid w:val="007F4113"/>
    <w:rsid w:val="007F411B"/>
    <w:rsid w:val="007F42E6"/>
    <w:rsid w:val="007F42F2"/>
    <w:rsid w:val="007F4317"/>
    <w:rsid w:val="007F4479"/>
    <w:rsid w:val="007F447F"/>
    <w:rsid w:val="007F45C8"/>
    <w:rsid w:val="007F470D"/>
    <w:rsid w:val="007F4789"/>
    <w:rsid w:val="007F4947"/>
    <w:rsid w:val="007F4954"/>
    <w:rsid w:val="007F4ABF"/>
    <w:rsid w:val="007F4B75"/>
    <w:rsid w:val="007F4BAE"/>
    <w:rsid w:val="007F4BF7"/>
    <w:rsid w:val="007F4D2A"/>
    <w:rsid w:val="007F4D4F"/>
    <w:rsid w:val="007F4EF3"/>
    <w:rsid w:val="007F4FED"/>
    <w:rsid w:val="007F504D"/>
    <w:rsid w:val="007F5058"/>
    <w:rsid w:val="007F51B9"/>
    <w:rsid w:val="007F520F"/>
    <w:rsid w:val="007F52B5"/>
    <w:rsid w:val="007F52E8"/>
    <w:rsid w:val="007F541D"/>
    <w:rsid w:val="007F553D"/>
    <w:rsid w:val="007F56A1"/>
    <w:rsid w:val="007F58C0"/>
    <w:rsid w:val="007F5B37"/>
    <w:rsid w:val="007F5BD2"/>
    <w:rsid w:val="007F5C20"/>
    <w:rsid w:val="007F5DF2"/>
    <w:rsid w:val="007F6056"/>
    <w:rsid w:val="007F6065"/>
    <w:rsid w:val="007F6169"/>
    <w:rsid w:val="007F63EB"/>
    <w:rsid w:val="007F643D"/>
    <w:rsid w:val="007F644A"/>
    <w:rsid w:val="007F6479"/>
    <w:rsid w:val="007F6526"/>
    <w:rsid w:val="007F6596"/>
    <w:rsid w:val="007F683A"/>
    <w:rsid w:val="007F69DB"/>
    <w:rsid w:val="007F69F4"/>
    <w:rsid w:val="007F6A5D"/>
    <w:rsid w:val="007F6B5E"/>
    <w:rsid w:val="007F6DDC"/>
    <w:rsid w:val="007F6DE4"/>
    <w:rsid w:val="007F6EC0"/>
    <w:rsid w:val="007F6EF9"/>
    <w:rsid w:val="007F703D"/>
    <w:rsid w:val="007F7055"/>
    <w:rsid w:val="007F70A1"/>
    <w:rsid w:val="007F70B8"/>
    <w:rsid w:val="007F71A2"/>
    <w:rsid w:val="007F723B"/>
    <w:rsid w:val="007F762F"/>
    <w:rsid w:val="007F764C"/>
    <w:rsid w:val="007F7AD1"/>
    <w:rsid w:val="007F7BCD"/>
    <w:rsid w:val="007F7CC3"/>
    <w:rsid w:val="007F7D8A"/>
    <w:rsid w:val="007F7DB6"/>
    <w:rsid w:val="007F7E23"/>
    <w:rsid w:val="007F7E50"/>
    <w:rsid w:val="007F7E9F"/>
    <w:rsid w:val="0080001F"/>
    <w:rsid w:val="008000A3"/>
    <w:rsid w:val="0080025D"/>
    <w:rsid w:val="00800350"/>
    <w:rsid w:val="0080046F"/>
    <w:rsid w:val="0080065D"/>
    <w:rsid w:val="0080066D"/>
    <w:rsid w:val="0080087B"/>
    <w:rsid w:val="0080089D"/>
    <w:rsid w:val="008009DA"/>
    <w:rsid w:val="00800ADE"/>
    <w:rsid w:val="00800B19"/>
    <w:rsid w:val="00800B81"/>
    <w:rsid w:val="00800FF3"/>
    <w:rsid w:val="0080110E"/>
    <w:rsid w:val="00801205"/>
    <w:rsid w:val="008012FA"/>
    <w:rsid w:val="00801318"/>
    <w:rsid w:val="0080139E"/>
    <w:rsid w:val="008013B1"/>
    <w:rsid w:val="008015A1"/>
    <w:rsid w:val="00801764"/>
    <w:rsid w:val="00801801"/>
    <w:rsid w:val="00801893"/>
    <w:rsid w:val="008018B0"/>
    <w:rsid w:val="00801966"/>
    <w:rsid w:val="00801986"/>
    <w:rsid w:val="00801C89"/>
    <w:rsid w:val="00801DFA"/>
    <w:rsid w:val="00801E52"/>
    <w:rsid w:val="00801EFC"/>
    <w:rsid w:val="00801F3F"/>
    <w:rsid w:val="00801F64"/>
    <w:rsid w:val="00801F78"/>
    <w:rsid w:val="00802010"/>
    <w:rsid w:val="008020B1"/>
    <w:rsid w:val="008020F0"/>
    <w:rsid w:val="0080223F"/>
    <w:rsid w:val="008022A7"/>
    <w:rsid w:val="00802529"/>
    <w:rsid w:val="00802604"/>
    <w:rsid w:val="00802699"/>
    <w:rsid w:val="00802754"/>
    <w:rsid w:val="00802861"/>
    <w:rsid w:val="008029B6"/>
    <w:rsid w:val="00802A14"/>
    <w:rsid w:val="00802A2D"/>
    <w:rsid w:val="00802B77"/>
    <w:rsid w:val="00802C0C"/>
    <w:rsid w:val="00802C35"/>
    <w:rsid w:val="00802D65"/>
    <w:rsid w:val="00802E8C"/>
    <w:rsid w:val="00802E8E"/>
    <w:rsid w:val="00802F5B"/>
    <w:rsid w:val="00802F67"/>
    <w:rsid w:val="00802FF6"/>
    <w:rsid w:val="0080329D"/>
    <w:rsid w:val="00803335"/>
    <w:rsid w:val="008036FF"/>
    <w:rsid w:val="00803701"/>
    <w:rsid w:val="008037A5"/>
    <w:rsid w:val="008038D8"/>
    <w:rsid w:val="00803955"/>
    <w:rsid w:val="00803A2F"/>
    <w:rsid w:val="00803B8A"/>
    <w:rsid w:val="00803C97"/>
    <w:rsid w:val="00803CDC"/>
    <w:rsid w:val="00803DCB"/>
    <w:rsid w:val="00803F7A"/>
    <w:rsid w:val="00804021"/>
    <w:rsid w:val="00804059"/>
    <w:rsid w:val="00804089"/>
    <w:rsid w:val="00804148"/>
    <w:rsid w:val="008041BC"/>
    <w:rsid w:val="0080426B"/>
    <w:rsid w:val="00804280"/>
    <w:rsid w:val="008044B8"/>
    <w:rsid w:val="00804797"/>
    <w:rsid w:val="008047E6"/>
    <w:rsid w:val="00804820"/>
    <w:rsid w:val="00804852"/>
    <w:rsid w:val="00804859"/>
    <w:rsid w:val="00804907"/>
    <w:rsid w:val="00804ABC"/>
    <w:rsid w:val="00804B40"/>
    <w:rsid w:val="00804BE9"/>
    <w:rsid w:val="00804C44"/>
    <w:rsid w:val="00804CB4"/>
    <w:rsid w:val="00805024"/>
    <w:rsid w:val="00805251"/>
    <w:rsid w:val="008053C7"/>
    <w:rsid w:val="008053E0"/>
    <w:rsid w:val="0080540D"/>
    <w:rsid w:val="00805456"/>
    <w:rsid w:val="008054B0"/>
    <w:rsid w:val="0080552B"/>
    <w:rsid w:val="00805573"/>
    <w:rsid w:val="00805593"/>
    <w:rsid w:val="00805656"/>
    <w:rsid w:val="008056E7"/>
    <w:rsid w:val="008057F3"/>
    <w:rsid w:val="00805858"/>
    <w:rsid w:val="00805899"/>
    <w:rsid w:val="00805972"/>
    <w:rsid w:val="00805AB0"/>
    <w:rsid w:val="00805B2F"/>
    <w:rsid w:val="00805C7E"/>
    <w:rsid w:val="00805CFF"/>
    <w:rsid w:val="00805D60"/>
    <w:rsid w:val="00805E1E"/>
    <w:rsid w:val="00805E55"/>
    <w:rsid w:val="00805E6F"/>
    <w:rsid w:val="00806060"/>
    <w:rsid w:val="00806077"/>
    <w:rsid w:val="008060EA"/>
    <w:rsid w:val="0080612E"/>
    <w:rsid w:val="0080629F"/>
    <w:rsid w:val="00806598"/>
    <w:rsid w:val="008065E0"/>
    <w:rsid w:val="00806620"/>
    <w:rsid w:val="00806664"/>
    <w:rsid w:val="00806836"/>
    <w:rsid w:val="008068FF"/>
    <w:rsid w:val="0080691A"/>
    <w:rsid w:val="0080697C"/>
    <w:rsid w:val="00806A1E"/>
    <w:rsid w:val="00806A40"/>
    <w:rsid w:val="00806A88"/>
    <w:rsid w:val="00806D54"/>
    <w:rsid w:val="00806DAD"/>
    <w:rsid w:val="00806F28"/>
    <w:rsid w:val="00807071"/>
    <w:rsid w:val="008073DA"/>
    <w:rsid w:val="00807480"/>
    <w:rsid w:val="00807599"/>
    <w:rsid w:val="008075B9"/>
    <w:rsid w:val="008076E2"/>
    <w:rsid w:val="00807780"/>
    <w:rsid w:val="00807797"/>
    <w:rsid w:val="0080798B"/>
    <w:rsid w:val="00807A36"/>
    <w:rsid w:val="00807BE6"/>
    <w:rsid w:val="00807C06"/>
    <w:rsid w:val="00807CF7"/>
    <w:rsid w:val="00807D3F"/>
    <w:rsid w:val="00807D72"/>
    <w:rsid w:val="00807E57"/>
    <w:rsid w:val="008100C1"/>
    <w:rsid w:val="00810203"/>
    <w:rsid w:val="0081040E"/>
    <w:rsid w:val="0081047F"/>
    <w:rsid w:val="008105E0"/>
    <w:rsid w:val="00810621"/>
    <w:rsid w:val="0081066F"/>
    <w:rsid w:val="008107C2"/>
    <w:rsid w:val="008108D6"/>
    <w:rsid w:val="0081094E"/>
    <w:rsid w:val="00810BEB"/>
    <w:rsid w:val="00810D9B"/>
    <w:rsid w:val="00810E0E"/>
    <w:rsid w:val="00810E37"/>
    <w:rsid w:val="00810EE0"/>
    <w:rsid w:val="00810F37"/>
    <w:rsid w:val="00810F86"/>
    <w:rsid w:val="00811418"/>
    <w:rsid w:val="008115F8"/>
    <w:rsid w:val="00811600"/>
    <w:rsid w:val="00811681"/>
    <w:rsid w:val="008116AD"/>
    <w:rsid w:val="00811972"/>
    <w:rsid w:val="00811BDD"/>
    <w:rsid w:val="00811E08"/>
    <w:rsid w:val="00811EC6"/>
    <w:rsid w:val="00812167"/>
    <w:rsid w:val="008121F7"/>
    <w:rsid w:val="008122CC"/>
    <w:rsid w:val="00812320"/>
    <w:rsid w:val="00812396"/>
    <w:rsid w:val="008124A2"/>
    <w:rsid w:val="00812532"/>
    <w:rsid w:val="00812709"/>
    <w:rsid w:val="008127CC"/>
    <w:rsid w:val="00812831"/>
    <w:rsid w:val="00812B71"/>
    <w:rsid w:val="00812CF1"/>
    <w:rsid w:val="00812DA6"/>
    <w:rsid w:val="00812E1E"/>
    <w:rsid w:val="00812E57"/>
    <w:rsid w:val="00812E79"/>
    <w:rsid w:val="00812EA1"/>
    <w:rsid w:val="00812FF8"/>
    <w:rsid w:val="008130B8"/>
    <w:rsid w:val="00813217"/>
    <w:rsid w:val="008134C7"/>
    <w:rsid w:val="00813556"/>
    <w:rsid w:val="008136F2"/>
    <w:rsid w:val="0081376C"/>
    <w:rsid w:val="00813826"/>
    <w:rsid w:val="00813906"/>
    <w:rsid w:val="00813A1A"/>
    <w:rsid w:val="00813A65"/>
    <w:rsid w:val="00813AE6"/>
    <w:rsid w:val="00813B1C"/>
    <w:rsid w:val="00813CD5"/>
    <w:rsid w:val="00813E52"/>
    <w:rsid w:val="00813E75"/>
    <w:rsid w:val="00813F36"/>
    <w:rsid w:val="00814133"/>
    <w:rsid w:val="0081415D"/>
    <w:rsid w:val="00814169"/>
    <w:rsid w:val="0081437D"/>
    <w:rsid w:val="00814552"/>
    <w:rsid w:val="008145AB"/>
    <w:rsid w:val="008145F5"/>
    <w:rsid w:val="00814685"/>
    <w:rsid w:val="00814721"/>
    <w:rsid w:val="008149AD"/>
    <w:rsid w:val="00814A2C"/>
    <w:rsid w:val="00814D7A"/>
    <w:rsid w:val="00814D9A"/>
    <w:rsid w:val="0081501E"/>
    <w:rsid w:val="00815044"/>
    <w:rsid w:val="008151CA"/>
    <w:rsid w:val="008152F8"/>
    <w:rsid w:val="00815382"/>
    <w:rsid w:val="00815419"/>
    <w:rsid w:val="0081543D"/>
    <w:rsid w:val="008154C1"/>
    <w:rsid w:val="00815576"/>
    <w:rsid w:val="0081558A"/>
    <w:rsid w:val="0081566B"/>
    <w:rsid w:val="008156DA"/>
    <w:rsid w:val="0081572F"/>
    <w:rsid w:val="008157A7"/>
    <w:rsid w:val="008158FE"/>
    <w:rsid w:val="008159A0"/>
    <w:rsid w:val="00815C82"/>
    <w:rsid w:val="00815D6F"/>
    <w:rsid w:val="00815EA9"/>
    <w:rsid w:val="00815F76"/>
    <w:rsid w:val="00815F8B"/>
    <w:rsid w:val="00816182"/>
    <w:rsid w:val="00816385"/>
    <w:rsid w:val="008163B0"/>
    <w:rsid w:val="008163D3"/>
    <w:rsid w:val="0081654B"/>
    <w:rsid w:val="0081684C"/>
    <w:rsid w:val="0081693C"/>
    <w:rsid w:val="0081697C"/>
    <w:rsid w:val="00816985"/>
    <w:rsid w:val="00816A5D"/>
    <w:rsid w:val="00816BA6"/>
    <w:rsid w:val="00816C14"/>
    <w:rsid w:val="00816C28"/>
    <w:rsid w:val="00816C79"/>
    <w:rsid w:val="00816E2C"/>
    <w:rsid w:val="00816E31"/>
    <w:rsid w:val="00816E80"/>
    <w:rsid w:val="00816F4C"/>
    <w:rsid w:val="00817042"/>
    <w:rsid w:val="00817156"/>
    <w:rsid w:val="0081718C"/>
    <w:rsid w:val="00817359"/>
    <w:rsid w:val="0081738F"/>
    <w:rsid w:val="008173CC"/>
    <w:rsid w:val="00817549"/>
    <w:rsid w:val="008175A0"/>
    <w:rsid w:val="008175DA"/>
    <w:rsid w:val="00817708"/>
    <w:rsid w:val="00817768"/>
    <w:rsid w:val="008177F9"/>
    <w:rsid w:val="00817AA1"/>
    <w:rsid w:val="00817AA9"/>
    <w:rsid w:val="00817BB3"/>
    <w:rsid w:val="00817E1B"/>
    <w:rsid w:val="00817E6D"/>
    <w:rsid w:val="00817EB6"/>
    <w:rsid w:val="00817EF7"/>
    <w:rsid w:val="00817FD0"/>
    <w:rsid w:val="00820031"/>
    <w:rsid w:val="0082003E"/>
    <w:rsid w:val="00820294"/>
    <w:rsid w:val="008202C4"/>
    <w:rsid w:val="00820820"/>
    <w:rsid w:val="00820A8A"/>
    <w:rsid w:val="00820BB0"/>
    <w:rsid w:val="00820C01"/>
    <w:rsid w:val="00820CA3"/>
    <w:rsid w:val="00820D67"/>
    <w:rsid w:val="00820D8E"/>
    <w:rsid w:val="00820E4F"/>
    <w:rsid w:val="00820EDA"/>
    <w:rsid w:val="00820EEA"/>
    <w:rsid w:val="00821035"/>
    <w:rsid w:val="008211A7"/>
    <w:rsid w:val="008211BF"/>
    <w:rsid w:val="00821382"/>
    <w:rsid w:val="008216A3"/>
    <w:rsid w:val="00821744"/>
    <w:rsid w:val="0082177B"/>
    <w:rsid w:val="008217F0"/>
    <w:rsid w:val="008218D8"/>
    <w:rsid w:val="00821A27"/>
    <w:rsid w:val="00821AED"/>
    <w:rsid w:val="00821B2B"/>
    <w:rsid w:val="00821B56"/>
    <w:rsid w:val="00821E7E"/>
    <w:rsid w:val="00821F8C"/>
    <w:rsid w:val="00821F95"/>
    <w:rsid w:val="008220C4"/>
    <w:rsid w:val="00822206"/>
    <w:rsid w:val="00822231"/>
    <w:rsid w:val="00822266"/>
    <w:rsid w:val="00822268"/>
    <w:rsid w:val="008223D8"/>
    <w:rsid w:val="00822406"/>
    <w:rsid w:val="008225AA"/>
    <w:rsid w:val="008225BA"/>
    <w:rsid w:val="00822838"/>
    <w:rsid w:val="0082293F"/>
    <w:rsid w:val="0082295F"/>
    <w:rsid w:val="00822AB0"/>
    <w:rsid w:val="00822C40"/>
    <w:rsid w:val="00822CC6"/>
    <w:rsid w:val="00822D7D"/>
    <w:rsid w:val="00822DCA"/>
    <w:rsid w:val="00822DD4"/>
    <w:rsid w:val="00822E03"/>
    <w:rsid w:val="00822E2D"/>
    <w:rsid w:val="00822E6B"/>
    <w:rsid w:val="00822F50"/>
    <w:rsid w:val="00823042"/>
    <w:rsid w:val="008230D6"/>
    <w:rsid w:val="0082346E"/>
    <w:rsid w:val="00823785"/>
    <w:rsid w:val="0082384B"/>
    <w:rsid w:val="0082389D"/>
    <w:rsid w:val="00823A59"/>
    <w:rsid w:val="00823BD2"/>
    <w:rsid w:val="00823F20"/>
    <w:rsid w:val="00823F7B"/>
    <w:rsid w:val="00824091"/>
    <w:rsid w:val="008240C8"/>
    <w:rsid w:val="00824160"/>
    <w:rsid w:val="00824189"/>
    <w:rsid w:val="0082418A"/>
    <w:rsid w:val="008242D9"/>
    <w:rsid w:val="0082441A"/>
    <w:rsid w:val="00824421"/>
    <w:rsid w:val="008244D4"/>
    <w:rsid w:val="00824660"/>
    <w:rsid w:val="00824669"/>
    <w:rsid w:val="00824732"/>
    <w:rsid w:val="00824787"/>
    <w:rsid w:val="0082478D"/>
    <w:rsid w:val="008248E1"/>
    <w:rsid w:val="0082490F"/>
    <w:rsid w:val="00824920"/>
    <w:rsid w:val="008249B1"/>
    <w:rsid w:val="00824A97"/>
    <w:rsid w:val="00824AAC"/>
    <w:rsid w:val="00824B03"/>
    <w:rsid w:val="00824C15"/>
    <w:rsid w:val="00824CA1"/>
    <w:rsid w:val="00825055"/>
    <w:rsid w:val="008250B2"/>
    <w:rsid w:val="0082512E"/>
    <w:rsid w:val="008251C6"/>
    <w:rsid w:val="008251D6"/>
    <w:rsid w:val="00825316"/>
    <w:rsid w:val="008254EF"/>
    <w:rsid w:val="008255AE"/>
    <w:rsid w:val="0082573B"/>
    <w:rsid w:val="00825752"/>
    <w:rsid w:val="00825BE9"/>
    <w:rsid w:val="00825CA5"/>
    <w:rsid w:val="00825E2D"/>
    <w:rsid w:val="00825E6B"/>
    <w:rsid w:val="00825EA9"/>
    <w:rsid w:val="00825EEE"/>
    <w:rsid w:val="00826036"/>
    <w:rsid w:val="008262A1"/>
    <w:rsid w:val="00826352"/>
    <w:rsid w:val="00826395"/>
    <w:rsid w:val="008265CA"/>
    <w:rsid w:val="0082678C"/>
    <w:rsid w:val="00826864"/>
    <w:rsid w:val="00826928"/>
    <w:rsid w:val="008269F5"/>
    <w:rsid w:val="00826AC5"/>
    <w:rsid w:val="00826AE8"/>
    <w:rsid w:val="00826B5A"/>
    <w:rsid w:val="00826BE6"/>
    <w:rsid w:val="00826D85"/>
    <w:rsid w:val="0082720B"/>
    <w:rsid w:val="0082723F"/>
    <w:rsid w:val="008273EA"/>
    <w:rsid w:val="008273FD"/>
    <w:rsid w:val="008275AF"/>
    <w:rsid w:val="008275E6"/>
    <w:rsid w:val="0082768E"/>
    <w:rsid w:val="008276EE"/>
    <w:rsid w:val="00827786"/>
    <w:rsid w:val="00827803"/>
    <w:rsid w:val="0082787D"/>
    <w:rsid w:val="00827881"/>
    <w:rsid w:val="008278C2"/>
    <w:rsid w:val="00827B8C"/>
    <w:rsid w:val="00827D73"/>
    <w:rsid w:val="00827F47"/>
    <w:rsid w:val="0083012D"/>
    <w:rsid w:val="008301D5"/>
    <w:rsid w:val="00830251"/>
    <w:rsid w:val="008302D3"/>
    <w:rsid w:val="0083054F"/>
    <w:rsid w:val="0083063A"/>
    <w:rsid w:val="008307B7"/>
    <w:rsid w:val="008308B9"/>
    <w:rsid w:val="00830A45"/>
    <w:rsid w:val="00830AAA"/>
    <w:rsid w:val="00830AEB"/>
    <w:rsid w:val="00830B21"/>
    <w:rsid w:val="00830B40"/>
    <w:rsid w:val="00830BF2"/>
    <w:rsid w:val="00830CE7"/>
    <w:rsid w:val="00830D46"/>
    <w:rsid w:val="00830D4E"/>
    <w:rsid w:val="00830D6D"/>
    <w:rsid w:val="00830DD3"/>
    <w:rsid w:val="00830E5D"/>
    <w:rsid w:val="00831257"/>
    <w:rsid w:val="0083160F"/>
    <w:rsid w:val="008316A5"/>
    <w:rsid w:val="008316CA"/>
    <w:rsid w:val="008318A3"/>
    <w:rsid w:val="008318A6"/>
    <w:rsid w:val="00831A8E"/>
    <w:rsid w:val="00831B4D"/>
    <w:rsid w:val="00831B7E"/>
    <w:rsid w:val="00831BB3"/>
    <w:rsid w:val="00831CDE"/>
    <w:rsid w:val="00831D15"/>
    <w:rsid w:val="00831E1F"/>
    <w:rsid w:val="008321C9"/>
    <w:rsid w:val="008322D1"/>
    <w:rsid w:val="008322E8"/>
    <w:rsid w:val="008326E6"/>
    <w:rsid w:val="0083270C"/>
    <w:rsid w:val="00832786"/>
    <w:rsid w:val="0083285F"/>
    <w:rsid w:val="00832929"/>
    <w:rsid w:val="008329A4"/>
    <w:rsid w:val="00832A3D"/>
    <w:rsid w:val="00832A94"/>
    <w:rsid w:val="00832B6E"/>
    <w:rsid w:val="00832BD4"/>
    <w:rsid w:val="00832C0D"/>
    <w:rsid w:val="00832D06"/>
    <w:rsid w:val="00832E14"/>
    <w:rsid w:val="0083313B"/>
    <w:rsid w:val="0083320A"/>
    <w:rsid w:val="0083321C"/>
    <w:rsid w:val="0083337C"/>
    <w:rsid w:val="008333BE"/>
    <w:rsid w:val="00833443"/>
    <w:rsid w:val="0083354A"/>
    <w:rsid w:val="00833638"/>
    <w:rsid w:val="0083365D"/>
    <w:rsid w:val="00833691"/>
    <w:rsid w:val="008336EE"/>
    <w:rsid w:val="0083386A"/>
    <w:rsid w:val="00833935"/>
    <w:rsid w:val="00833979"/>
    <w:rsid w:val="00833A46"/>
    <w:rsid w:val="00833B1E"/>
    <w:rsid w:val="00833E9E"/>
    <w:rsid w:val="00833F11"/>
    <w:rsid w:val="00833F9C"/>
    <w:rsid w:val="008340D0"/>
    <w:rsid w:val="0083410B"/>
    <w:rsid w:val="008341D1"/>
    <w:rsid w:val="008341E9"/>
    <w:rsid w:val="0083423D"/>
    <w:rsid w:val="0083442A"/>
    <w:rsid w:val="00834430"/>
    <w:rsid w:val="008344E2"/>
    <w:rsid w:val="008344FB"/>
    <w:rsid w:val="0083491E"/>
    <w:rsid w:val="0083496C"/>
    <w:rsid w:val="00834A0C"/>
    <w:rsid w:val="00834ADD"/>
    <w:rsid w:val="00834E85"/>
    <w:rsid w:val="008351EF"/>
    <w:rsid w:val="00835270"/>
    <w:rsid w:val="008353DC"/>
    <w:rsid w:val="00835410"/>
    <w:rsid w:val="0083547E"/>
    <w:rsid w:val="0083556B"/>
    <w:rsid w:val="00835795"/>
    <w:rsid w:val="00835871"/>
    <w:rsid w:val="00835E52"/>
    <w:rsid w:val="00835E6A"/>
    <w:rsid w:val="00835F0D"/>
    <w:rsid w:val="00835FB6"/>
    <w:rsid w:val="00835FDC"/>
    <w:rsid w:val="00836179"/>
    <w:rsid w:val="00836313"/>
    <w:rsid w:val="00836371"/>
    <w:rsid w:val="0083641F"/>
    <w:rsid w:val="008366C5"/>
    <w:rsid w:val="00836732"/>
    <w:rsid w:val="008368AE"/>
    <w:rsid w:val="008368E9"/>
    <w:rsid w:val="00836B36"/>
    <w:rsid w:val="00836D50"/>
    <w:rsid w:val="00836DB9"/>
    <w:rsid w:val="00836F3C"/>
    <w:rsid w:val="008373B8"/>
    <w:rsid w:val="0083741E"/>
    <w:rsid w:val="0083759A"/>
    <w:rsid w:val="0083779B"/>
    <w:rsid w:val="00837A24"/>
    <w:rsid w:val="00837AA9"/>
    <w:rsid w:val="00837D41"/>
    <w:rsid w:val="00837E19"/>
    <w:rsid w:val="00837FEF"/>
    <w:rsid w:val="0083DA91"/>
    <w:rsid w:val="008401BB"/>
    <w:rsid w:val="00840287"/>
    <w:rsid w:val="008402AA"/>
    <w:rsid w:val="00840308"/>
    <w:rsid w:val="008405AD"/>
    <w:rsid w:val="008405D5"/>
    <w:rsid w:val="008406F4"/>
    <w:rsid w:val="0084079B"/>
    <w:rsid w:val="008407CD"/>
    <w:rsid w:val="00840812"/>
    <w:rsid w:val="0084081D"/>
    <w:rsid w:val="00840961"/>
    <w:rsid w:val="0084097B"/>
    <w:rsid w:val="00840A7A"/>
    <w:rsid w:val="00840BC9"/>
    <w:rsid w:val="00840D06"/>
    <w:rsid w:val="00840D85"/>
    <w:rsid w:val="00840D9D"/>
    <w:rsid w:val="00840E20"/>
    <w:rsid w:val="00841038"/>
    <w:rsid w:val="008410DA"/>
    <w:rsid w:val="00841190"/>
    <w:rsid w:val="008411BE"/>
    <w:rsid w:val="00841393"/>
    <w:rsid w:val="008413BA"/>
    <w:rsid w:val="00841406"/>
    <w:rsid w:val="008416AD"/>
    <w:rsid w:val="008416E4"/>
    <w:rsid w:val="0084173D"/>
    <w:rsid w:val="008417BE"/>
    <w:rsid w:val="008418B0"/>
    <w:rsid w:val="008419F9"/>
    <w:rsid w:val="00841AFF"/>
    <w:rsid w:val="00841B8C"/>
    <w:rsid w:val="00841D14"/>
    <w:rsid w:val="00841DB1"/>
    <w:rsid w:val="00841E1F"/>
    <w:rsid w:val="00841EA5"/>
    <w:rsid w:val="00841FA0"/>
    <w:rsid w:val="008421E7"/>
    <w:rsid w:val="0084227B"/>
    <w:rsid w:val="0084230D"/>
    <w:rsid w:val="008423D6"/>
    <w:rsid w:val="008423F0"/>
    <w:rsid w:val="0084244D"/>
    <w:rsid w:val="008425CA"/>
    <w:rsid w:val="008425E4"/>
    <w:rsid w:val="0084262A"/>
    <w:rsid w:val="0084275D"/>
    <w:rsid w:val="00842852"/>
    <w:rsid w:val="008428E9"/>
    <w:rsid w:val="00842A0B"/>
    <w:rsid w:val="00842B6B"/>
    <w:rsid w:val="00842E0F"/>
    <w:rsid w:val="00843080"/>
    <w:rsid w:val="00843160"/>
    <w:rsid w:val="00843410"/>
    <w:rsid w:val="00843510"/>
    <w:rsid w:val="00843574"/>
    <w:rsid w:val="008435BC"/>
    <w:rsid w:val="008436C7"/>
    <w:rsid w:val="00843710"/>
    <w:rsid w:val="0084384C"/>
    <w:rsid w:val="008438DC"/>
    <w:rsid w:val="00843B23"/>
    <w:rsid w:val="00843DAF"/>
    <w:rsid w:val="00843E12"/>
    <w:rsid w:val="0084403C"/>
    <w:rsid w:val="008440C8"/>
    <w:rsid w:val="00844162"/>
    <w:rsid w:val="0084465A"/>
    <w:rsid w:val="008446BF"/>
    <w:rsid w:val="00844746"/>
    <w:rsid w:val="00844886"/>
    <w:rsid w:val="008448E8"/>
    <w:rsid w:val="00844911"/>
    <w:rsid w:val="00844A0C"/>
    <w:rsid w:val="00844A34"/>
    <w:rsid w:val="00844C2C"/>
    <w:rsid w:val="00844DC4"/>
    <w:rsid w:val="00844E40"/>
    <w:rsid w:val="00844F28"/>
    <w:rsid w:val="00844FCD"/>
    <w:rsid w:val="00844FF5"/>
    <w:rsid w:val="008450A3"/>
    <w:rsid w:val="0084522F"/>
    <w:rsid w:val="0084536F"/>
    <w:rsid w:val="00845394"/>
    <w:rsid w:val="00845467"/>
    <w:rsid w:val="00845923"/>
    <w:rsid w:val="00845981"/>
    <w:rsid w:val="008459E1"/>
    <w:rsid w:val="00845A08"/>
    <w:rsid w:val="00845ABF"/>
    <w:rsid w:val="00845C16"/>
    <w:rsid w:val="00845D2D"/>
    <w:rsid w:val="00845D47"/>
    <w:rsid w:val="00845D64"/>
    <w:rsid w:val="00845E61"/>
    <w:rsid w:val="00845F1B"/>
    <w:rsid w:val="00845F42"/>
    <w:rsid w:val="00845F65"/>
    <w:rsid w:val="0084602D"/>
    <w:rsid w:val="0084604D"/>
    <w:rsid w:val="00846329"/>
    <w:rsid w:val="0084632B"/>
    <w:rsid w:val="0084633B"/>
    <w:rsid w:val="00846445"/>
    <w:rsid w:val="008464B5"/>
    <w:rsid w:val="0084670A"/>
    <w:rsid w:val="0084688A"/>
    <w:rsid w:val="0084693C"/>
    <w:rsid w:val="00846977"/>
    <w:rsid w:val="0084697B"/>
    <w:rsid w:val="00846A0C"/>
    <w:rsid w:val="00846B26"/>
    <w:rsid w:val="00846D14"/>
    <w:rsid w:val="00846D6E"/>
    <w:rsid w:val="00846DCB"/>
    <w:rsid w:val="00846E04"/>
    <w:rsid w:val="00846FB4"/>
    <w:rsid w:val="0084709B"/>
    <w:rsid w:val="0084715C"/>
    <w:rsid w:val="008471B4"/>
    <w:rsid w:val="00847396"/>
    <w:rsid w:val="008473DF"/>
    <w:rsid w:val="00847502"/>
    <w:rsid w:val="00847565"/>
    <w:rsid w:val="00847591"/>
    <w:rsid w:val="008475EF"/>
    <w:rsid w:val="00847786"/>
    <w:rsid w:val="00847820"/>
    <w:rsid w:val="008478CD"/>
    <w:rsid w:val="008479BC"/>
    <w:rsid w:val="008479D4"/>
    <w:rsid w:val="00847A86"/>
    <w:rsid w:val="00847B3F"/>
    <w:rsid w:val="00847B6A"/>
    <w:rsid w:val="00850013"/>
    <w:rsid w:val="00850229"/>
    <w:rsid w:val="0085026D"/>
    <w:rsid w:val="008503AB"/>
    <w:rsid w:val="0085049B"/>
    <w:rsid w:val="008505DF"/>
    <w:rsid w:val="00850606"/>
    <w:rsid w:val="0085063D"/>
    <w:rsid w:val="00850653"/>
    <w:rsid w:val="00850725"/>
    <w:rsid w:val="0085073A"/>
    <w:rsid w:val="00850B65"/>
    <w:rsid w:val="00850D07"/>
    <w:rsid w:val="00850D35"/>
    <w:rsid w:val="00850D9B"/>
    <w:rsid w:val="00850DD0"/>
    <w:rsid w:val="00850F00"/>
    <w:rsid w:val="00850F47"/>
    <w:rsid w:val="0085120B"/>
    <w:rsid w:val="00851262"/>
    <w:rsid w:val="008514C5"/>
    <w:rsid w:val="00851552"/>
    <w:rsid w:val="00851631"/>
    <w:rsid w:val="0085163F"/>
    <w:rsid w:val="0085172E"/>
    <w:rsid w:val="008517DC"/>
    <w:rsid w:val="00851BA7"/>
    <w:rsid w:val="00851C14"/>
    <w:rsid w:val="00851C60"/>
    <w:rsid w:val="00851CB5"/>
    <w:rsid w:val="00851CDD"/>
    <w:rsid w:val="00851D6F"/>
    <w:rsid w:val="00851DB4"/>
    <w:rsid w:val="00851DBF"/>
    <w:rsid w:val="00851DDD"/>
    <w:rsid w:val="00851E24"/>
    <w:rsid w:val="00851E65"/>
    <w:rsid w:val="0085201D"/>
    <w:rsid w:val="00852048"/>
    <w:rsid w:val="008521AF"/>
    <w:rsid w:val="00852228"/>
    <w:rsid w:val="008522E2"/>
    <w:rsid w:val="008523AB"/>
    <w:rsid w:val="0085242D"/>
    <w:rsid w:val="0085260D"/>
    <w:rsid w:val="0085272A"/>
    <w:rsid w:val="00852D3D"/>
    <w:rsid w:val="00852F6D"/>
    <w:rsid w:val="008532CB"/>
    <w:rsid w:val="008532FA"/>
    <w:rsid w:val="00853426"/>
    <w:rsid w:val="008534A4"/>
    <w:rsid w:val="0085359A"/>
    <w:rsid w:val="00853632"/>
    <w:rsid w:val="0085370A"/>
    <w:rsid w:val="008537C0"/>
    <w:rsid w:val="00853869"/>
    <w:rsid w:val="008538DB"/>
    <w:rsid w:val="0085397B"/>
    <w:rsid w:val="008539E2"/>
    <w:rsid w:val="00853A41"/>
    <w:rsid w:val="00853C4C"/>
    <w:rsid w:val="00853E87"/>
    <w:rsid w:val="00853F8C"/>
    <w:rsid w:val="0085421D"/>
    <w:rsid w:val="008544BA"/>
    <w:rsid w:val="00854520"/>
    <w:rsid w:val="008547D2"/>
    <w:rsid w:val="00854889"/>
    <w:rsid w:val="00854949"/>
    <w:rsid w:val="008549FA"/>
    <w:rsid w:val="00854A41"/>
    <w:rsid w:val="00854B01"/>
    <w:rsid w:val="00854BE9"/>
    <w:rsid w:val="00854D42"/>
    <w:rsid w:val="00854D95"/>
    <w:rsid w:val="00854D96"/>
    <w:rsid w:val="00854DF8"/>
    <w:rsid w:val="00854ED0"/>
    <w:rsid w:val="00854F88"/>
    <w:rsid w:val="00855235"/>
    <w:rsid w:val="00855243"/>
    <w:rsid w:val="00855407"/>
    <w:rsid w:val="00855444"/>
    <w:rsid w:val="0085546A"/>
    <w:rsid w:val="0085548C"/>
    <w:rsid w:val="008554BE"/>
    <w:rsid w:val="008555DF"/>
    <w:rsid w:val="0085587F"/>
    <w:rsid w:val="008558A4"/>
    <w:rsid w:val="00855BA2"/>
    <w:rsid w:val="00855BF3"/>
    <w:rsid w:val="00855CD7"/>
    <w:rsid w:val="00855D1A"/>
    <w:rsid w:val="00855E54"/>
    <w:rsid w:val="00855E7C"/>
    <w:rsid w:val="00856180"/>
    <w:rsid w:val="0085662E"/>
    <w:rsid w:val="008566C0"/>
    <w:rsid w:val="00856780"/>
    <w:rsid w:val="0085685D"/>
    <w:rsid w:val="00856947"/>
    <w:rsid w:val="00856960"/>
    <w:rsid w:val="00856A5A"/>
    <w:rsid w:val="00856B49"/>
    <w:rsid w:val="00856B70"/>
    <w:rsid w:val="00856B96"/>
    <w:rsid w:val="00856C0B"/>
    <w:rsid w:val="00856C0C"/>
    <w:rsid w:val="00856C5D"/>
    <w:rsid w:val="00856C76"/>
    <w:rsid w:val="00856D1B"/>
    <w:rsid w:val="00856DBE"/>
    <w:rsid w:val="00856E43"/>
    <w:rsid w:val="00856F07"/>
    <w:rsid w:val="0085702F"/>
    <w:rsid w:val="008570A0"/>
    <w:rsid w:val="0085712B"/>
    <w:rsid w:val="00857271"/>
    <w:rsid w:val="00857350"/>
    <w:rsid w:val="00857411"/>
    <w:rsid w:val="00857686"/>
    <w:rsid w:val="008578ED"/>
    <w:rsid w:val="00857A68"/>
    <w:rsid w:val="00857ACB"/>
    <w:rsid w:val="00857E22"/>
    <w:rsid w:val="00857F45"/>
    <w:rsid w:val="008601C4"/>
    <w:rsid w:val="008601F8"/>
    <w:rsid w:val="008603A6"/>
    <w:rsid w:val="00860535"/>
    <w:rsid w:val="00860792"/>
    <w:rsid w:val="00860795"/>
    <w:rsid w:val="00860874"/>
    <w:rsid w:val="008608AD"/>
    <w:rsid w:val="008609C7"/>
    <w:rsid w:val="00860B00"/>
    <w:rsid w:val="00860BB4"/>
    <w:rsid w:val="00860EE9"/>
    <w:rsid w:val="00860EED"/>
    <w:rsid w:val="0086109B"/>
    <w:rsid w:val="008610A2"/>
    <w:rsid w:val="0086115A"/>
    <w:rsid w:val="0086115D"/>
    <w:rsid w:val="00861281"/>
    <w:rsid w:val="00861340"/>
    <w:rsid w:val="0086141A"/>
    <w:rsid w:val="00861499"/>
    <w:rsid w:val="008614B1"/>
    <w:rsid w:val="008614C1"/>
    <w:rsid w:val="00861509"/>
    <w:rsid w:val="008615D6"/>
    <w:rsid w:val="00861686"/>
    <w:rsid w:val="00861830"/>
    <w:rsid w:val="0086184B"/>
    <w:rsid w:val="008618DC"/>
    <w:rsid w:val="0086191F"/>
    <w:rsid w:val="00861A2D"/>
    <w:rsid w:val="00861A83"/>
    <w:rsid w:val="00861BB6"/>
    <w:rsid w:val="00861E70"/>
    <w:rsid w:val="00861F1D"/>
    <w:rsid w:val="00861F47"/>
    <w:rsid w:val="0086212F"/>
    <w:rsid w:val="00862160"/>
    <w:rsid w:val="00862570"/>
    <w:rsid w:val="00862582"/>
    <w:rsid w:val="00862886"/>
    <w:rsid w:val="0086290E"/>
    <w:rsid w:val="00862A08"/>
    <w:rsid w:val="00862B92"/>
    <w:rsid w:val="00862B98"/>
    <w:rsid w:val="00862C04"/>
    <w:rsid w:val="00862D19"/>
    <w:rsid w:val="00863027"/>
    <w:rsid w:val="008631EB"/>
    <w:rsid w:val="0086324A"/>
    <w:rsid w:val="00863294"/>
    <w:rsid w:val="00863526"/>
    <w:rsid w:val="008636F2"/>
    <w:rsid w:val="00863978"/>
    <w:rsid w:val="0086398B"/>
    <w:rsid w:val="00863DD6"/>
    <w:rsid w:val="00863E7C"/>
    <w:rsid w:val="00863EC7"/>
    <w:rsid w:val="00863F3D"/>
    <w:rsid w:val="00863FE0"/>
    <w:rsid w:val="00864071"/>
    <w:rsid w:val="008640EC"/>
    <w:rsid w:val="0086429A"/>
    <w:rsid w:val="008646FD"/>
    <w:rsid w:val="0086473B"/>
    <w:rsid w:val="008647DB"/>
    <w:rsid w:val="008647E0"/>
    <w:rsid w:val="00864809"/>
    <w:rsid w:val="008648CD"/>
    <w:rsid w:val="0086492D"/>
    <w:rsid w:val="0086492F"/>
    <w:rsid w:val="008649DB"/>
    <w:rsid w:val="00864B17"/>
    <w:rsid w:val="00864B8A"/>
    <w:rsid w:val="00864BAF"/>
    <w:rsid w:val="00864C06"/>
    <w:rsid w:val="00864D42"/>
    <w:rsid w:val="00864DC0"/>
    <w:rsid w:val="00864E8D"/>
    <w:rsid w:val="00864F2B"/>
    <w:rsid w:val="00864F71"/>
    <w:rsid w:val="00864FBF"/>
    <w:rsid w:val="00865049"/>
    <w:rsid w:val="00865312"/>
    <w:rsid w:val="00865412"/>
    <w:rsid w:val="008655E8"/>
    <w:rsid w:val="00865642"/>
    <w:rsid w:val="00865697"/>
    <w:rsid w:val="0086570B"/>
    <w:rsid w:val="00865833"/>
    <w:rsid w:val="00865A08"/>
    <w:rsid w:val="00865AB8"/>
    <w:rsid w:val="00865B60"/>
    <w:rsid w:val="00865D4D"/>
    <w:rsid w:val="00865ED4"/>
    <w:rsid w:val="00865F17"/>
    <w:rsid w:val="008661FE"/>
    <w:rsid w:val="0086621C"/>
    <w:rsid w:val="0086637A"/>
    <w:rsid w:val="00866507"/>
    <w:rsid w:val="0086670B"/>
    <w:rsid w:val="00866725"/>
    <w:rsid w:val="00866826"/>
    <w:rsid w:val="00866909"/>
    <w:rsid w:val="00866BAA"/>
    <w:rsid w:val="00866CCA"/>
    <w:rsid w:val="00866E63"/>
    <w:rsid w:val="00866E75"/>
    <w:rsid w:val="00866FE5"/>
    <w:rsid w:val="00866FFD"/>
    <w:rsid w:val="00867171"/>
    <w:rsid w:val="00867372"/>
    <w:rsid w:val="00867582"/>
    <w:rsid w:val="00867A5B"/>
    <w:rsid w:val="00867B73"/>
    <w:rsid w:val="00867C90"/>
    <w:rsid w:val="00867D88"/>
    <w:rsid w:val="00867EA1"/>
    <w:rsid w:val="0087018F"/>
    <w:rsid w:val="008702F8"/>
    <w:rsid w:val="00870405"/>
    <w:rsid w:val="0087071C"/>
    <w:rsid w:val="008707AC"/>
    <w:rsid w:val="0087086E"/>
    <w:rsid w:val="00870940"/>
    <w:rsid w:val="00870987"/>
    <w:rsid w:val="0087098D"/>
    <w:rsid w:val="008709C4"/>
    <w:rsid w:val="00870CC8"/>
    <w:rsid w:val="00870D91"/>
    <w:rsid w:val="00871031"/>
    <w:rsid w:val="008712D5"/>
    <w:rsid w:val="008713DB"/>
    <w:rsid w:val="008713E9"/>
    <w:rsid w:val="008713EB"/>
    <w:rsid w:val="0087149E"/>
    <w:rsid w:val="00871571"/>
    <w:rsid w:val="00871641"/>
    <w:rsid w:val="00871646"/>
    <w:rsid w:val="0087171A"/>
    <w:rsid w:val="00871737"/>
    <w:rsid w:val="00871A71"/>
    <w:rsid w:val="00871A9D"/>
    <w:rsid w:val="00871B54"/>
    <w:rsid w:val="00871B90"/>
    <w:rsid w:val="00871BE6"/>
    <w:rsid w:val="00871D28"/>
    <w:rsid w:val="00871E90"/>
    <w:rsid w:val="00871E94"/>
    <w:rsid w:val="00871F0F"/>
    <w:rsid w:val="00872117"/>
    <w:rsid w:val="008722B0"/>
    <w:rsid w:val="00872389"/>
    <w:rsid w:val="0087240C"/>
    <w:rsid w:val="00872544"/>
    <w:rsid w:val="0087290E"/>
    <w:rsid w:val="00872981"/>
    <w:rsid w:val="00872A5E"/>
    <w:rsid w:val="00872B67"/>
    <w:rsid w:val="00872C73"/>
    <w:rsid w:val="00872DB3"/>
    <w:rsid w:val="00872E28"/>
    <w:rsid w:val="00872E2D"/>
    <w:rsid w:val="00872ED0"/>
    <w:rsid w:val="00873056"/>
    <w:rsid w:val="008732CE"/>
    <w:rsid w:val="00873492"/>
    <w:rsid w:val="008734EA"/>
    <w:rsid w:val="00873547"/>
    <w:rsid w:val="008735A6"/>
    <w:rsid w:val="0087367F"/>
    <w:rsid w:val="00873788"/>
    <w:rsid w:val="008737A6"/>
    <w:rsid w:val="008737B9"/>
    <w:rsid w:val="00873853"/>
    <w:rsid w:val="00873960"/>
    <w:rsid w:val="008739C6"/>
    <w:rsid w:val="00873B15"/>
    <w:rsid w:val="00873B30"/>
    <w:rsid w:val="00873C2D"/>
    <w:rsid w:val="00873E35"/>
    <w:rsid w:val="00873E57"/>
    <w:rsid w:val="0087408C"/>
    <w:rsid w:val="008740C8"/>
    <w:rsid w:val="008741DA"/>
    <w:rsid w:val="0087430C"/>
    <w:rsid w:val="00874511"/>
    <w:rsid w:val="00874712"/>
    <w:rsid w:val="00874756"/>
    <w:rsid w:val="008747E2"/>
    <w:rsid w:val="00874811"/>
    <w:rsid w:val="0087494D"/>
    <w:rsid w:val="00874AB3"/>
    <w:rsid w:val="00874B31"/>
    <w:rsid w:val="00874B3A"/>
    <w:rsid w:val="00874B80"/>
    <w:rsid w:val="00874E67"/>
    <w:rsid w:val="00874E8B"/>
    <w:rsid w:val="00874F42"/>
    <w:rsid w:val="0087506D"/>
    <w:rsid w:val="0087510D"/>
    <w:rsid w:val="00875132"/>
    <w:rsid w:val="008751CE"/>
    <w:rsid w:val="00875299"/>
    <w:rsid w:val="0087531A"/>
    <w:rsid w:val="00875604"/>
    <w:rsid w:val="0087568A"/>
    <w:rsid w:val="00875A74"/>
    <w:rsid w:val="00875E0C"/>
    <w:rsid w:val="00876032"/>
    <w:rsid w:val="008760E2"/>
    <w:rsid w:val="008762B8"/>
    <w:rsid w:val="008763BF"/>
    <w:rsid w:val="00876444"/>
    <w:rsid w:val="008764DF"/>
    <w:rsid w:val="008766E2"/>
    <w:rsid w:val="0087677B"/>
    <w:rsid w:val="0087699C"/>
    <w:rsid w:val="00876ACC"/>
    <w:rsid w:val="00876C22"/>
    <w:rsid w:val="00876C5B"/>
    <w:rsid w:val="00876EB4"/>
    <w:rsid w:val="00876F2C"/>
    <w:rsid w:val="00877009"/>
    <w:rsid w:val="008770B5"/>
    <w:rsid w:val="008770E1"/>
    <w:rsid w:val="0087734D"/>
    <w:rsid w:val="00877433"/>
    <w:rsid w:val="00877576"/>
    <w:rsid w:val="00877666"/>
    <w:rsid w:val="00877883"/>
    <w:rsid w:val="00877AD7"/>
    <w:rsid w:val="00877BCA"/>
    <w:rsid w:val="00877E02"/>
    <w:rsid w:val="0088010A"/>
    <w:rsid w:val="00880201"/>
    <w:rsid w:val="00880244"/>
    <w:rsid w:val="00880298"/>
    <w:rsid w:val="0088036C"/>
    <w:rsid w:val="0088037B"/>
    <w:rsid w:val="008804B3"/>
    <w:rsid w:val="008805D0"/>
    <w:rsid w:val="00880652"/>
    <w:rsid w:val="00880704"/>
    <w:rsid w:val="0088078C"/>
    <w:rsid w:val="00880ABA"/>
    <w:rsid w:val="00880AC0"/>
    <w:rsid w:val="00880AE3"/>
    <w:rsid w:val="00880B4E"/>
    <w:rsid w:val="00880F9D"/>
    <w:rsid w:val="00880FCD"/>
    <w:rsid w:val="0088117E"/>
    <w:rsid w:val="0088119A"/>
    <w:rsid w:val="008812C4"/>
    <w:rsid w:val="008812E4"/>
    <w:rsid w:val="008812EB"/>
    <w:rsid w:val="0088138B"/>
    <w:rsid w:val="0088153F"/>
    <w:rsid w:val="00881569"/>
    <w:rsid w:val="008815BF"/>
    <w:rsid w:val="008815EA"/>
    <w:rsid w:val="0088167B"/>
    <w:rsid w:val="008816CB"/>
    <w:rsid w:val="00881788"/>
    <w:rsid w:val="00881B6A"/>
    <w:rsid w:val="00881B8B"/>
    <w:rsid w:val="00881DD6"/>
    <w:rsid w:val="00881E9A"/>
    <w:rsid w:val="0088206A"/>
    <w:rsid w:val="008821A0"/>
    <w:rsid w:val="00882250"/>
    <w:rsid w:val="0088239F"/>
    <w:rsid w:val="008823D0"/>
    <w:rsid w:val="00882441"/>
    <w:rsid w:val="0088247D"/>
    <w:rsid w:val="008825AF"/>
    <w:rsid w:val="0088274D"/>
    <w:rsid w:val="00882767"/>
    <w:rsid w:val="008829BF"/>
    <w:rsid w:val="00882A18"/>
    <w:rsid w:val="00882AD8"/>
    <w:rsid w:val="00882E0C"/>
    <w:rsid w:val="00882EF2"/>
    <w:rsid w:val="00882F0F"/>
    <w:rsid w:val="0088311D"/>
    <w:rsid w:val="008831E0"/>
    <w:rsid w:val="00883279"/>
    <w:rsid w:val="0088336B"/>
    <w:rsid w:val="008833CA"/>
    <w:rsid w:val="00883704"/>
    <w:rsid w:val="00883828"/>
    <w:rsid w:val="0088393C"/>
    <w:rsid w:val="00883B75"/>
    <w:rsid w:val="00883E82"/>
    <w:rsid w:val="00883F34"/>
    <w:rsid w:val="0088418B"/>
    <w:rsid w:val="0088423B"/>
    <w:rsid w:val="0088437C"/>
    <w:rsid w:val="00884537"/>
    <w:rsid w:val="008845C3"/>
    <w:rsid w:val="008846B5"/>
    <w:rsid w:val="008846B7"/>
    <w:rsid w:val="00884825"/>
    <w:rsid w:val="00884A30"/>
    <w:rsid w:val="00884B10"/>
    <w:rsid w:val="00884B58"/>
    <w:rsid w:val="00884C9C"/>
    <w:rsid w:val="00884CF1"/>
    <w:rsid w:val="00884CFB"/>
    <w:rsid w:val="00884D12"/>
    <w:rsid w:val="00884D9B"/>
    <w:rsid w:val="00884E28"/>
    <w:rsid w:val="00884FC9"/>
    <w:rsid w:val="008850F1"/>
    <w:rsid w:val="0088512C"/>
    <w:rsid w:val="0088530D"/>
    <w:rsid w:val="008854B6"/>
    <w:rsid w:val="00885594"/>
    <w:rsid w:val="008856C6"/>
    <w:rsid w:val="00885905"/>
    <w:rsid w:val="00885A62"/>
    <w:rsid w:val="00885B79"/>
    <w:rsid w:val="00885C94"/>
    <w:rsid w:val="00885D79"/>
    <w:rsid w:val="00885D98"/>
    <w:rsid w:val="00886111"/>
    <w:rsid w:val="008864E5"/>
    <w:rsid w:val="00886612"/>
    <w:rsid w:val="00886703"/>
    <w:rsid w:val="00886719"/>
    <w:rsid w:val="0088671D"/>
    <w:rsid w:val="00886940"/>
    <w:rsid w:val="00886960"/>
    <w:rsid w:val="00886C33"/>
    <w:rsid w:val="00886CC7"/>
    <w:rsid w:val="00886ED0"/>
    <w:rsid w:val="00887456"/>
    <w:rsid w:val="0088747A"/>
    <w:rsid w:val="0088757E"/>
    <w:rsid w:val="0088793F"/>
    <w:rsid w:val="0088798D"/>
    <w:rsid w:val="00887C07"/>
    <w:rsid w:val="00887C3F"/>
    <w:rsid w:val="00887C82"/>
    <w:rsid w:val="00887CC1"/>
    <w:rsid w:val="00887CD7"/>
    <w:rsid w:val="00887D4A"/>
    <w:rsid w:val="00887D9E"/>
    <w:rsid w:val="00887DAE"/>
    <w:rsid w:val="00887F3E"/>
    <w:rsid w:val="00887F6E"/>
    <w:rsid w:val="0088EFDF"/>
    <w:rsid w:val="008900CF"/>
    <w:rsid w:val="00890177"/>
    <w:rsid w:val="008901AE"/>
    <w:rsid w:val="0089021F"/>
    <w:rsid w:val="008902E5"/>
    <w:rsid w:val="008903A9"/>
    <w:rsid w:val="008904C9"/>
    <w:rsid w:val="0089051C"/>
    <w:rsid w:val="008905D6"/>
    <w:rsid w:val="00890658"/>
    <w:rsid w:val="008906CA"/>
    <w:rsid w:val="00890841"/>
    <w:rsid w:val="00890AAB"/>
    <w:rsid w:val="00890B60"/>
    <w:rsid w:val="00890BB7"/>
    <w:rsid w:val="00890C5A"/>
    <w:rsid w:val="00890DA4"/>
    <w:rsid w:val="00890EE4"/>
    <w:rsid w:val="00890F71"/>
    <w:rsid w:val="00891079"/>
    <w:rsid w:val="008910E2"/>
    <w:rsid w:val="00891258"/>
    <w:rsid w:val="00891356"/>
    <w:rsid w:val="008913CF"/>
    <w:rsid w:val="00891528"/>
    <w:rsid w:val="00891541"/>
    <w:rsid w:val="0089154F"/>
    <w:rsid w:val="0089170F"/>
    <w:rsid w:val="008917CA"/>
    <w:rsid w:val="008917ED"/>
    <w:rsid w:val="00891C32"/>
    <w:rsid w:val="00891C65"/>
    <w:rsid w:val="00891E41"/>
    <w:rsid w:val="00891F6C"/>
    <w:rsid w:val="008921F2"/>
    <w:rsid w:val="0089224E"/>
    <w:rsid w:val="008925B1"/>
    <w:rsid w:val="00892616"/>
    <w:rsid w:val="00892624"/>
    <w:rsid w:val="008926DD"/>
    <w:rsid w:val="008926DF"/>
    <w:rsid w:val="008927EC"/>
    <w:rsid w:val="0089296B"/>
    <w:rsid w:val="00892A26"/>
    <w:rsid w:val="008930F4"/>
    <w:rsid w:val="008933F5"/>
    <w:rsid w:val="008934C9"/>
    <w:rsid w:val="00893551"/>
    <w:rsid w:val="00893729"/>
    <w:rsid w:val="00893784"/>
    <w:rsid w:val="00893924"/>
    <w:rsid w:val="00893975"/>
    <w:rsid w:val="0089399A"/>
    <w:rsid w:val="008939DA"/>
    <w:rsid w:val="00893CEC"/>
    <w:rsid w:val="00893D84"/>
    <w:rsid w:val="00893DDB"/>
    <w:rsid w:val="00893E2B"/>
    <w:rsid w:val="00893E35"/>
    <w:rsid w:val="00893EBA"/>
    <w:rsid w:val="00893F77"/>
    <w:rsid w:val="00893FF2"/>
    <w:rsid w:val="0089425F"/>
    <w:rsid w:val="00894361"/>
    <w:rsid w:val="008943CF"/>
    <w:rsid w:val="008944A5"/>
    <w:rsid w:val="008945BD"/>
    <w:rsid w:val="0089462B"/>
    <w:rsid w:val="00894684"/>
    <w:rsid w:val="008946CF"/>
    <w:rsid w:val="0089491C"/>
    <w:rsid w:val="008949D4"/>
    <w:rsid w:val="00894A32"/>
    <w:rsid w:val="00894A6F"/>
    <w:rsid w:val="00894A7C"/>
    <w:rsid w:val="00894AA6"/>
    <w:rsid w:val="00894AD8"/>
    <w:rsid w:val="00894B8B"/>
    <w:rsid w:val="00894CE1"/>
    <w:rsid w:val="00894E8A"/>
    <w:rsid w:val="00894E9D"/>
    <w:rsid w:val="00894F57"/>
    <w:rsid w:val="00895031"/>
    <w:rsid w:val="00895451"/>
    <w:rsid w:val="008954B3"/>
    <w:rsid w:val="0089568B"/>
    <w:rsid w:val="00895703"/>
    <w:rsid w:val="008958A1"/>
    <w:rsid w:val="008959FE"/>
    <w:rsid w:val="00895AA8"/>
    <w:rsid w:val="00895AD0"/>
    <w:rsid w:val="00895AF2"/>
    <w:rsid w:val="00895B35"/>
    <w:rsid w:val="00895C02"/>
    <w:rsid w:val="00895CB9"/>
    <w:rsid w:val="00895E5E"/>
    <w:rsid w:val="00895E8F"/>
    <w:rsid w:val="00896065"/>
    <w:rsid w:val="0089607F"/>
    <w:rsid w:val="00896234"/>
    <w:rsid w:val="00896547"/>
    <w:rsid w:val="008966CB"/>
    <w:rsid w:val="00896803"/>
    <w:rsid w:val="0089682B"/>
    <w:rsid w:val="008968F9"/>
    <w:rsid w:val="00896929"/>
    <w:rsid w:val="00896A00"/>
    <w:rsid w:val="00896B4B"/>
    <w:rsid w:val="00896C82"/>
    <w:rsid w:val="00896DCE"/>
    <w:rsid w:val="00896F67"/>
    <w:rsid w:val="00896F69"/>
    <w:rsid w:val="00896FE2"/>
    <w:rsid w:val="00897198"/>
    <w:rsid w:val="0089726B"/>
    <w:rsid w:val="00897537"/>
    <w:rsid w:val="00897615"/>
    <w:rsid w:val="008976B7"/>
    <w:rsid w:val="00897959"/>
    <w:rsid w:val="008979B9"/>
    <w:rsid w:val="008979DB"/>
    <w:rsid w:val="00897A13"/>
    <w:rsid w:val="00897C29"/>
    <w:rsid w:val="008A0073"/>
    <w:rsid w:val="008A00ED"/>
    <w:rsid w:val="008A01FC"/>
    <w:rsid w:val="008A022F"/>
    <w:rsid w:val="008A0259"/>
    <w:rsid w:val="008A02CB"/>
    <w:rsid w:val="008A0376"/>
    <w:rsid w:val="008A04C0"/>
    <w:rsid w:val="008A095B"/>
    <w:rsid w:val="008A0BA6"/>
    <w:rsid w:val="008A0BCB"/>
    <w:rsid w:val="008A0CE2"/>
    <w:rsid w:val="008A0D17"/>
    <w:rsid w:val="008A0E39"/>
    <w:rsid w:val="008A0ED3"/>
    <w:rsid w:val="008A0F63"/>
    <w:rsid w:val="008A0FA9"/>
    <w:rsid w:val="008A1026"/>
    <w:rsid w:val="008A10EE"/>
    <w:rsid w:val="008A11EC"/>
    <w:rsid w:val="008A127D"/>
    <w:rsid w:val="008A144F"/>
    <w:rsid w:val="008A14D4"/>
    <w:rsid w:val="008A17DD"/>
    <w:rsid w:val="008A1873"/>
    <w:rsid w:val="008A1AEC"/>
    <w:rsid w:val="008A1B10"/>
    <w:rsid w:val="008A1BD1"/>
    <w:rsid w:val="008A1CA3"/>
    <w:rsid w:val="008A1CBB"/>
    <w:rsid w:val="008A1DB8"/>
    <w:rsid w:val="008A1DBD"/>
    <w:rsid w:val="008A1FE3"/>
    <w:rsid w:val="008A204B"/>
    <w:rsid w:val="008A21D2"/>
    <w:rsid w:val="008A22A2"/>
    <w:rsid w:val="008A22A9"/>
    <w:rsid w:val="008A2315"/>
    <w:rsid w:val="008A233B"/>
    <w:rsid w:val="008A23EF"/>
    <w:rsid w:val="008A24A5"/>
    <w:rsid w:val="008A24E4"/>
    <w:rsid w:val="008A2531"/>
    <w:rsid w:val="008A2688"/>
    <w:rsid w:val="008A26E9"/>
    <w:rsid w:val="008A2740"/>
    <w:rsid w:val="008A2796"/>
    <w:rsid w:val="008A279C"/>
    <w:rsid w:val="008A284F"/>
    <w:rsid w:val="008A2874"/>
    <w:rsid w:val="008A29A3"/>
    <w:rsid w:val="008A2AA1"/>
    <w:rsid w:val="008A2AC4"/>
    <w:rsid w:val="008A2B9F"/>
    <w:rsid w:val="008A2C4E"/>
    <w:rsid w:val="008A2DF2"/>
    <w:rsid w:val="008A2EE5"/>
    <w:rsid w:val="008A2EF2"/>
    <w:rsid w:val="008A2F40"/>
    <w:rsid w:val="008A2FAA"/>
    <w:rsid w:val="008A3053"/>
    <w:rsid w:val="008A30FD"/>
    <w:rsid w:val="008A328F"/>
    <w:rsid w:val="008A335F"/>
    <w:rsid w:val="008A3394"/>
    <w:rsid w:val="008A34B5"/>
    <w:rsid w:val="008A35C5"/>
    <w:rsid w:val="008A3643"/>
    <w:rsid w:val="008A374E"/>
    <w:rsid w:val="008A3768"/>
    <w:rsid w:val="008A38C2"/>
    <w:rsid w:val="008A38DC"/>
    <w:rsid w:val="008A3A04"/>
    <w:rsid w:val="008A3A19"/>
    <w:rsid w:val="008A3B1E"/>
    <w:rsid w:val="008A3BAD"/>
    <w:rsid w:val="008A3BC1"/>
    <w:rsid w:val="008A3BF2"/>
    <w:rsid w:val="008A3C64"/>
    <w:rsid w:val="008A3CCF"/>
    <w:rsid w:val="008A3F53"/>
    <w:rsid w:val="008A416C"/>
    <w:rsid w:val="008A417D"/>
    <w:rsid w:val="008A41B3"/>
    <w:rsid w:val="008A436D"/>
    <w:rsid w:val="008A4505"/>
    <w:rsid w:val="008A4528"/>
    <w:rsid w:val="008A481A"/>
    <w:rsid w:val="008A484E"/>
    <w:rsid w:val="008A4B8F"/>
    <w:rsid w:val="008A4B9D"/>
    <w:rsid w:val="008A4B9F"/>
    <w:rsid w:val="008A4BD4"/>
    <w:rsid w:val="008A4EA6"/>
    <w:rsid w:val="008A4F7C"/>
    <w:rsid w:val="008A516E"/>
    <w:rsid w:val="008A51D9"/>
    <w:rsid w:val="008A522F"/>
    <w:rsid w:val="008A5256"/>
    <w:rsid w:val="008A5270"/>
    <w:rsid w:val="008A52F5"/>
    <w:rsid w:val="008A5344"/>
    <w:rsid w:val="008A53F4"/>
    <w:rsid w:val="008A54E5"/>
    <w:rsid w:val="008A55D9"/>
    <w:rsid w:val="008A57D1"/>
    <w:rsid w:val="008A583A"/>
    <w:rsid w:val="008A5906"/>
    <w:rsid w:val="008A5A6E"/>
    <w:rsid w:val="008A5B5B"/>
    <w:rsid w:val="008A5C9A"/>
    <w:rsid w:val="008A5CA5"/>
    <w:rsid w:val="008A5DC8"/>
    <w:rsid w:val="008A5E76"/>
    <w:rsid w:val="008A60A8"/>
    <w:rsid w:val="008A60BE"/>
    <w:rsid w:val="008A6114"/>
    <w:rsid w:val="008A617B"/>
    <w:rsid w:val="008A61E0"/>
    <w:rsid w:val="008A626E"/>
    <w:rsid w:val="008A64AE"/>
    <w:rsid w:val="008A64CD"/>
    <w:rsid w:val="008A6519"/>
    <w:rsid w:val="008A652A"/>
    <w:rsid w:val="008A6773"/>
    <w:rsid w:val="008A68AC"/>
    <w:rsid w:val="008A69F4"/>
    <w:rsid w:val="008A6A29"/>
    <w:rsid w:val="008A6B3F"/>
    <w:rsid w:val="008A6BC0"/>
    <w:rsid w:val="008A6DD4"/>
    <w:rsid w:val="008A6EEC"/>
    <w:rsid w:val="008A7040"/>
    <w:rsid w:val="008A705D"/>
    <w:rsid w:val="008A709D"/>
    <w:rsid w:val="008A70FB"/>
    <w:rsid w:val="008A71F7"/>
    <w:rsid w:val="008A726C"/>
    <w:rsid w:val="008A7277"/>
    <w:rsid w:val="008A73EA"/>
    <w:rsid w:val="008A76D9"/>
    <w:rsid w:val="008A7719"/>
    <w:rsid w:val="008A772B"/>
    <w:rsid w:val="008A779C"/>
    <w:rsid w:val="008A7835"/>
    <w:rsid w:val="008A7943"/>
    <w:rsid w:val="008A7AE2"/>
    <w:rsid w:val="008B00B9"/>
    <w:rsid w:val="008B00D4"/>
    <w:rsid w:val="008B00E5"/>
    <w:rsid w:val="008B026B"/>
    <w:rsid w:val="008B038E"/>
    <w:rsid w:val="008B0665"/>
    <w:rsid w:val="008B06B2"/>
    <w:rsid w:val="008B08D1"/>
    <w:rsid w:val="008B09B7"/>
    <w:rsid w:val="008B0A28"/>
    <w:rsid w:val="008B0A66"/>
    <w:rsid w:val="008B0A8B"/>
    <w:rsid w:val="008B0C78"/>
    <w:rsid w:val="008B0E25"/>
    <w:rsid w:val="008B0E96"/>
    <w:rsid w:val="008B0EC7"/>
    <w:rsid w:val="008B1107"/>
    <w:rsid w:val="008B158F"/>
    <w:rsid w:val="008B1682"/>
    <w:rsid w:val="008B17DE"/>
    <w:rsid w:val="008B1A70"/>
    <w:rsid w:val="008B1A7C"/>
    <w:rsid w:val="008B1B72"/>
    <w:rsid w:val="008B1D38"/>
    <w:rsid w:val="008B1D9D"/>
    <w:rsid w:val="008B207D"/>
    <w:rsid w:val="008B22E3"/>
    <w:rsid w:val="008B2337"/>
    <w:rsid w:val="008B24A1"/>
    <w:rsid w:val="008B257E"/>
    <w:rsid w:val="008B29FD"/>
    <w:rsid w:val="008B2A3A"/>
    <w:rsid w:val="008B2A5D"/>
    <w:rsid w:val="008B2AD3"/>
    <w:rsid w:val="008B2B4B"/>
    <w:rsid w:val="008B2B5F"/>
    <w:rsid w:val="008B2B60"/>
    <w:rsid w:val="008B2BA8"/>
    <w:rsid w:val="008B2F9D"/>
    <w:rsid w:val="008B2FB4"/>
    <w:rsid w:val="008B33A5"/>
    <w:rsid w:val="008B34CA"/>
    <w:rsid w:val="008B3552"/>
    <w:rsid w:val="008B3AD0"/>
    <w:rsid w:val="008B3B0B"/>
    <w:rsid w:val="008B3B2A"/>
    <w:rsid w:val="008B3C74"/>
    <w:rsid w:val="008B3CA0"/>
    <w:rsid w:val="008B3D8A"/>
    <w:rsid w:val="008B3DD9"/>
    <w:rsid w:val="008B3E66"/>
    <w:rsid w:val="008B3E9D"/>
    <w:rsid w:val="008B3EB3"/>
    <w:rsid w:val="008B3F25"/>
    <w:rsid w:val="008B419D"/>
    <w:rsid w:val="008B4211"/>
    <w:rsid w:val="008B425F"/>
    <w:rsid w:val="008B4432"/>
    <w:rsid w:val="008B453E"/>
    <w:rsid w:val="008B4542"/>
    <w:rsid w:val="008B459C"/>
    <w:rsid w:val="008B4666"/>
    <w:rsid w:val="008B4746"/>
    <w:rsid w:val="008B47F5"/>
    <w:rsid w:val="008B4819"/>
    <w:rsid w:val="008B4888"/>
    <w:rsid w:val="008B49BE"/>
    <w:rsid w:val="008B4AC0"/>
    <w:rsid w:val="008B4AD6"/>
    <w:rsid w:val="008B4C1C"/>
    <w:rsid w:val="008B4CB5"/>
    <w:rsid w:val="008B4D11"/>
    <w:rsid w:val="008B4D29"/>
    <w:rsid w:val="008B4D8C"/>
    <w:rsid w:val="008B4E2E"/>
    <w:rsid w:val="008B4E43"/>
    <w:rsid w:val="008B5010"/>
    <w:rsid w:val="008B505B"/>
    <w:rsid w:val="008B50FC"/>
    <w:rsid w:val="008B511B"/>
    <w:rsid w:val="008B511E"/>
    <w:rsid w:val="008B526E"/>
    <w:rsid w:val="008B534D"/>
    <w:rsid w:val="008B550A"/>
    <w:rsid w:val="008B5644"/>
    <w:rsid w:val="008B56E8"/>
    <w:rsid w:val="008B5A5B"/>
    <w:rsid w:val="008B5AE9"/>
    <w:rsid w:val="008B5BD8"/>
    <w:rsid w:val="008B5C0A"/>
    <w:rsid w:val="008B5CCA"/>
    <w:rsid w:val="008B5DBE"/>
    <w:rsid w:val="008B5E7E"/>
    <w:rsid w:val="008B6193"/>
    <w:rsid w:val="008B61CC"/>
    <w:rsid w:val="008B62D9"/>
    <w:rsid w:val="008B6505"/>
    <w:rsid w:val="008B6568"/>
    <w:rsid w:val="008B67C2"/>
    <w:rsid w:val="008B6956"/>
    <w:rsid w:val="008B6A30"/>
    <w:rsid w:val="008B6A9F"/>
    <w:rsid w:val="008B6AE0"/>
    <w:rsid w:val="008B6BF3"/>
    <w:rsid w:val="008B6D69"/>
    <w:rsid w:val="008B6E72"/>
    <w:rsid w:val="008B7117"/>
    <w:rsid w:val="008B715A"/>
    <w:rsid w:val="008B7352"/>
    <w:rsid w:val="008B7478"/>
    <w:rsid w:val="008B7561"/>
    <w:rsid w:val="008B7580"/>
    <w:rsid w:val="008B75FF"/>
    <w:rsid w:val="008B7ACD"/>
    <w:rsid w:val="008B7D26"/>
    <w:rsid w:val="008BDEF4"/>
    <w:rsid w:val="008C0190"/>
    <w:rsid w:val="008C01C3"/>
    <w:rsid w:val="008C02D2"/>
    <w:rsid w:val="008C02E1"/>
    <w:rsid w:val="008C0340"/>
    <w:rsid w:val="008C0419"/>
    <w:rsid w:val="008C0635"/>
    <w:rsid w:val="008C068E"/>
    <w:rsid w:val="008C07CF"/>
    <w:rsid w:val="008C0927"/>
    <w:rsid w:val="008C0B69"/>
    <w:rsid w:val="008C0C1F"/>
    <w:rsid w:val="008C0E35"/>
    <w:rsid w:val="008C0FC6"/>
    <w:rsid w:val="008C0FD3"/>
    <w:rsid w:val="008C103F"/>
    <w:rsid w:val="008C1070"/>
    <w:rsid w:val="008C10C6"/>
    <w:rsid w:val="008C11F7"/>
    <w:rsid w:val="008C1344"/>
    <w:rsid w:val="008C1386"/>
    <w:rsid w:val="008C13DB"/>
    <w:rsid w:val="008C15A4"/>
    <w:rsid w:val="008C19EC"/>
    <w:rsid w:val="008C1A54"/>
    <w:rsid w:val="008C1B78"/>
    <w:rsid w:val="008C1BFD"/>
    <w:rsid w:val="008C1CF5"/>
    <w:rsid w:val="008C1D11"/>
    <w:rsid w:val="008C1D57"/>
    <w:rsid w:val="008C1E39"/>
    <w:rsid w:val="008C1EBD"/>
    <w:rsid w:val="008C1ECA"/>
    <w:rsid w:val="008C2036"/>
    <w:rsid w:val="008C2234"/>
    <w:rsid w:val="008C22E4"/>
    <w:rsid w:val="008C242C"/>
    <w:rsid w:val="008C2458"/>
    <w:rsid w:val="008C2522"/>
    <w:rsid w:val="008C2530"/>
    <w:rsid w:val="008C272D"/>
    <w:rsid w:val="008C27AF"/>
    <w:rsid w:val="008C2A51"/>
    <w:rsid w:val="008C2A57"/>
    <w:rsid w:val="008C2A6D"/>
    <w:rsid w:val="008C2B35"/>
    <w:rsid w:val="008C2BBB"/>
    <w:rsid w:val="008C2BF9"/>
    <w:rsid w:val="008C2C7E"/>
    <w:rsid w:val="008C2CB3"/>
    <w:rsid w:val="008C2D33"/>
    <w:rsid w:val="008C2D87"/>
    <w:rsid w:val="008C2ECF"/>
    <w:rsid w:val="008C2FAB"/>
    <w:rsid w:val="008C2FB5"/>
    <w:rsid w:val="008C2FF8"/>
    <w:rsid w:val="008C310A"/>
    <w:rsid w:val="008C312D"/>
    <w:rsid w:val="008C32E2"/>
    <w:rsid w:val="008C3494"/>
    <w:rsid w:val="008C3542"/>
    <w:rsid w:val="008C35B2"/>
    <w:rsid w:val="008C36EB"/>
    <w:rsid w:val="008C36F9"/>
    <w:rsid w:val="008C3743"/>
    <w:rsid w:val="008C37BD"/>
    <w:rsid w:val="008C3811"/>
    <w:rsid w:val="008C381A"/>
    <w:rsid w:val="008C38D1"/>
    <w:rsid w:val="008C396D"/>
    <w:rsid w:val="008C3979"/>
    <w:rsid w:val="008C39FF"/>
    <w:rsid w:val="008C3DD4"/>
    <w:rsid w:val="008C3DE9"/>
    <w:rsid w:val="008C3E38"/>
    <w:rsid w:val="008C3E43"/>
    <w:rsid w:val="008C3EE7"/>
    <w:rsid w:val="008C3F18"/>
    <w:rsid w:val="008C41B6"/>
    <w:rsid w:val="008C423B"/>
    <w:rsid w:val="008C44E1"/>
    <w:rsid w:val="008C452A"/>
    <w:rsid w:val="008C462A"/>
    <w:rsid w:val="008C47F9"/>
    <w:rsid w:val="008C48E3"/>
    <w:rsid w:val="008C4973"/>
    <w:rsid w:val="008C4A09"/>
    <w:rsid w:val="008C4ADF"/>
    <w:rsid w:val="008C4AE3"/>
    <w:rsid w:val="008C4B13"/>
    <w:rsid w:val="008C4D32"/>
    <w:rsid w:val="008C4D9D"/>
    <w:rsid w:val="008C4E9A"/>
    <w:rsid w:val="008C4EE5"/>
    <w:rsid w:val="008C4F9D"/>
    <w:rsid w:val="008C5074"/>
    <w:rsid w:val="008C519D"/>
    <w:rsid w:val="008C51B1"/>
    <w:rsid w:val="008C51D1"/>
    <w:rsid w:val="008C5232"/>
    <w:rsid w:val="008C523B"/>
    <w:rsid w:val="008C5275"/>
    <w:rsid w:val="008C5591"/>
    <w:rsid w:val="008C57C5"/>
    <w:rsid w:val="008C58DD"/>
    <w:rsid w:val="008C5A11"/>
    <w:rsid w:val="008C5A40"/>
    <w:rsid w:val="008C5AAD"/>
    <w:rsid w:val="008C5BD8"/>
    <w:rsid w:val="008C5CA2"/>
    <w:rsid w:val="008C5DFC"/>
    <w:rsid w:val="008C5EB6"/>
    <w:rsid w:val="008C5F95"/>
    <w:rsid w:val="008C60CC"/>
    <w:rsid w:val="008C6338"/>
    <w:rsid w:val="008C64B0"/>
    <w:rsid w:val="008C6543"/>
    <w:rsid w:val="008C657A"/>
    <w:rsid w:val="008C65CD"/>
    <w:rsid w:val="008C65DF"/>
    <w:rsid w:val="008C6790"/>
    <w:rsid w:val="008C686B"/>
    <w:rsid w:val="008C6895"/>
    <w:rsid w:val="008C697A"/>
    <w:rsid w:val="008C69E9"/>
    <w:rsid w:val="008C69EF"/>
    <w:rsid w:val="008C6C21"/>
    <w:rsid w:val="008C6D2F"/>
    <w:rsid w:val="008C7022"/>
    <w:rsid w:val="008C724F"/>
    <w:rsid w:val="008C7258"/>
    <w:rsid w:val="008C7321"/>
    <w:rsid w:val="008C7330"/>
    <w:rsid w:val="008C733D"/>
    <w:rsid w:val="008C744B"/>
    <w:rsid w:val="008C7454"/>
    <w:rsid w:val="008C776C"/>
    <w:rsid w:val="008C78FF"/>
    <w:rsid w:val="008C7ABA"/>
    <w:rsid w:val="008C7AFB"/>
    <w:rsid w:val="008C7B73"/>
    <w:rsid w:val="008C7B97"/>
    <w:rsid w:val="008C7C8A"/>
    <w:rsid w:val="008C7D74"/>
    <w:rsid w:val="008C7D8A"/>
    <w:rsid w:val="008C7DFE"/>
    <w:rsid w:val="008D0338"/>
    <w:rsid w:val="008D0452"/>
    <w:rsid w:val="008D0760"/>
    <w:rsid w:val="008D0920"/>
    <w:rsid w:val="008D0980"/>
    <w:rsid w:val="008D0C3E"/>
    <w:rsid w:val="008D0C79"/>
    <w:rsid w:val="008D0CB0"/>
    <w:rsid w:val="008D0CE9"/>
    <w:rsid w:val="008D0EA6"/>
    <w:rsid w:val="008D0EF7"/>
    <w:rsid w:val="008D1337"/>
    <w:rsid w:val="008D1346"/>
    <w:rsid w:val="008D16E0"/>
    <w:rsid w:val="008D16E7"/>
    <w:rsid w:val="008D17D7"/>
    <w:rsid w:val="008D1853"/>
    <w:rsid w:val="008D185D"/>
    <w:rsid w:val="008D18D9"/>
    <w:rsid w:val="008D18E8"/>
    <w:rsid w:val="008D1907"/>
    <w:rsid w:val="008D1ACD"/>
    <w:rsid w:val="008D1B15"/>
    <w:rsid w:val="008D1DD5"/>
    <w:rsid w:val="008D1E76"/>
    <w:rsid w:val="008D1F31"/>
    <w:rsid w:val="008D20F1"/>
    <w:rsid w:val="008D20FA"/>
    <w:rsid w:val="008D21F1"/>
    <w:rsid w:val="008D240D"/>
    <w:rsid w:val="008D25EC"/>
    <w:rsid w:val="008D26EB"/>
    <w:rsid w:val="008D297F"/>
    <w:rsid w:val="008D29A2"/>
    <w:rsid w:val="008D2AC5"/>
    <w:rsid w:val="008D2BD1"/>
    <w:rsid w:val="008D2C55"/>
    <w:rsid w:val="008D2CA7"/>
    <w:rsid w:val="008D2DE9"/>
    <w:rsid w:val="008D2E16"/>
    <w:rsid w:val="008D2E1B"/>
    <w:rsid w:val="008D2E3A"/>
    <w:rsid w:val="008D2E5F"/>
    <w:rsid w:val="008D2ED9"/>
    <w:rsid w:val="008D2EF3"/>
    <w:rsid w:val="008D3024"/>
    <w:rsid w:val="008D309A"/>
    <w:rsid w:val="008D31F4"/>
    <w:rsid w:val="008D32B4"/>
    <w:rsid w:val="008D3380"/>
    <w:rsid w:val="008D349E"/>
    <w:rsid w:val="008D351D"/>
    <w:rsid w:val="008D355E"/>
    <w:rsid w:val="008D3590"/>
    <w:rsid w:val="008D3691"/>
    <w:rsid w:val="008D36CA"/>
    <w:rsid w:val="008D38A4"/>
    <w:rsid w:val="008D38BE"/>
    <w:rsid w:val="008D3954"/>
    <w:rsid w:val="008D3B55"/>
    <w:rsid w:val="008D3C3E"/>
    <w:rsid w:val="008D3D4B"/>
    <w:rsid w:val="008D3E72"/>
    <w:rsid w:val="008D3E9C"/>
    <w:rsid w:val="008D3EC8"/>
    <w:rsid w:val="008D3FDA"/>
    <w:rsid w:val="008D42A7"/>
    <w:rsid w:val="008D46B4"/>
    <w:rsid w:val="008D48AE"/>
    <w:rsid w:val="008D4934"/>
    <w:rsid w:val="008D4AA8"/>
    <w:rsid w:val="008D4B02"/>
    <w:rsid w:val="008D4B54"/>
    <w:rsid w:val="008D4BDD"/>
    <w:rsid w:val="008D4DA4"/>
    <w:rsid w:val="008D4DB1"/>
    <w:rsid w:val="008D4F6F"/>
    <w:rsid w:val="008D4FD9"/>
    <w:rsid w:val="008D523A"/>
    <w:rsid w:val="008D546F"/>
    <w:rsid w:val="008D5560"/>
    <w:rsid w:val="008D556E"/>
    <w:rsid w:val="008D566E"/>
    <w:rsid w:val="008D5676"/>
    <w:rsid w:val="008D58A4"/>
    <w:rsid w:val="008D59BD"/>
    <w:rsid w:val="008D5A9F"/>
    <w:rsid w:val="008D5DCC"/>
    <w:rsid w:val="008D5EEE"/>
    <w:rsid w:val="008D5F6C"/>
    <w:rsid w:val="008D5FAD"/>
    <w:rsid w:val="008D5FBD"/>
    <w:rsid w:val="008D603F"/>
    <w:rsid w:val="008D6062"/>
    <w:rsid w:val="008D60B8"/>
    <w:rsid w:val="008D60BC"/>
    <w:rsid w:val="008D6103"/>
    <w:rsid w:val="008D616B"/>
    <w:rsid w:val="008D6210"/>
    <w:rsid w:val="008D6306"/>
    <w:rsid w:val="008D6521"/>
    <w:rsid w:val="008D6524"/>
    <w:rsid w:val="008D6699"/>
    <w:rsid w:val="008D66E8"/>
    <w:rsid w:val="008D691E"/>
    <w:rsid w:val="008D6A14"/>
    <w:rsid w:val="008D6A9C"/>
    <w:rsid w:val="008D6C5C"/>
    <w:rsid w:val="008D6D04"/>
    <w:rsid w:val="008D6D95"/>
    <w:rsid w:val="008D6F10"/>
    <w:rsid w:val="008D701F"/>
    <w:rsid w:val="008D70BA"/>
    <w:rsid w:val="008D70DB"/>
    <w:rsid w:val="008D70F6"/>
    <w:rsid w:val="008D71D0"/>
    <w:rsid w:val="008D71EE"/>
    <w:rsid w:val="008D723F"/>
    <w:rsid w:val="008D74BB"/>
    <w:rsid w:val="008D766B"/>
    <w:rsid w:val="008D76F9"/>
    <w:rsid w:val="008D7707"/>
    <w:rsid w:val="008D77BD"/>
    <w:rsid w:val="008D77EC"/>
    <w:rsid w:val="008D7972"/>
    <w:rsid w:val="008D79E4"/>
    <w:rsid w:val="008D7B15"/>
    <w:rsid w:val="008D7CA5"/>
    <w:rsid w:val="008D7D40"/>
    <w:rsid w:val="008D7F0C"/>
    <w:rsid w:val="008D7F47"/>
    <w:rsid w:val="008D7FA0"/>
    <w:rsid w:val="008E002B"/>
    <w:rsid w:val="008E003C"/>
    <w:rsid w:val="008E0044"/>
    <w:rsid w:val="008E0098"/>
    <w:rsid w:val="008E00A1"/>
    <w:rsid w:val="008E02AC"/>
    <w:rsid w:val="008E035F"/>
    <w:rsid w:val="008E049F"/>
    <w:rsid w:val="008E05DB"/>
    <w:rsid w:val="008E0644"/>
    <w:rsid w:val="008E06D9"/>
    <w:rsid w:val="008E06E2"/>
    <w:rsid w:val="008E07B0"/>
    <w:rsid w:val="008E07C6"/>
    <w:rsid w:val="008E09E0"/>
    <w:rsid w:val="008E0C93"/>
    <w:rsid w:val="008E0DF9"/>
    <w:rsid w:val="008E0E48"/>
    <w:rsid w:val="008E0EDD"/>
    <w:rsid w:val="008E0F9A"/>
    <w:rsid w:val="008E1078"/>
    <w:rsid w:val="008E1158"/>
    <w:rsid w:val="008E11FF"/>
    <w:rsid w:val="008E120B"/>
    <w:rsid w:val="008E1211"/>
    <w:rsid w:val="008E1582"/>
    <w:rsid w:val="008E1585"/>
    <w:rsid w:val="008E1670"/>
    <w:rsid w:val="008E1707"/>
    <w:rsid w:val="008E179A"/>
    <w:rsid w:val="008E19F8"/>
    <w:rsid w:val="008E1BC3"/>
    <w:rsid w:val="008E1E83"/>
    <w:rsid w:val="008E1F8A"/>
    <w:rsid w:val="008E20C3"/>
    <w:rsid w:val="008E215B"/>
    <w:rsid w:val="008E222E"/>
    <w:rsid w:val="008E22AA"/>
    <w:rsid w:val="008E2348"/>
    <w:rsid w:val="008E2482"/>
    <w:rsid w:val="008E24BA"/>
    <w:rsid w:val="008E269B"/>
    <w:rsid w:val="008E26C6"/>
    <w:rsid w:val="008E2742"/>
    <w:rsid w:val="008E2837"/>
    <w:rsid w:val="008E283B"/>
    <w:rsid w:val="008E296C"/>
    <w:rsid w:val="008E298E"/>
    <w:rsid w:val="008E29E6"/>
    <w:rsid w:val="008E2A4B"/>
    <w:rsid w:val="008E2BCB"/>
    <w:rsid w:val="008E2E5A"/>
    <w:rsid w:val="008E2E88"/>
    <w:rsid w:val="008E2F0A"/>
    <w:rsid w:val="008E3291"/>
    <w:rsid w:val="008E3360"/>
    <w:rsid w:val="008E33D7"/>
    <w:rsid w:val="008E361D"/>
    <w:rsid w:val="008E36FC"/>
    <w:rsid w:val="008E38E8"/>
    <w:rsid w:val="008E38F3"/>
    <w:rsid w:val="008E39A5"/>
    <w:rsid w:val="008E3A70"/>
    <w:rsid w:val="008E3D02"/>
    <w:rsid w:val="008E412B"/>
    <w:rsid w:val="008E455D"/>
    <w:rsid w:val="008E4757"/>
    <w:rsid w:val="008E4820"/>
    <w:rsid w:val="008E48EF"/>
    <w:rsid w:val="008E491D"/>
    <w:rsid w:val="008E4A2D"/>
    <w:rsid w:val="008E4B67"/>
    <w:rsid w:val="008E4DD0"/>
    <w:rsid w:val="008E4EE1"/>
    <w:rsid w:val="008E4F24"/>
    <w:rsid w:val="008E500B"/>
    <w:rsid w:val="008E524C"/>
    <w:rsid w:val="008E57A5"/>
    <w:rsid w:val="008E5803"/>
    <w:rsid w:val="008E581D"/>
    <w:rsid w:val="008E5C7C"/>
    <w:rsid w:val="008E5D74"/>
    <w:rsid w:val="008E5D7C"/>
    <w:rsid w:val="008E5DA8"/>
    <w:rsid w:val="008E5E20"/>
    <w:rsid w:val="008E60F2"/>
    <w:rsid w:val="008E6125"/>
    <w:rsid w:val="008E619B"/>
    <w:rsid w:val="008E646F"/>
    <w:rsid w:val="008E64BF"/>
    <w:rsid w:val="008E66A2"/>
    <w:rsid w:val="008E66C1"/>
    <w:rsid w:val="008E66EA"/>
    <w:rsid w:val="008E674B"/>
    <w:rsid w:val="008E6887"/>
    <w:rsid w:val="008E68D0"/>
    <w:rsid w:val="008E6903"/>
    <w:rsid w:val="008E6ABD"/>
    <w:rsid w:val="008E6B70"/>
    <w:rsid w:val="008E6BF4"/>
    <w:rsid w:val="008E6D5B"/>
    <w:rsid w:val="008E6FBB"/>
    <w:rsid w:val="008E701D"/>
    <w:rsid w:val="008E70C1"/>
    <w:rsid w:val="008E7115"/>
    <w:rsid w:val="008E7151"/>
    <w:rsid w:val="008E71FF"/>
    <w:rsid w:val="008E721F"/>
    <w:rsid w:val="008E72DB"/>
    <w:rsid w:val="008E7360"/>
    <w:rsid w:val="008E7438"/>
    <w:rsid w:val="008E7520"/>
    <w:rsid w:val="008E75E0"/>
    <w:rsid w:val="008E77FA"/>
    <w:rsid w:val="008E7D2C"/>
    <w:rsid w:val="008E7D3E"/>
    <w:rsid w:val="008E7F07"/>
    <w:rsid w:val="008F0096"/>
    <w:rsid w:val="008F00D7"/>
    <w:rsid w:val="008F0143"/>
    <w:rsid w:val="008F043A"/>
    <w:rsid w:val="008F057F"/>
    <w:rsid w:val="008F05BA"/>
    <w:rsid w:val="008F0615"/>
    <w:rsid w:val="008F0712"/>
    <w:rsid w:val="008F0946"/>
    <w:rsid w:val="008F09DF"/>
    <w:rsid w:val="008F0A7E"/>
    <w:rsid w:val="008F0AB0"/>
    <w:rsid w:val="008F0AFE"/>
    <w:rsid w:val="008F0B3D"/>
    <w:rsid w:val="008F0C12"/>
    <w:rsid w:val="008F0E43"/>
    <w:rsid w:val="008F0EC8"/>
    <w:rsid w:val="008F1072"/>
    <w:rsid w:val="008F10A5"/>
    <w:rsid w:val="008F10FA"/>
    <w:rsid w:val="008F1366"/>
    <w:rsid w:val="008F13DC"/>
    <w:rsid w:val="008F14D1"/>
    <w:rsid w:val="008F162F"/>
    <w:rsid w:val="008F173E"/>
    <w:rsid w:val="008F1794"/>
    <w:rsid w:val="008F1942"/>
    <w:rsid w:val="008F1A3A"/>
    <w:rsid w:val="008F1A62"/>
    <w:rsid w:val="008F1C07"/>
    <w:rsid w:val="008F1C42"/>
    <w:rsid w:val="008F1C55"/>
    <w:rsid w:val="008F1C95"/>
    <w:rsid w:val="008F1CA5"/>
    <w:rsid w:val="008F1CCC"/>
    <w:rsid w:val="008F1D2B"/>
    <w:rsid w:val="008F1E16"/>
    <w:rsid w:val="008F1F41"/>
    <w:rsid w:val="008F1F97"/>
    <w:rsid w:val="008F20C2"/>
    <w:rsid w:val="008F2214"/>
    <w:rsid w:val="008F223C"/>
    <w:rsid w:val="008F232E"/>
    <w:rsid w:val="008F2767"/>
    <w:rsid w:val="008F2798"/>
    <w:rsid w:val="008F27B8"/>
    <w:rsid w:val="008F27C2"/>
    <w:rsid w:val="008F2B4C"/>
    <w:rsid w:val="008F2B5A"/>
    <w:rsid w:val="008F2CC5"/>
    <w:rsid w:val="008F2DEC"/>
    <w:rsid w:val="008F3275"/>
    <w:rsid w:val="008F3357"/>
    <w:rsid w:val="008F335B"/>
    <w:rsid w:val="008F3414"/>
    <w:rsid w:val="008F344B"/>
    <w:rsid w:val="008F3498"/>
    <w:rsid w:val="008F3511"/>
    <w:rsid w:val="008F352F"/>
    <w:rsid w:val="008F3553"/>
    <w:rsid w:val="008F3647"/>
    <w:rsid w:val="008F3778"/>
    <w:rsid w:val="008F3786"/>
    <w:rsid w:val="008F39FB"/>
    <w:rsid w:val="008F3A78"/>
    <w:rsid w:val="008F3EA6"/>
    <w:rsid w:val="008F3EEB"/>
    <w:rsid w:val="008F3F2C"/>
    <w:rsid w:val="008F4112"/>
    <w:rsid w:val="008F4223"/>
    <w:rsid w:val="008F43B0"/>
    <w:rsid w:val="008F43B4"/>
    <w:rsid w:val="008F447E"/>
    <w:rsid w:val="008F449C"/>
    <w:rsid w:val="008F4698"/>
    <w:rsid w:val="008F4860"/>
    <w:rsid w:val="008F49D5"/>
    <w:rsid w:val="008F4B97"/>
    <w:rsid w:val="008F4C64"/>
    <w:rsid w:val="008F4C73"/>
    <w:rsid w:val="008F4E61"/>
    <w:rsid w:val="008F4EE5"/>
    <w:rsid w:val="008F5012"/>
    <w:rsid w:val="008F540A"/>
    <w:rsid w:val="008F5434"/>
    <w:rsid w:val="008F5499"/>
    <w:rsid w:val="008F55C1"/>
    <w:rsid w:val="008F56BC"/>
    <w:rsid w:val="008F57CD"/>
    <w:rsid w:val="008F5870"/>
    <w:rsid w:val="008F5987"/>
    <w:rsid w:val="008F5C82"/>
    <w:rsid w:val="008F5D30"/>
    <w:rsid w:val="008F5E46"/>
    <w:rsid w:val="008F5EAE"/>
    <w:rsid w:val="008F5F70"/>
    <w:rsid w:val="008F6160"/>
    <w:rsid w:val="008F61EA"/>
    <w:rsid w:val="008F6277"/>
    <w:rsid w:val="008F6360"/>
    <w:rsid w:val="008F6484"/>
    <w:rsid w:val="008F67C3"/>
    <w:rsid w:val="008F6BE5"/>
    <w:rsid w:val="008F6FAC"/>
    <w:rsid w:val="008F6FE6"/>
    <w:rsid w:val="008F707C"/>
    <w:rsid w:val="008F709E"/>
    <w:rsid w:val="008F72E6"/>
    <w:rsid w:val="008F7418"/>
    <w:rsid w:val="008F7643"/>
    <w:rsid w:val="008F7848"/>
    <w:rsid w:val="008F79BF"/>
    <w:rsid w:val="008F7A04"/>
    <w:rsid w:val="008F7B09"/>
    <w:rsid w:val="008F7BEE"/>
    <w:rsid w:val="008F7D7B"/>
    <w:rsid w:val="008F7F8E"/>
    <w:rsid w:val="00900058"/>
    <w:rsid w:val="009000D2"/>
    <w:rsid w:val="0090020C"/>
    <w:rsid w:val="0090032F"/>
    <w:rsid w:val="00900398"/>
    <w:rsid w:val="00900435"/>
    <w:rsid w:val="009007D4"/>
    <w:rsid w:val="00900915"/>
    <w:rsid w:val="00900BC8"/>
    <w:rsid w:val="00900D07"/>
    <w:rsid w:val="00900D8B"/>
    <w:rsid w:val="0090100D"/>
    <w:rsid w:val="00901026"/>
    <w:rsid w:val="0090107E"/>
    <w:rsid w:val="00901210"/>
    <w:rsid w:val="00901443"/>
    <w:rsid w:val="0090152C"/>
    <w:rsid w:val="00901606"/>
    <w:rsid w:val="00901841"/>
    <w:rsid w:val="00901884"/>
    <w:rsid w:val="00901894"/>
    <w:rsid w:val="0090189A"/>
    <w:rsid w:val="0090199D"/>
    <w:rsid w:val="009019D7"/>
    <w:rsid w:val="00901BA4"/>
    <w:rsid w:val="00901C9F"/>
    <w:rsid w:val="00901CB7"/>
    <w:rsid w:val="00901DEB"/>
    <w:rsid w:val="00901E22"/>
    <w:rsid w:val="00901E75"/>
    <w:rsid w:val="00901FCA"/>
    <w:rsid w:val="0090214B"/>
    <w:rsid w:val="00902220"/>
    <w:rsid w:val="009022E3"/>
    <w:rsid w:val="009025BC"/>
    <w:rsid w:val="0090268E"/>
    <w:rsid w:val="00902767"/>
    <w:rsid w:val="009028DE"/>
    <w:rsid w:val="00902A2B"/>
    <w:rsid w:val="00902D0B"/>
    <w:rsid w:val="00902DD2"/>
    <w:rsid w:val="00902EC5"/>
    <w:rsid w:val="009030CE"/>
    <w:rsid w:val="00903146"/>
    <w:rsid w:val="0090331F"/>
    <w:rsid w:val="00903614"/>
    <w:rsid w:val="00903625"/>
    <w:rsid w:val="009036E8"/>
    <w:rsid w:val="00903809"/>
    <w:rsid w:val="00903AA3"/>
    <w:rsid w:val="00903ACC"/>
    <w:rsid w:val="00903BA5"/>
    <w:rsid w:val="00903BB7"/>
    <w:rsid w:val="00903BC7"/>
    <w:rsid w:val="00904114"/>
    <w:rsid w:val="00904145"/>
    <w:rsid w:val="009041E4"/>
    <w:rsid w:val="00904205"/>
    <w:rsid w:val="0090433F"/>
    <w:rsid w:val="009043BC"/>
    <w:rsid w:val="009043F2"/>
    <w:rsid w:val="0090445C"/>
    <w:rsid w:val="009046BA"/>
    <w:rsid w:val="009046E0"/>
    <w:rsid w:val="009046EF"/>
    <w:rsid w:val="00904713"/>
    <w:rsid w:val="00904832"/>
    <w:rsid w:val="009048B2"/>
    <w:rsid w:val="00904957"/>
    <w:rsid w:val="00904C0E"/>
    <w:rsid w:val="00904C64"/>
    <w:rsid w:val="00904C75"/>
    <w:rsid w:val="00904C77"/>
    <w:rsid w:val="00904D31"/>
    <w:rsid w:val="00904D89"/>
    <w:rsid w:val="00904EBA"/>
    <w:rsid w:val="00904F02"/>
    <w:rsid w:val="00904F28"/>
    <w:rsid w:val="00904FCE"/>
    <w:rsid w:val="00905260"/>
    <w:rsid w:val="009056BF"/>
    <w:rsid w:val="00905732"/>
    <w:rsid w:val="0090597C"/>
    <w:rsid w:val="00905A9B"/>
    <w:rsid w:val="00905BDD"/>
    <w:rsid w:val="00905C99"/>
    <w:rsid w:val="00905EB9"/>
    <w:rsid w:val="00905F89"/>
    <w:rsid w:val="00906207"/>
    <w:rsid w:val="00906309"/>
    <w:rsid w:val="009063D5"/>
    <w:rsid w:val="00906495"/>
    <w:rsid w:val="009064B5"/>
    <w:rsid w:val="009064E2"/>
    <w:rsid w:val="009065F5"/>
    <w:rsid w:val="009066CD"/>
    <w:rsid w:val="00906934"/>
    <w:rsid w:val="009069ED"/>
    <w:rsid w:val="00906A0F"/>
    <w:rsid w:val="00906C98"/>
    <w:rsid w:val="00906CCE"/>
    <w:rsid w:val="00906D08"/>
    <w:rsid w:val="00906E75"/>
    <w:rsid w:val="0090709B"/>
    <w:rsid w:val="009072A6"/>
    <w:rsid w:val="0090739D"/>
    <w:rsid w:val="00907449"/>
    <w:rsid w:val="009074A7"/>
    <w:rsid w:val="0090764D"/>
    <w:rsid w:val="009076A9"/>
    <w:rsid w:val="00907708"/>
    <w:rsid w:val="009079DE"/>
    <w:rsid w:val="00907A01"/>
    <w:rsid w:val="00907A02"/>
    <w:rsid w:val="00907B16"/>
    <w:rsid w:val="00907C0E"/>
    <w:rsid w:val="00907DC3"/>
    <w:rsid w:val="00907DE3"/>
    <w:rsid w:val="00907E71"/>
    <w:rsid w:val="00907E78"/>
    <w:rsid w:val="00907F53"/>
    <w:rsid w:val="00907FC4"/>
    <w:rsid w:val="00907FE7"/>
    <w:rsid w:val="0091009A"/>
    <w:rsid w:val="00910171"/>
    <w:rsid w:val="009101DA"/>
    <w:rsid w:val="00910242"/>
    <w:rsid w:val="0091037A"/>
    <w:rsid w:val="0091037D"/>
    <w:rsid w:val="00910409"/>
    <w:rsid w:val="00910B81"/>
    <w:rsid w:val="00910C21"/>
    <w:rsid w:val="00910D74"/>
    <w:rsid w:val="00910DFA"/>
    <w:rsid w:val="00910EB0"/>
    <w:rsid w:val="00911435"/>
    <w:rsid w:val="0091145C"/>
    <w:rsid w:val="009114B1"/>
    <w:rsid w:val="00911588"/>
    <w:rsid w:val="0091173C"/>
    <w:rsid w:val="009117D0"/>
    <w:rsid w:val="009117FF"/>
    <w:rsid w:val="00911A92"/>
    <w:rsid w:val="00911C43"/>
    <w:rsid w:val="00911DDF"/>
    <w:rsid w:val="00911EBB"/>
    <w:rsid w:val="00911EBC"/>
    <w:rsid w:val="00911EC1"/>
    <w:rsid w:val="00911F01"/>
    <w:rsid w:val="00911FF7"/>
    <w:rsid w:val="009120C1"/>
    <w:rsid w:val="009120C4"/>
    <w:rsid w:val="00912177"/>
    <w:rsid w:val="00912305"/>
    <w:rsid w:val="00912506"/>
    <w:rsid w:val="00912744"/>
    <w:rsid w:val="00912A3B"/>
    <w:rsid w:val="00912A74"/>
    <w:rsid w:val="00912AFF"/>
    <w:rsid w:val="00912B64"/>
    <w:rsid w:val="00912D54"/>
    <w:rsid w:val="00912E18"/>
    <w:rsid w:val="00912E2D"/>
    <w:rsid w:val="00912E45"/>
    <w:rsid w:val="00912E9F"/>
    <w:rsid w:val="00912F17"/>
    <w:rsid w:val="009130BC"/>
    <w:rsid w:val="009131FD"/>
    <w:rsid w:val="009133BB"/>
    <w:rsid w:val="00913537"/>
    <w:rsid w:val="00913645"/>
    <w:rsid w:val="009137F6"/>
    <w:rsid w:val="00913889"/>
    <w:rsid w:val="0091391E"/>
    <w:rsid w:val="0091399F"/>
    <w:rsid w:val="00913AE1"/>
    <w:rsid w:val="00913B34"/>
    <w:rsid w:val="00913C59"/>
    <w:rsid w:val="00913C99"/>
    <w:rsid w:val="00913E8F"/>
    <w:rsid w:val="00913F78"/>
    <w:rsid w:val="00914214"/>
    <w:rsid w:val="00914230"/>
    <w:rsid w:val="009143B7"/>
    <w:rsid w:val="009143EC"/>
    <w:rsid w:val="009143F1"/>
    <w:rsid w:val="00914821"/>
    <w:rsid w:val="0091489B"/>
    <w:rsid w:val="00914920"/>
    <w:rsid w:val="009149F6"/>
    <w:rsid w:val="00914A2E"/>
    <w:rsid w:val="00914A86"/>
    <w:rsid w:val="00914B40"/>
    <w:rsid w:val="00914DF0"/>
    <w:rsid w:val="00914EAD"/>
    <w:rsid w:val="00914ED8"/>
    <w:rsid w:val="00914EE3"/>
    <w:rsid w:val="00914FA1"/>
    <w:rsid w:val="00914FAE"/>
    <w:rsid w:val="00914FBF"/>
    <w:rsid w:val="009150AC"/>
    <w:rsid w:val="009150C8"/>
    <w:rsid w:val="00915338"/>
    <w:rsid w:val="00915390"/>
    <w:rsid w:val="009153A7"/>
    <w:rsid w:val="009153E3"/>
    <w:rsid w:val="009154B1"/>
    <w:rsid w:val="00915576"/>
    <w:rsid w:val="009158A7"/>
    <w:rsid w:val="00915992"/>
    <w:rsid w:val="00915A1D"/>
    <w:rsid w:val="00915BBB"/>
    <w:rsid w:val="00915D0E"/>
    <w:rsid w:val="00915FA9"/>
    <w:rsid w:val="00916262"/>
    <w:rsid w:val="0091640F"/>
    <w:rsid w:val="009164B2"/>
    <w:rsid w:val="00916527"/>
    <w:rsid w:val="0091658D"/>
    <w:rsid w:val="009168C8"/>
    <w:rsid w:val="009168FA"/>
    <w:rsid w:val="00916975"/>
    <w:rsid w:val="00916990"/>
    <w:rsid w:val="00916A02"/>
    <w:rsid w:val="00916A41"/>
    <w:rsid w:val="00916B84"/>
    <w:rsid w:val="00916BDD"/>
    <w:rsid w:val="00916C34"/>
    <w:rsid w:val="00916CE1"/>
    <w:rsid w:val="00916D0F"/>
    <w:rsid w:val="00916D51"/>
    <w:rsid w:val="00916EA1"/>
    <w:rsid w:val="00916EB4"/>
    <w:rsid w:val="00916F4A"/>
    <w:rsid w:val="00916FED"/>
    <w:rsid w:val="00917120"/>
    <w:rsid w:val="00917248"/>
    <w:rsid w:val="009172D5"/>
    <w:rsid w:val="00917336"/>
    <w:rsid w:val="0091767E"/>
    <w:rsid w:val="0091769C"/>
    <w:rsid w:val="00917934"/>
    <w:rsid w:val="00917AF3"/>
    <w:rsid w:val="00917B69"/>
    <w:rsid w:val="00917C7A"/>
    <w:rsid w:val="00917C84"/>
    <w:rsid w:val="00917CE9"/>
    <w:rsid w:val="00917EFA"/>
    <w:rsid w:val="00917FAF"/>
    <w:rsid w:val="009200B9"/>
    <w:rsid w:val="009200EB"/>
    <w:rsid w:val="0092011F"/>
    <w:rsid w:val="0092057F"/>
    <w:rsid w:val="00920642"/>
    <w:rsid w:val="00920652"/>
    <w:rsid w:val="00920802"/>
    <w:rsid w:val="00920851"/>
    <w:rsid w:val="00920869"/>
    <w:rsid w:val="0092088B"/>
    <w:rsid w:val="0092094A"/>
    <w:rsid w:val="00920A2F"/>
    <w:rsid w:val="00920C2A"/>
    <w:rsid w:val="00920D2F"/>
    <w:rsid w:val="00920DD8"/>
    <w:rsid w:val="00921119"/>
    <w:rsid w:val="009211F8"/>
    <w:rsid w:val="00921256"/>
    <w:rsid w:val="009213A8"/>
    <w:rsid w:val="009215E5"/>
    <w:rsid w:val="0092162F"/>
    <w:rsid w:val="00921632"/>
    <w:rsid w:val="009217B9"/>
    <w:rsid w:val="009217EC"/>
    <w:rsid w:val="0092184F"/>
    <w:rsid w:val="00921882"/>
    <w:rsid w:val="009218F9"/>
    <w:rsid w:val="00921936"/>
    <w:rsid w:val="00921AB7"/>
    <w:rsid w:val="00921BB7"/>
    <w:rsid w:val="00921DCF"/>
    <w:rsid w:val="00921E02"/>
    <w:rsid w:val="00922096"/>
    <w:rsid w:val="009220E8"/>
    <w:rsid w:val="00922101"/>
    <w:rsid w:val="00922212"/>
    <w:rsid w:val="0092238F"/>
    <w:rsid w:val="0092276C"/>
    <w:rsid w:val="00922A37"/>
    <w:rsid w:val="00922B6D"/>
    <w:rsid w:val="00922C4E"/>
    <w:rsid w:val="00922C5F"/>
    <w:rsid w:val="00922CF1"/>
    <w:rsid w:val="00922D4B"/>
    <w:rsid w:val="00922DFA"/>
    <w:rsid w:val="00923028"/>
    <w:rsid w:val="0092306A"/>
    <w:rsid w:val="00923369"/>
    <w:rsid w:val="009234E6"/>
    <w:rsid w:val="009235D8"/>
    <w:rsid w:val="00923606"/>
    <w:rsid w:val="00923636"/>
    <w:rsid w:val="009237A4"/>
    <w:rsid w:val="00923814"/>
    <w:rsid w:val="00923844"/>
    <w:rsid w:val="009238A0"/>
    <w:rsid w:val="00923992"/>
    <w:rsid w:val="00923BE0"/>
    <w:rsid w:val="00923D13"/>
    <w:rsid w:val="00923DA4"/>
    <w:rsid w:val="00923E48"/>
    <w:rsid w:val="00923F1B"/>
    <w:rsid w:val="00923FEE"/>
    <w:rsid w:val="00924091"/>
    <w:rsid w:val="00924156"/>
    <w:rsid w:val="00924256"/>
    <w:rsid w:val="0092428E"/>
    <w:rsid w:val="0092430A"/>
    <w:rsid w:val="009243F3"/>
    <w:rsid w:val="00924425"/>
    <w:rsid w:val="0092455A"/>
    <w:rsid w:val="009247B1"/>
    <w:rsid w:val="009247C4"/>
    <w:rsid w:val="0092481B"/>
    <w:rsid w:val="00924A66"/>
    <w:rsid w:val="00924C1E"/>
    <w:rsid w:val="00924CBD"/>
    <w:rsid w:val="009251A6"/>
    <w:rsid w:val="009252EC"/>
    <w:rsid w:val="00925414"/>
    <w:rsid w:val="00925453"/>
    <w:rsid w:val="00925520"/>
    <w:rsid w:val="009256E2"/>
    <w:rsid w:val="00925750"/>
    <w:rsid w:val="0092584D"/>
    <w:rsid w:val="00925878"/>
    <w:rsid w:val="00925A09"/>
    <w:rsid w:val="00925A6C"/>
    <w:rsid w:val="00925BF9"/>
    <w:rsid w:val="00925EF1"/>
    <w:rsid w:val="009260CE"/>
    <w:rsid w:val="00926233"/>
    <w:rsid w:val="00926386"/>
    <w:rsid w:val="00926403"/>
    <w:rsid w:val="00926819"/>
    <w:rsid w:val="009268AB"/>
    <w:rsid w:val="00926987"/>
    <w:rsid w:val="0092699D"/>
    <w:rsid w:val="00926A3E"/>
    <w:rsid w:val="00926B93"/>
    <w:rsid w:val="00926BB4"/>
    <w:rsid w:val="00926CB6"/>
    <w:rsid w:val="00926D90"/>
    <w:rsid w:val="00926E74"/>
    <w:rsid w:val="00927138"/>
    <w:rsid w:val="00927246"/>
    <w:rsid w:val="009276B4"/>
    <w:rsid w:val="00927758"/>
    <w:rsid w:val="009278A4"/>
    <w:rsid w:val="00927A15"/>
    <w:rsid w:val="00927C9D"/>
    <w:rsid w:val="00927DDD"/>
    <w:rsid w:val="00927E33"/>
    <w:rsid w:val="00927EF2"/>
    <w:rsid w:val="00927F2B"/>
    <w:rsid w:val="00930032"/>
    <w:rsid w:val="00930099"/>
    <w:rsid w:val="0093009C"/>
    <w:rsid w:val="009301AD"/>
    <w:rsid w:val="009301C4"/>
    <w:rsid w:val="009301F6"/>
    <w:rsid w:val="0093025E"/>
    <w:rsid w:val="0093028F"/>
    <w:rsid w:val="009303A7"/>
    <w:rsid w:val="009303F3"/>
    <w:rsid w:val="00930441"/>
    <w:rsid w:val="00930595"/>
    <w:rsid w:val="009306DC"/>
    <w:rsid w:val="00930802"/>
    <w:rsid w:val="00930855"/>
    <w:rsid w:val="009309D0"/>
    <w:rsid w:val="00930A6F"/>
    <w:rsid w:val="00930C0D"/>
    <w:rsid w:val="00930CC3"/>
    <w:rsid w:val="00930E59"/>
    <w:rsid w:val="00930F0D"/>
    <w:rsid w:val="00930F2B"/>
    <w:rsid w:val="00931004"/>
    <w:rsid w:val="009310A4"/>
    <w:rsid w:val="009315C0"/>
    <w:rsid w:val="009315E4"/>
    <w:rsid w:val="00931882"/>
    <w:rsid w:val="009318CF"/>
    <w:rsid w:val="00931AEE"/>
    <w:rsid w:val="00931B3D"/>
    <w:rsid w:val="00931B9B"/>
    <w:rsid w:val="00931D75"/>
    <w:rsid w:val="00931D98"/>
    <w:rsid w:val="009320AB"/>
    <w:rsid w:val="00932109"/>
    <w:rsid w:val="00932118"/>
    <w:rsid w:val="009321C9"/>
    <w:rsid w:val="009321E9"/>
    <w:rsid w:val="0093227A"/>
    <w:rsid w:val="009322CE"/>
    <w:rsid w:val="0093247C"/>
    <w:rsid w:val="00932495"/>
    <w:rsid w:val="009325F5"/>
    <w:rsid w:val="00932643"/>
    <w:rsid w:val="009326F9"/>
    <w:rsid w:val="00932863"/>
    <w:rsid w:val="009329FC"/>
    <w:rsid w:val="00932A2E"/>
    <w:rsid w:val="00932AED"/>
    <w:rsid w:val="00932AF6"/>
    <w:rsid w:val="00932B8F"/>
    <w:rsid w:val="00932BAB"/>
    <w:rsid w:val="00932CCD"/>
    <w:rsid w:val="00932D4D"/>
    <w:rsid w:val="00932DAC"/>
    <w:rsid w:val="00932DD5"/>
    <w:rsid w:val="00932FBC"/>
    <w:rsid w:val="00932FCF"/>
    <w:rsid w:val="009332CB"/>
    <w:rsid w:val="009333E8"/>
    <w:rsid w:val="0093360B"/>
    <w:rsid w:val="00933637"/>
    <w:rsid w:val="00933662"/>
    <w:rsid w:val="00933697"/>
    <w:rsid w:val="00933A98"/>
    <w:rsid w:val="00933ACC"/>
    <w:rsid w:val="00933BD9"/>
    <w:rsid w:val="00933D3C"/>
    <w:rsid w:val="00933D8D"/>
    <w:rsid w:val="00933E9F"/>
    <w:rsid w:val="00933F7A"/>
    <w:rsid w:val="00934185"/>
    <w:rsid w:val="0093426F"/>
    <w:rsid w:val="009344E2"/>
    <w:rsid w:val="00934635"/>
    <w:rsid w:val="009347AB"/>
    <w:rsid w:val="00934857"/>
    <w:rsid w:val="0093489F"/>
    <w:rsid w:val="009348D1"/>
    <w:rsid w:val="00934B14"/>
    <w:rsid w:val="00934C8F"/>
    <w:rsid w:val="00934FBD"/>
    <w:rsid w:val="00934FC7"/>
    <w:rsid w:val="0093500B"/>
    <w:rsid w:val="00935029"/>
    <w:rsid w:val="0093519B"/>
    <w:rsid w:val="009351D4"/>
    <w:rsid w:val="00935302"/>
    <w:rsid w:val="009353D3"/>
    <w:rsid w:val="009353D9"/>
    <w:rsid w:val="009356B9"/>
    <w:rsid w:val="00935781"/>
    <w:rsid w:val="009358B1"/>
    <w:rsid w:val="00935995"/>
    <w:rsid w:val="00935B2A"/>
    <w:rsid w:val="00935BEF"/>
    <w:rsid w:val="00935DF4"/>
    <w:rsid w:val="00935E21"/>
    <w:rsid w:val="00935E9A"/>
    <w:rsid w:val="00935F69"/>
    <w:rsid w:val="00935FD9"/>
    <w:rsid w:val="009361E9"/>
    <w:rsid w:val="0093626E"/>
    <w:rsid w:val="00936309"/>
    <w:rsid w:val="009363AD"/>
    <w:rsid w:val="00936526"/>
    <w:rsid w:val="00936569"/>
    <w:rsid w:val="009365D8"/>
    <w:rsid w:val="0093661E"/>
    <w:rsid w:val="00936625"/>
    <w:rsid w:val="0093663F"/>
    <w:rsid w:val="0093674F"/>
    <w:rsid w:val="009367B0"/>
    <w:rsid w:val="00936919"/>
    <w:rsid w:val="00936A77"/>
    <w:rsid w:val="00936B3D"/>
    <w:rsid w:val="00936D84"/>
    <w:rsid w:val="00936E38"/>
    <w:rsid w:val="00936E6C"/>
    <w:rsid w:val="00936EF9"/>
    <w:rsid w:val="00936F49"/>
    <w:rsid w:val="00936F8E"/>
    <w:rsid w:val="0093707B"/>
    <w:rsid w:val="0093745C"/>
    <w:rsid w:val="009374B3"/>
    <w:rsid w:val="00937530"/>
    <w:rsid w:val="00937671"/>
    <w:rsid w:val="009376E7"/>
    <w:rsid w:val="0093774D"/>
    <w:rsid w:val="00937A55"/>
    <w:rsid w:val="00937AAF"/>
    <w:rsid w:val="00937B48"/>
    <w:rsid w:val="00937B62"/>
    <w:rsid w:val="00937C5F"/>
    <w:rsid w:val="00937D75"/>
    <w:rsid w:val="00937E09"/>
    <w:rsid w:val="00937E33"/>
    <w:rsid w:val="00937F48"/>
    <w:rsid w:val="00937FB0"/>
    <w:rsid w:val="00937FEC"/>
    <w:rsid w:val="00940077"/>
    <w:rsid w:val="009402A4"/>
    <w:rsid w:val="00940401"/>
    <w:rsid w:val="00940432"/>
    <w:rsid w:val="00940561"/>
    <w:rsid w:val="00940614"/>
    <w:rsid w:val="009407F5"/>
    <w:rsid w:val="009409C0"/>
    <w:rsid w:val="00940B36"/>
    <w:rsid w:val="00940B91"/>
    <w:rsid w:val="00940E7A"/>
    <w:rsid w:val="00940EE5"/>
    <w:rsid w:val="00940F84"/>
    <w:rsid w:val="009410CD"/>
    <w:rsid w:val="009412BF"/>
    <w:rsid w:val="0094130C"/>
    <w:rsid w:val="009413E5"/>
    <w:rsid w:val="009413F4"/>
    <w:rsid w:val="00941425"/>
    <w:rsid w:val="00941499"/>
    <w:rsid w:val="0094157D"/>
    <w:rsid w:val="009415FE"/>
    <w:rsid w:val="009417E2"/>
    <w:rsid w:val="00941B42"/>
    <w:rsid w:val="00941BEE"/>
    <w:rsid w:val="00941C0A"/>
    <w:rsid w:val="00941FCE"/>
    <w:rsid w:val="00941FD1"/>
    <w:rsid w:val="0094216A"/>
    <w:rsid w:val="009421F3"/>
    <w:rsid w:val="009422CB"/>
    <w:rsid w:val="0094241B"/>
    <w:rsid w:val="009425C2"/>
    <w:rsid w:val="009425FB"/>
    <w:rsid w:val="009426C0"/>
    <w:rsid w:val="00942756"/>
    <w:rsid w:val="009428C9"/>
    <w:rsid w:val="009429EE"/>
    <w:rsid w:val="00942A0F"/>
    <w:rsid w:val="00942B15"/>
    <w:rsid w:val="00942B70"/>
    <w:rsid w:val="00942BA7"/>
    <w:rsid w:val="00942C37"/>
    <w:rsid w:val="00942DD6"/>
    <w:rsid w:val="0094304E"/>
    <w:rsid w:val="00943138"/>
    <w:rsid w:val="00943310"/>
    <w:rsid w:val="00943346"/>
    <w:rsid w:val="009435EF"/>
    <w:rsid w:val="0094376C"/>
    <w:rsid w:val="00943881"/>
    <w:rsid w:val="00943A64"/>
    <w:rsid w:val="00943BDC"/>
    <w:rsid w:val="0094400A"/>
    <w:rsid w:val="00944042"/>
    <w:rsid w:val="009440D7"/>
    <w:rsid w:val="00944340"/>
    <w:rsid w:val="009443B5"/>
    <w:rsid w:val="009443CF"/>
    <w:rsid w:val="009443E4"/>
    <w:rsid w:val="00944583"/>
    <w:rsid w:val="009445CA"/>
    <w:rsid w:val="009446CA"/>
    <w:rsid w:val="009446F2"/>
    <w:rsid w:val="0094478E"/>
    <w:rsid w:val="0094486A"/>
    <w:rsid w:val="0094494A"/>
    <w:rsid w:val="00944A3B"/>
    <w:rsid w:val="00944A5A"/>
    <w:rsid w:val="00944AF6"/>
    <w:rsid w:val="00944C37"/>
    <w:rsid w:val="00944C4F"/>
    <w:rsid w:val="00944D43"/>
    <w:rsid w:val="00944E16"/>
    <w:rsid w:val="00944EB1"/>
    <w:rsid w:val="00944F3F"/>
    <w:rsid w:val="00944FDB"/>
    <w:rsid w:val="009450AE"/>
    <w:rsid w:val="009452DE"/>
    <w:rsid w:val="00945339"/>
    <w:rsid w:val="00945362"/>
    <w:rsid w:val="00945729"/>
    <w:rsid w:val="0094593A"/>
    <w:rsid w:val="00945C27"/>
    <w:rsid w:val="00945D7C"/>
    <w:rsid w:val="00945DE8"/>
    <w:rsid w:val="00945ED3"/>
    <w:rsid w:val="00945F1A"/>
    <w:rsid w:val="00945F44"/>
    <w:rsid w:val="00945F4E"/>
    <w:rsid w:val="00945F86"/>
    <w:rsid w:val="0094604B"/>
    <w:rsid w:val="009460EB"/>
    <w:rsid w:val="00946404"/>
    <w:rsid w:val="009465DA"/>
    <w:rsid w:val="009465F4"/>
    <w:rsid w:val="0094663A"/>
    <w:rsid w:val="0094671B"/>
    <w:rsid w:val="009467BE"/>
    <w:rsid w:val="009468A6"/>
    <w:rsid w:val="009468C6"/>
    <w:rsid w:val="00946989"/>
    <w:rsid w:val="0094699B"/>
    <w:rsid w:val="00946A3E"/>
    <w:rsid w:val="00946A41"/>
    <w:rsid w:val="00946A52"/>
    <w:rsid w:val="00946BDD"/>
    <w:rsid w:val="00946C7C"/>
    <w:rsid w:val="00946D17"/>
    <w:rsid w:val="00946D4B"/>
    <w:rsid w:val="00946E05"/>
    <w:rsid w:val="00946FEF"/>
    <w:rsid w:val="0094700B"/>
    <w:rsid w:val="00947166"/>
    <w:rsid w:val="00947263"/>
    <w:rsid w:val="009472C4"/>
    <w:rsid w:val="00947328"/>
    <w:rsid w:val="0094743F"/>
    <w:rsid w:val="00947477"/>
    <w:rsid w:val="00947481"/>
    <w:rsid w:val="0094751E"/>
    <w:rsid w:val="00947865"/>
    <w:rsid w:val="00947C79"/>
    <w:rsid w:val="00947CDB"/>
    <w:rsid w:val="00947D08"/>
    <w:rsid w:val="00947F91"/>
    <w:rsid w:val="00947FA0"/>
    <w:rsid w:val="0095015B"/>
    <w:rsid w:val="0095015F"/>
    <w:rsid w:val="0095016F"/>
    <w:rsid w:val="009501A9"/>
    <w:rsid w:val="00950215"/>
    <w:rsid w:val="00950246"/>
    <w:rsid w:val="00950430"/>
    <w:rsid w:val="0095046C"/>
    <w:rsid w:val="009505D2"/>
    <w:rsid w:val="00950696"/>
    <w:rsid w:val="009507D7"/>
    <w:rsid w:val="00950820"/>
    <w:rsid w:val="00950849"/>
    <w:rsid w:val="009508CF"/>
    <w:rsid w:val="0095090B"/>
    <w:rsid w:val="009509B6"/>
    <w:rsid w:val="00950A7A"/>
    <w:rsid w:val="00950AEF"/>
    <w:rsid w:val="00950C4E"/>
    <w:rsid w:val="00950C61"/>
    <w:rsid w:val="00950CE8"/>
    <w:rsid w:val="00950E33"/>
    <w:rsid w:val="00951043"/>
    <w:rsid w:val="0095110C"/>
    <w:rsid w:val="0095112D"/>
    <w:rsid w:val="009512C3"/>
    <w:rsid w:val="009513AC"/>
    <w:rsid w:val="009513C8"/>
    <w:rsid w:val="009513CC"/>
    <w:rsid w:val="0095175C"/>
    <w:rsid w:val="009518E2"/>
    <w:rsid w:val="00951948"/>
    <w:rsid w:val="009519D1"/>
    <w:rsid w:val="009519E5"/>
    <w:rsid w:val="00951AED"/>
    <w:rsid w:val="00951E3B"/>
    <w:rsid w:val="00951EF5"/>
    <w:rsid w:val="00951F34"/>
    <w:rsid w:val="00952038"/>
    <w:rsid w:val="009521A4"/>
    <w:rsid w:val="0095223D"/>
    <w:rsid w:val="00952588"/>
    <w:rsid w:val="0095283D"/>
    <w:rsid w:val="00952C59"/>
    <w:rsid w:val="00952E8C"/>
    <w:rsid w:val="00952F2A"/>
    <w:rsid w:val="00952F51"/>
    <w:rsid w:val="00952FC0"/>
    <w:rsid w:val="00953088"/>
    <w:rsid w:val="0095312F"/>
    <w:rsid w:val="0095314C"/>
    <w:rsid w:val="009532EC"/>
    <w:rsid w:val="0095334C"/>
    <w:rsid w:val="0095358F"/>
    <w:rsid w:val="009536A4"/>
    <w:rsid w:val="009536B9"/>
    <w:rsid w:val="00953879"/>
    <w:rsid w:val="009539D3"/>
    <w:rsid w:val="00953A52"/>
    <w:rsid w:val="00953C80"/>
    <w:rsid w:val="00953CA0"/>
    <w:rsid w:val="00953D29"/>
    <w:rsid w:val="00953ED1"/>
    <w:rsid w:val="00954122"/>
    <w:rsid w:val="00954215"/>
    <w:rsid w:val="009542DD"/>
    <w:rsid w:val="009542F1"/>
    <w:rsid w:val="0095442D"/>
    <w:rsid w:val="009544F0"/>
    <w:rsid w:val="00954559"/>
    <w:rsid w:val="00954735"/>
    <w:rsid w:val="009547DD"/>
    <w:rsid w:val="009547E4"/>
    <w:rsid w:val="00954A60"/>
    <w:rsid w:val="00954CCB"/>
    <w:rsid w:val="00954DE0"/>
    <w:rsid w:val="00954E1C"/>
    <w:rsid w:val="00954ED6"/>
    <w:rsid w:val="00954F40"/>
    <w:rsid w:val="00955034"/>
    <w:rsid w:val="009550E8"/>
    <w:rsid w:val="0095516E"/>
    <w:rsid w:val="009551D3"/>
    <w:rsid w:val="0095529B"/>
    <w:rsid w:val="009553AC"/>
    <w:rsid w:val="0095549C"/>
    <w:rsid w:val="00955535"/>
    <w:rsid w:val="0095565E"/>
    <w:rsid w:val="00955745"/>
    <w:rsid w:val="009557F3"/>
    <w:rsid w:val="00955822"/>
    <w:rsid w:val="00955966"/>
    <w:rsid w:val="009559D0"/>
    <w:rsid w:val="00955A3E"/>
    <w:rsid w:val="00955A5B"/>
    <w:rsid w:val="00955D99"/>
    <w:rsid w:val="00955DF7"/>
    <w:rsid w:val="00955F1A"/>
    <w:rsid w:val="00955FBD"/>
    <w:rsid w:val="00955FD4"/>
    <w:rsid w:val="0095620B"/>
    <w:rsid w:val="00956273"/>
    <w:rsid w:val="009565A8"/>
    <w:rsid w:val="009565BC"/>
    <w:rsid w:val="0095678D"/>
    <w:rsid w:val="00956831"/>
    <w:rsid w:val="00956972"/>
    <w:rsid w:val="00956B56"/>
    <w:rsid w:val="00956B6D"/>
    <w:rsid w:val="00956BAF"/>
    <w:rsid w:val="00956BEA"/>
    <w:rsid w:val="00956E5E"/>
    <w:rsid w:val="00956E8D"/>
    <w:rsid w:val="00956F99"/>
    <w:rsid w:val="009570B3"/>
    <w:rsid w:val="0095714C"/>
    <w:rsid w:val="009571A6"/>
    <w:rsid w:val="00957236"/>
    <w:rsid w:val="0095728C"/>
    <w:rsid w:val="0095746B"/>
    <w:rsid w:val="00957561"/>
    <w:rsid w:val="009575B3"/>
    <w:rsid w:val="0095766F"/>
    <w:rsid w:val="009576AD"/>
    <w:rsid w:val="009576E9"/>
    <w:rsid w:val="009578D4"/>
    <w:rsid w:val="00957B5B"/>
    <w:rsid w:val="00957B5C"/>
    <w:rsid w:val="00957D0C"/>
    <w:rsid w:val="00957DD6"/>
    <w:rsid w:val="00957E7A"/>
    <w:rsid w:val="00957EB7"/>
    <w:rsid w:val="0095F850"/>
    <w:rsid w:val="0096001B"/>
    <w:rsid w:val="00960109"/>
    <w:rsid w:val="0096013F"/>
    <w:rsid w:val="009601C7"/>
    <w:rsid w:val="0096048D"/>
    <w:rsid w:val="00960548"/>
    <w:rsid w:val="009605C9"/>
    <w:rsid w:val="00960724"/>
    <w:rsid w:val="0096074D"/>
    <w:rsid w:val="00960758"/>
    <w:rsid w:val="009607E1"/>
    <w:rsid w:val="009608FA"/>
    <w:rsid w:val="00960A10"/>
    <w:rsid w:val="00960A90"/>
    <w:rsid w:val="00960D07"/>
    <w:rsid w:val="00960D92"/>
    <w:rsid w:val="00960FA4"/>
    <w:rsid w:val="0096101D"/>
    <w:rsid w:val="0096104A"/>
    <w:rsid w:val="009611E3"/>
    <w:rsid w:val="0096121F"/>
    <w:rsid w:val="009612CF"/>
    <w:rsid w:val="0096131D"/>
    <w:rsid w:val="00961332"/>
    <w:rsid w:val="00961381"/>
    <w:rsid w:val="009613F8"/>
    <w:rsid w:val="009615E5"/>
    <w:rsid w:val="0096172F"/>
    <w:rsid w:val="00961895"/>
    <w:rsid w:val="009618A5"/>
    <w:rsid w:val="00961A29"/>
    <w:rsid w:val="00961AF1"/>
    <w:rsid w:val="00961B2B"/>
    <w:rsid w:val="00961C84"/>
    <w:rsid w:val="00961C88"/>
    <w:rsid w:val="00961CAD"/>
    <w:rsid w:val="00961D63"/>
    <w:rsid w:val="00961D99"/>
    <w:rsid w:val="00961DAD"/>
    <w:rsid w:val="00962247"/>
    <w:rsid w:val="0096236D"/>
    <w:rsid w:val="009624B4"/>
    <w:rsid w:val="00962512"/>
    <w:rsid w:val="0096252A"/>
    <w:rsid w:val="0096272B"/>
    <w:rsid w:val="00962751"/>
    <w:rsid w:val="00962755"/>
    <w:rsid w:val="009627C3"/>
    <w:rsid w:val="009627EC"/>
    <w:rsid w:val="00962938"/>
    <w:rsid w:val="0096294B"/>
    <w:rsid w:val="00962A7C"/>
    <w:rsid w:val="00962A8B"/>
    <w:rsid w:val="00962ABD"/>
    <w:rsid w:val="00962B76"/>
    <w:rsid w:val="00962C78"/>
    <w:rsid w:val="00962D57"/>
    <w:rsid w:val="00962F42"/>
    <w:rsid w:val="00962FCB"/>
    <w:rsid w:val="009630C2"/>
    <w:rsid w:val="00963240"/>
    <w:rsid w:val="0096333A"/>
    <w:rsid w:val="009634AC"/>
    <w:rsid w:val="009635E9"/>
    <w:rsid w:val="0096370E"/>
    <w:rsid w:val="0096381D"/>
    <w:rsid w:val="00963918"/>
    <w:rsid w:val="0096391A"/>
    <w:rsid w:val="009639A1"/>
    <w:rsid w:val="00963A51"/>
    <w:rsid w:val="00963C6A"/>
    <w:rsid w:val="009640FB"/>
    <w:rsid w:val="009642CE"/>
    <w:rsid w:val="0096432E"/>
    <w:rsid w:val="00964339"/>
    <w:rsid w:val="00964382"/>
    <w:rsid w:val="00964471"/>
    <w:rsid w:val="00964489"/>
    <w:rsid w:val="00964578"/>
    <w:rsid w:val="009645A8"/>
    <w:rsid w:val="00964602"/>
    <w:rsid w:val="0096464B"/>
    <w:rsid w:val="00964853"/>
    <w:rsid w:val="009648E4"/>
    <w:rsid w:val="00964AC0"/>
    <w:rsid w:val="00964AC1"/>
    <w:rsid w:val="00964CBC"/>
    <w:rsid w:val="00964CD6"/>
    <w:rsid w:val="00964F42"/>
    <w:rsid w:val="00965072"/>
    <w:rsid w:val="009650F0"/>
    <w:rsid w:val="00965157"/>
    <w:rsid w:val="009651E5"/>
    <w:rsid w:val="00965248"/>
    <w:rsid w:val="0096538B"/>
    <w:rsid w:val="009653AB"/>
    <w:rsid w:val="00965436"/>
    <w:rsid w:val="009655BC"/>
    <w:rsid w:val="009656BC"/>
    <w:rsid w:val="00965785"/>
    <w:rsid w:val="00965B36"/>
    <w:rsid w:val="00965B54"/>
    <w:rsid w:val="00965EBB"/>
    <w:rsid w:val="00965F1A"/>
    <w:rsid w:val="00966035"/>
    <w:rsid w:val="009660D2"/>
    <w:rsid w:val="009661C7"/>
    <w:rsid w:val="00966292"/>
    <w:rsid w:val="009663DB"/>
    <w:rsid w:val="0096659B"/>
    <w:rsid w:val="0096663C"/>
    <w:rsid w:val="009666FC"/>
    <w:rsid w:val="0096677B"/>
    <w:rsid w:val="00966912"/>
    <w:rsid w:val="00966CDC"/>
    <w:rsid w:val="00966DC6"/>
    <w:rsid w:val="00966EC0"/>
    <w:rsid w:val="00966EFA"/>
    <w:rsid w:val="00966FB1"/>
    <w:rsid w:val="00966FD4"/>
    <w:rsid w:val="0096724C"/>
    <w:rsid w:val="0096751D"/>
    <w:rsid w:val="0096759C"/>
    <w:rsid w:val="00967600"/>
    <w:rsid w:val="00967618"/>
    <w:rsid w:val="0096782E"/>
    <w:rsid w:val="00967918"/>
    <w:rsid w:val="00967BB6"/>
    <w:rsid w:val="00967C49"/>
    <w:rsid w:val="00967C4F"/>
    <w:rsid w:val="00967D31"/>
    <w:rsid w:val="00967EE0"/>
    <w:rsid w:val="0096C3DA"/>
    <w:rsid w:val="00970126"/>
    <w:rsid w:val="0097018B"/>
    <w:rsid w:val="009703D9"/>
    <w:rsid w:val="00970536"/>
    <w:rsid w:val="009706C1"/>
    <w:rsid w:val="009708F8"/>
    <w:rsid w:val="00970963"/>
    <w:rsid w:val="009709EB"/>
    <w:rsid w:val="00970AC0"/>
    <w:rsid w:val="00970B81"/>
    <w:rsid w:val="00970D82"/>
    <w:rsid w:val="0097100C"/>
    <w:rsid w:val="00971073"/>
    <w:rsid w:val="00971115"/>
    <w:rsid w:val="009711BC"/>
    <w:rsid w:val="009713CC"/>
    <w:rsid w:val="009714AB"/>
    <w:rsid w:val="009714B8"/>
    <w:rsid w:val="009715A1"/>
    <w:rsid w:val="009715D0"/>
    <w:rsid w:val="00971764"/>
    <w:rsid w:val="00971765"/>
    <w:rsid w:val="0097188C"/>
    <w:rsid w:val="009718A7"/>
    <w:rsid w:val="009719DC"/>
    <w:rsid w:val="009719F5"/>
    <w:rsid w:val="00971C67"/>
    <w:rsid w:val="00971E97"/>
    <w:rsid w:val="00971F0E"/>
    <w:rsid w:val="0097210B"/>
    <w:rsid w:val="0097218E"/>
    <w:rsid w:val="009722F8"/>
    <w:rsid w:val="0097243D"/>
    <w:rsid w:val="0097245A"/>
    <w:rsid w:val="009724A7"/>
    <w:rsid w:val="00972561"/>
    <w:rsid w:val="00972610"/>
    <w:rsid w:val="009727B0"/>
    <w:rsid w:val="00972871"/>
    <w:rsid w:val="00972890"/>
    <w:rsid w:val="009728E1"/>
    <w:rsid w:val="009728E4"/>
    <w:rsid w:val="0097292C"/>
    <w:rsid w:val="009729EB"/>
    <w:rsid w:val="00972C81"/>
    <w:rsid w:val="00972DDE"/>
    <w:rsid w:val="00972E6C"/>
    <w:rsid w:val="00972E86"/>
    <w:rsid w:val="00972E9A"/>
    <w:rsid w:val="009730DB"/>
    <w:rsid w:val="009732EF"/>
    <w:rsid w:val="00973393"/>
    <w:rsid w:val="009735A4"/>
    <w:rsid w:val="009735F8"/>
    <w:rsid w:val="00973705"/>
    <w:rsid w:val="009738E7"/>
    <w:rsid w:val="00973907"/>
    <w:rsid w:val="00973975"/>
    <w:rsid w:val="00973B3A"/>
    <w:rsid w:val="00973D75"/>
    <w:rsid w:val="00973DD6"/>
    <w:rsid w:val="00973DF2"/>
    <w:rsid w:val="00973E32"/>
    <w:rsid w:val="00974002"/>
    <w:rsid w:val="0097403A"/>
    <w:rsid w:val="00974174"/>
    <w:rsid w:val="009741CC"/>
    <w:rsid w:val="009741E1"/>
    <w:rsid w:val="009742E0"/>
    <w:rsid w:val="009742E4"/>
    <w:rsid w:val="009744E6"/>
    <w:rsid w:val="00974560"/>
    <w:rsid w:val="00974776"/>
    <w:rsid w:val="009747D8"/>
    <w:rsid w:val="00974903"/>
    <w:rsid w:val="009749FC"/>
    <w:rsid w:val="00974B85"/>
    <w:rsid w:val="00974C03"/>
    <w:rsid w:val="00974D01"/>
    <w:rsid w:val="00974D0E"/>
    <w:rsid w:val="00974D4B"/>
    <w:rsid w:val="00974DE5"/>
    <w:rsid w:val="00974EBC"/>
    <w:rsid w:val="00975023"/>
    <w:rsid w:val="009750AB"/>
    <w:rsid w:val="00975145"/>
    <w:rsid w:val="009751A4"/>
    <w:rsid w:val="009751C4"/>
    <w:rsid w:val="009754DF"/>
    <w:rsid w:val="00975553"/>
    <w:rsid w:val="00975662"/>
    <w:rsid w:val="009756FC"/>
    <w:rsid w:val="0097577C"/>
    <w:rsid w:val="00975813"/>
    <w:rsid w:val="00975993"/>
    <w:rsid w:val="00975BB2"/>
    <w:rsid w:val="00975BB9"/>
    <w:rsid w:val="00975C36"/>
    <w:rsid w:val="00975C91"/>
    <w:rsid w:val="00975D9D"/>
    <w:rsid w:val="00975DF2"/>
    <w:rsid w:val="009760AC"/>
    <w:rsid w:val="00976233"/>
    <w:rsid w:val="00976252"/>
    <w:rsid w:val="0097629C"/>
    <w:rsid w:val="009762B4"/>
    <w:rsid w:val="00976337"/>
    <w:rsid w:val="0097666B"/>
    <w:rsid w:val="009769B7"/>
    <w:rsid w:val="009769FA"/>
    <w:rsid w:val="00976AF0"/>
    <w:rsid w:val="00976B0D"/>
    <w:rsid w:val="00976B1B"/>
    <w:rsid w:val="00976B72"/>
    <w:rsid w:val="00976B8D"/>
    <w:rsid w:val="00976BBF"/>
    <w:rsid w:val="00976BE6"/>
    <w:rsid w:val="00976C4F"/>
    <w:rsid w:val="00976C94"/>
    <w:rsid w:val="00976CB6"/>
    <w:rsid w:val="00976EA1"/>
    <w:rsid w:val="00976F44"/>
    <w:rsid w:val="0097725C"/>
    <w:rsid w:val="00977354"/>
    <w:rsid w:val="009776AF"/>
    <w:rsid w:val="00977749"/>
    <w:rsid w:val="00977777"/>
    <w:rsid w:val="00977985"/>
    <w:rsid w:val="00977AC5"/>
    <w:rsid w:val="00977BB2"/>
    <w:rsid w:val="00977CA4"/>
    <w:rsid w:val="00977D51"/>
    <w:rsid w:val="00977F70"/>
    <w:rsid w:val="00980041"/>
    <w:rsid w:val="00980132"/>
    <w:rsid w:val="009802F6"/>
    <w:rsid w:val="009802FB"/>
    <w:rsid w:val="00980364"/>
    <w:rsid w:val="009804D4"/>
    <w:rsid w:val="00980520"/>
    <w:rsid w:val="00980715"/>
    <w:rsid w:val="009807B9"/>
    <w:rsid w:val="00980815"/>
    <w:rsid w:val="00980898"/>
    <w:rsid w:val="00980A94"/>
    <w:rsid w:val="00980AB0"/>
    <w:rsid w:val="00980BE1"/>
    <w:rsid w:val="00980C0B"/>
    <w:rsid w:val="00980C12"/>
    <w:rsid w:val="00980D00"/>
    <w:rsid w:val="00980D92"/>
    <w:rsid w:val="00981127"/>
    <w:rsid w:val="00981134"/>
    <w:rsid w:val="0098113A"/>
    <w:rsid w:val="0098115A"/>
    <w:rsid w:val="0098118C"/>
    <w:rsid w:val="00981257"/>
    <w:rsid w:val="009813B0"/>
    <w:rsid w:val="00981413"/>
    <w:rsid w:val="0098148A"/>
    <w:rsid w:val="009814ED"/>
    <w:rsid w:val="00981591"/>
    <w:rsid w:val="009816DA"/>
    <w:rsid w:val="00981871"/>
    <w:rsid w:val="009818CB"/>
    <w:rsid w:val="0098198D"/>
    <w:rsid w:val="00981A26"/>
    <w:rsid w:val="00981AB1"/>
    <w:rsid w:val="00981B9F"/>
    <w:rsid w:val="00981BE9"/>
    <w:rsid w:val="00981C2A"/>
    <w:rsid w:val="00981D9A"/>
    <w:rsid w:val="00981EDA"/>
    <w:rsid w:val="00981FD1"/>
    <w:rsid w:val="0098207C"/>
    <w:rsid w:val="009822B4"/>
    <w:rsid w:val="00982382"/>
    <w:rsid w:val="009825C3"/>
    <w:rsid w:val="0098266B"/>
    <w:rsid w:val="00982829"/>
    <w:rsid w:val="009828EC"/>
    <w:rsid w:val="00982A09"/>
    <w:rsid w:val="00982BD9"/>
    <w:rsid w:val="00982BDA"/>
    <w:rsid w:val="00982C1B"/>
    <w:rsid w:val="00982CCB"/>
    <w:rsid w:val="00982DBA"/>
    <w:rsid w:val="00982FC6"/>
    <w:rsid w:val="00983017"/>
    <w:rsid w:val="009830D5"/>
    <w:rsid w:val="00983166"/>
    <w:rsid w:val="0098320C"/>
    <w:rsid w:val="0098322B"/>
    <w:rsid w:val="00983365"/>
    <w:rsid w:val="00983501"/>
    <w:rsid w:val="00983502"/>
    <w:rsid w:val="00983520"/>
    <w:rsid w:val="00983627"/>
    <w:rsid w:val="009836AD"/>
    <w:rsid w:val="009836C9"/>
    <w:rsid w:val="00983766"/>
    <w:rsid w:val="009837EE"/>
    <w:rsid w:val="00983868"/>
    <w:rsid w:val="00983971"/>
    <w:rsid w:val="00983A37"/>
    <w:rsid w:val="00983A8D"/>
    <w:rsid w:val="00983AE4"/>
    <w:rsid w:val="00983B13"/>
    <w:rsid w:val="00983B43"/>
    <w:rsid w:val="00983D80"/>
    <w:rsid w:val="00983E78"/>
    <w:rsid w:val="00983FEB"/>
    <w:rsid w:val="00983FFA"/>
    <w:rsid w:val="00984001"/>
    <w:rsid w:val="0098401F"/>
    <w:rsid w:val="009840CB"/>
    <w:rsid w:val="009840CC"/>
    <w:rsid w:val="00984133"/>
    <w:rsid w:val="00984199"/>
    <w:rsid w:val="009842B2"/>
    <w:rsid w:val="00984424"/>
    <w:rsid w:val="00984432"/>
    <w:rsid w:val="0098450F"/>
    <w:rsid w:val="0098456D"/>
    <w:rsid w:val="00984631"/>
    <w:rsid w:val="00984696"/>
    <w:rsid w:val="0098469C"/>
    <w:rsid w:val="009846A5"/>
    <w:rsid w:val="009848BF"/>
    <w:rsid w:val="00984934"/>
    <w:rsid w:val="009849BA"/>
    <w:rsid w:val="00984A97"/>
    <w:rsid w:val="00984BC5"/>
    <w:rsid w:val="00984BED"/>
    <w:rsid w:val="00984C33"/>
    <w:rsid w:val="00984CFA"/>
    <w:rsid w:val="00984D60"/>
    <w:rsid w:val="00984D79"/>
    <w:rsid w:val="00984DF3"/>
    <w:rsid w:val="00984F5E"/>
    <w:rsid w:val="00985052"/>
    <w:rsid w:val="0098507E"/>
    <w:rsid w:val="009850FC"/>
    <w:rsid w:val="009851A9"/>
    <w:rsid w:val="00985213"/>
    <w:rsid w:val="0098528C"/>
    <w:rsid w:val="00985476"/>
    <w:rsid w:val="009855A0"/>
    <w:rsid w:val="0098561E"/>
    <w:rsid w:val="00985751"/>
    <w:rsid w:val="00985803"/>
    <w:rsid w:val="009859AE"/>
    <w:rsid w:val="00985A4C"/>
    <w:rsid w:val="00985B06"/>
    <w:rsid w:val="00985BF7"/>
    <w:rsid w:val="00985C04"/>
    <w:rsid w:val="00985DB1"/>
    <w:rsid w:val="00985E76"/>
    <w:rsid w:val="00985EC3"/>
    <w:rsid w:val="00985FE2"/>
    <w:rsid w:val="00986022"/>
    <w:rsid w:val="009860DB"/>
    <w:rsid w:val="00986204"/>
    <w:rsid w:val="00986372"/>
    <w:rsid w:val="00986404"/>
    <w:rsid w:val="0098641E"/>
    <w:rsid w:val="00986457"/>
    <w:rsid w:val="0098647F"/>
    <w:rsid w:val="0098649A"/>
    <w:rsid w:val="009864AD"/>
    <w:rsid w:val="009864ED"/>
    <w:rsid w:val="0098654C"/>
    <w:rsid w:val="00986562"/>
    <w:rsid w:val="009865B9"/>
    <w:rsid w:val="00986643"/>
    <w:rsid w:val="0098664F"/>
    <w:rsid w:val="0098676E"/>
    <w:rsid w:val="009867AB"/>
    <w:rsid w:val="009867C9"/>
    <w:rsid w:val="0098680A"/>
    <w:rsid w:val="00986902"/>
    <w:rsid w:val="009869A0"/>
    <w:rsid w:val="00986B46"/>
    <w:rsid w:val="00986C34"/>
    <w:rsid w:val="00986D50"/>
    <w:rsid w:val="00986E82"/>
    <w:rsid w:val="00986EE0"/>
    <w:rsid w:val="00986F9B"/>
    <w:rsid w:val="00986FC4"/>
    <w:rsid w:val="0098724D"/>
    <w:rsid w:val="00987273"/>
    <w:rsid w:val="009872D8"/>
    <w:rsid w:val="009872E5"/>
    <w:rsid w:val="00987382"/>
    <w:rsid w:val="00987538"/>
    <w:rsid w:val="00987548"/>
    <w:rsid w:val="009875F7"/>
    <w:rsid w:val="00987777"/>
    <w:rsid w:val="00987786"/>
    <w:rsid w:val="0098778B"/>
    <w:rsid w:val="009877C6"/>
    <w:rsid w:val="0098789E"/>
    <w:rsid w:val="009878E0"/>
    <w:rsid w:val="00987B56"/>
    <w:rsid w:val="00987BF0"/>
    <w:rsid w:val="00987C57"/>
    <w:rsid w:val="00987D61"/>
    <w:rsid w:val="00987D9B"/>
    <w:rsid w:val="00987E58"/>
    <w:rsid w:val="00987F5B"/>
    <w:rsid w:val="00987F71"/>
    <w:rsid w:val="00987FDA"/>
    <w:rsid w:val="00987FFE"/>
    <w:rsid w:val="0098F10D"/>
    <w:rsid w:val="009900B9"/>
    <w:rsid w:val="0099028B"/>
    <w:rsid w:val="009902FB"/>
    <w:rsid w:val="0099062C"/>
    <w:rsid w:val="00990643"/>
    <w:rsid w:val="009908D9"/>
    <w:rsid w:val="00990900"/>
    <w:rsid w:val="009909C5"/>
    <w:rsid w:val="00990A5D"/>
    <w:rsid w:val="00990C07"/>
    <w:rsid w:val="00990C1C"/>
    <w:rsid w:val="00990C34"/>
    <w:rsid w:val="00990C50"/>
    <w:rsid w:val="00990D23"/>
    <w:rsid w:val="00990EC2"/>
    <w:rsid w:val="00990F7E"/>
    <w:rsid w:val="00990FAE"/>
    <w:rsid w:val="00990FCA"/>
    <w:rsid w:val="00991101"/>
    <w:rsid w:val="009911C0"/>
    <w:rsid w:val="009911EA"/>
    <w:rsid w:val="0099125D"/>
    <w:rsid w:val="0099133C"/>
    <w:rsid w:val="009913B4"/>
    <w:rsid w:val="009914DB"/>
    <w:rsid w:val="00991502"/>
    <w:rsid w:val="009916DE"/>
    <w:rsid w:val="009917BB"/>
    <w:rsid w:val="009919FC"/>
    <w:rsid w:val="00991C26"/>
    <w:rsid w:val="00991D12"/>
    <w:rsid w:val="00991E7A"/>
    <w:rsid w:val="00991EF3"/>
    <w:rsid w:val="00991F7E"/>
    <w:rsid w:val="00991F8A"/>
    <w:rsid w:val="00992104"/>
    <w:rsid w:val="00992297"/>
    <w:rsid w:val="009923A5"/>
    <w:rsid w:val="009923BD"/>
    <w:rsid w:val="00992651"/>
    <w:rsid w:val="009926D9"/>
    <w:rsid w:val="00992861"/>
    <w:rsid w:val="00992940"/>
    <w:rsid w:val="00992992"/>
    <w:rsid w:val="009929CE"/>
    <w:rsid w:val="00992A11"/>
    <w:rsid w:val="00992B11"/>
    <w:rsid w:val="00992B80"/>
    <w:rsid w:val="00992C7A"/>
    <w:rsid w:val="00992E4C"/>
    <w:rsid w:val="00992FD7"/>
    <w:rsid w:val="009932D6"/>
    <w:rsid w:val="0099330E"/>
    <w:rsid w:val="0099340B"/>
    <w:rsid w:val="00993760"/>
    <w:rsid w:val="009937C9"/>
    <w:rsid w:val="009938CC"/>
    <w:rsid w:val="00993A19"/>
    <w:rsid w:val="00993A67"/>
    <w:rsid w:val="00993C84"/>
    <w:rsid w:val="00993C8D"/>
    <w:rsid w:val="00993CD2"/>
    <w:rsid w:val="00993E12"/>
    <w:rsid w:val="00993E63"/>
    <w:rsid w:val="00993E9C"/>
    <w:rsid w:val="00993F7B"/>
    <w:rsid w:val="00994191"/>
    <w:rsid w:val="009941A4"/>
    <w:rsid w:val="009942FF"/>
    <w:rsid w:val="00994310"/>
    <w:rsid w:val="009943C2"/>
    <w:rsid w:val="00994506"/>
    <w:rsid w:val="00994717"/>
    <w:rsid w:val="00994830"/>
    <w:rsid w:val="00994A75"/>
    <w:rsid w:val="00994B3E"/>
    <w:rsid w:val="00994B45"/>
    <w:rsid w:val="00994C7A"/>
    <w:rsid w:val="00994D02"/>
    <w:rsid w:val="00994E0D"/>
    <w:rsid w:val="00994E1A"/>
    <w:rsid w:val="00994E5E"/>
    <w:rsid w:val="00994F07"/>
    <w:rsid w:val="00995067"/>
    <w:rsid w:val="009950F1"/>
    <w:rsid w:val="00995132"/>
    <w:rsid w:val="009951D0"/>
    <w:rsid w:val="00995356"/>
    <w:rsid w:val="0099550F"/>
    <w:rsid w:val="00995A29"/>
    <w:rsid w:val="00995A61"/>
    <w:rsid w:val="00995BB6"/>
    <w:rsid w:val="00995BF4"/>
    <w:rsid w:val="00995C64"/>
    <w:rsid w:val="00995C7C"/>
    <w:rsid w:val="00995D19"/>
    <w:rsid w:val="00995DAC"/>
    <w:rsid w:val="00995FE1"/>
    <w:rsid w:val="00996121"/>
    <w:rsid w:val="00996139"/>
    <w:rsid w:val="009961A9"/>
    <w:rsid w:val="00996564"/>
    <w:rsid w:val="009966FF"/>
    <w:rsid w:val="009968A8"/>
    <w:rsid w:val="009968BE"/>
    <w:rsid w:val="00996A0E"/>
    <w:rsid w:val="00996CE0"/>
    <w:rsid w:val="00996D52"/>
    <w:rsid w:val="00996D99"/>
    <w:rsid w:val="0099700D"/>
    <w:rsid w:val="0099710C"/>
    <w:rsid w:val="009972DA"/>
    <w:rsid w:val="009972F1"/>
    <w:rsid w:val="009973A1"/>
    <w:rsid w:val="009973F4"/>
    <w:rsid w:val="0099741D"/>
    <w:rsid w:val="0099744F"/>
    <w:rsid w:val="00997573"/>
    <w:rsid w:val="00997640"/>
    <w:rsid w:val="0099795C"/>
    <w:rsid w:val="009979C8"/>
    <w:rsid w:val="00997A59"/>
    <w:rsid w:val="00997A62"/>
    <w:rsid w:val="00997B3B"/>
    <w:rsid w:val="00997E40"/>
    <w:rsid w:val="00997E43"/>
    <w:rsid w:val="00997FBC"/>
    <w:rsid w:val="0099CE93"/>
    <w:rsid w:val="009A0052"/>
    <w:rsid w:val="009A014B"/>
    <w:rsid w:val="009A0240"/>
    <w:rsid w:val="009A02F1"/>
    <w:rsid w:val="009A0486"/>
    <w:rsid w:val="009A0642"/>
    <w:rsid w:val="009A06CC"/>
    <w:rsid w:val="009A06D2"/>
    <w:rsid w:val="009A0735"/>
    <w:rsid w:val="009A0877"/>
    <w:rsid w:val="009A08CD"/>
    <w:rsid w:val="009A0A78"/>
    <w:rsid w:val="009A0ADB"/>
    <w:rsid w:val="009A0BF2"/>
    <w:rsid w:val="009A0D42"/>
    <w:rsid w:val="009A0E34"/>
    <w:rsid w:val="009A0E5A"/>
    <w:rsid w:val="009A10EA"/>
    <w:rsid w:val="009A1161"/>
    <w:rsid w:val="009A118C"/>
    <w:rsid w:val="009A119C"/>
    <w:rsid w:val="009A11B9"/>
    <w:rsid w:val="009A1293"/>
    <w:rsid w:val="009A139C"/>
    <w:rsid w:val="009A1536"/>
    <w:rsid w:val="009A1565"/>
    <w:rsid w:val="009A170E"/>
    <w:rsid w:val="009A17B4"/>
    <w:rsid w:val="009A183F"/>
    <w:rsid w:val="009A1874"/>
    <w:rsid w:val="009A188F"/>
    <w:rsid w:val="009A1A38"/>
    <w:rsid w:val="009A1AC9"/>
    <w:rsid w:val="009A1CA8"/>
    <w:rsid w:val="009A1CBE"/>
    <w:rsid w:val="009A1E5C"/>
    <w:rsid w:val="009A221F"/>
    <w:rsid w:val="009A222B"/>
    <w:rsid w:val="009A23A0"/>
    <w:rsid w:val="009A247C"/>
    <w:rsid w:val="009A2669"/>
    <w:rsid w:val="009A27D3"/>
    <w:rsid w:val="009A2892"/>
    <w:rsid w:val="009A28E1"/>
    <w:rsid w:val="009A2C8B"/>
    <w:rsid w:val="009A2C90"/>
    <w:rsid w:val="009A2D1F"/>
    <w:rsid w:val="009A2E29"/>
    <w:rsid w:val="009A313B"/>
    <w:rsid w:val="009A3235"/>
    <w:rsid w:val="009A334C"/>
    <w:rsid w:val="009A34E8"/>
    <w:rsid w:val="009A34FD"/>
    <w:rsid w:val="009A356B"/>
    <w:rsid w:val="009A363E"/>
    <w:rsid w:val="009A3780"/>
    <w:rsid w:val="009A37AD"/>
    <w:rsid w:val="009A37E5"/>
    <w:rsid w:val="009A37FB"/>
    <w:rsid w:val="009A38F9"/>
    <w:rsid w:val="009A399A"/>
    <w:rsid w:val="009A3A8A"/>
    <w:rsid w:val="009A3AF2"/>
    <w:rsid w:val="009A3C76"/>
    <w:rsid w:val="009A3DA8"/>
    <w:rsid w:val="009A4073"/>
    <w:rsid w:val="009A41FE"/>
    <w:rsid w:val="009A4234"/>
    <w:rsid w:val="009A42A7"/>
    <w:rsid w:val="009A42CC"/>
    <w:rsid w:val="009A4463"/>
    <w:rsid w:val="009A44D6"/>
    <w:rsid w:val="009A4616"/>
    <w:rsid w:val="009A461E"/>
    <w:rsid w:val="009A4687"/>
    <w:rsid w:val="009A486C"/>
    <w:rsid w:val="009A4C4D"/>
    <w:rsid w:val="009A4C7E"/>
    <w:rsid w:val="009A4D75"/>
    <w:rsid w:val="009A4DEF"/>
    <w:rsid w:val="009A4E2B"/>
    <w:rsid w:val="009A512D"/>
    <w:rsid w:val="009A515F"/>
    <w:rsid w:val="009A5174"/>
    <w:rsid w:val="009A51BD"/>
    <w:rsid w:val="009A5229"/>
    <w:rsid w:val="009A526C"/>
    <w:rsid w:val="009A5393"/>
    <w:rsid w:val="009A54F5"/>
    <w:rsid w:val="009A5554"/>
    <w:rsid w:val="009A5647"/>
    <w:rsid w:val="009A567E"/>
    <w:rsid w:val="009A595A"/>
    <w:rsid w:val="009A5CCB"/>
    <w:rsid w:val="009A5D30"/>
    <w:rsid w:val="009A5EFD"/>
    <w:rsid w:val="009A5FA5"/>
    <w:rsid w:val="009A6296"/>
    <w:rsid w:val="009A639D"/>
    <w:rsid w:val="009A640F"/>
    <w:rsid w:val="009A6527"/>
    <w:rsid w:val="009A66E8"/>
    <w:rsid w:val="009A6996"/>
    <w:rsid w:val="009A6DB8"/>
    <w:rsid w:val="009A6E60"/>
    <w:rsid w:val="009A6E8E"/>
    <w:rsid w:val="009A6EE3"/>
    <w:rsid w:val="009A724D"/>
    <w:rsid w:val="009A733A"/>
    <w:rsid w:val="009A7355"/>
    <w:rsid w:val="009A7469"/>
    <w:rsid w:val="009A76EB"/>
    <w:rsid w:val="009A794F"/>
    <w:rsid w:val="009A79B6"/>
    <w:rsid w:val="009A7A0B"/>
    <w:rsid w:val="009A7B9D"/>
    <w:rsid w:val="009A7C11"/>
    <w:rsid w:val="009A7C22"/>
    <w:rsid w:val="009A7C4E"/>
    <w:rsid w:val="009A7CE5"/>
    <w:rsid w:val="009A7D3A"/>
    <w:rsid w:val="009A7D88"/>
    <w:rsid w:val="009A7DBC"/>
    <w:rsid w:val="009A7FDF"/>
    <w:rsid w:val="009B0085"/>
    <w:rsid w:val="009B0143"/>
    <w:rsid w:val="009B02AC"/>
    <w:rsid w:val="009B0303"/>
    <w:rsid w:val="009B0386"/>
    <w:rsid w:val="009B04C8"/>
    <w:rsid w:val="009B04D9"/>
    <w:rsid w:val="009B04FA"/>
    <w:rsid w:val="009B053A"/>
    <w:rsid w:val="009B059A"/>
    <w:rsid w:val="009B05A5"/>
    <w:rsid w:val="009B0740"/>
    <w:rsid w:val="009B0795"/>
    <w:rsid w:val="009B08BE"/>
    <w:rsid w:val="009B08BF"/>
    <w:rsid w:val="009B0906"/>
    <w:rsid w:val="009B0AA5"/>
    <w:rsid w:val="009B0B1B"/>
    <w:rsid w:val="009B0BD8"/>
    <w:rsid w:val="009B0F65"/>
    <w:rsid w:val="009B1028"/>
    <w:rsid w:val="009B1065"/>
    <w:rsid w:val="009B106E"/>
    <w:rsid w:val="009B113E"/>
    <w:rsid w:val="009B133F"/>
    <w:rsid w:val="009B141F"/>
    <w:rsid w:val="009B173A"/>
    <w:rsid w:val="009B181A"/>
    <w:rsid w:val="009B185B"/>
    <w:rsid w:val="009B1A26"/>
    <w:rsid w:val="009B1A35"/>
    <w:rsid w:val="009B1AF9"/>
    <w:rsid w:val="009B1BBB"/>
    <w:rsid w:val="009B1BEE"/>
    <w:rsid w:val="009B1C4C"/>
    <w:rsid w:val="009B1D6C"/>
    <w:rsid w:val="009B1E4D"/>
    <w:rsid w:val="009B20C9"/>
    <w:rsid w:val="009B2148"/>
    <w:rsid w:val="009B21ED"/>
    <w:rsid w:val="009B227C"/>
    <w:rsid w:val="009B22E7"/>
    <w:rsid w:val="009B233A"/>
    <w:rsid w:val="009B2345"/>
    <w:rsid w:val="009B237B"/>
    <w:rsid w:val="009B23D0"/>
    <w:rsid w:val="009B24EE"/>
    <w:rsid w:val="009B26DE"/>
    <w:rsid w:val="009B279E"/>
    <w:rsid w:val="009B27F9"/>
    <w:rsid w:val="009B2B94"/>
    <w:rsid w:val="009B2C31"/>
    <w:rsid w:val="009B2E9C"/>
    <w:rsid w:val="009B2F9A"/>
    <w:rsid w:val="009B30A7"/>
    <w:rsid w:val="009B3117"/>
    <w:rsid w:val="009B3138"/>
    <w:rsid w:val="009B313D"/>
    <w:rsid w:val="009B3248"/>
    <w:rsid w:val="009B3603"/>
    <w:rsid w:val="009B367A"/>
    <w:rsid w:val="009B36B1"/>
    <w:rsid w:val="009B387A"/>
    <w:rsid w:val="009B38BA"/>
    <w:rsid w:val="009B3A89"/>
    <w:rsid w:val="009B3A8D"/>
    <w:rsid w:val="009B3AC0"/>
    <w:rsid w:val="009B3ADA"/>
    <w:rsid w:val="009B3BCC"/>
    <w:rsid w:val="009B3D8C"/>
    <w:rsid w:val="009B3E8E"/>
    <w:rsid w:val="009B3F44"/>
    <w:rsid w:val="009B40CC"/>
    <w:rsid w:val="009B41CF"/>
    <w:rsid w:val="009B4284"/>
    <w:rsid w:val="009B42A1"/>
    <w:rsid w:val="009B42A3"/>
    <w:rsid w:val="009B43BA"/>
    <w:rsid w:val="009B45A5"/>
    <w:rsid w:val="009B482D"/>
    <w:rsid w:val="009B48FE"/>
    <w:rsid w:val="009B4931"/>
    <w:rsid w:val="009B4936"/>
    <w:rsid w:val="009B4D11"/>
    <w:rsid w:val="009B4D2D"/>
    <w:rsid w:val="009B4D93"/>
    <w:rsid w:val="009B4E2F"/>
    <w:rsid w:val="009B4ED5"/>
    <w:rsid w:val="009B5105"/>
    <w:rsid w:val="009B5107"/>
    <w:rsid w:val="009B55D6"/>
    <w:rsid w:val="009B5606"/>
    <w:rsid w:val="009B56FB"/>
    <w:rsid w:val="009B5894"/>
    <w:rsid w:val="009B596D"/>
    <w:rsid w:val="009B59A7"/>
    <w:rsid w:val="009B5A3F"/>
    <w:rsid w:val="009B5AD0"/>
    <w:rsid w:val="009B5B02"/>
    <w:rsid w:val="009B5CB1"/>
    <w:rsid w:val="009B5D7E"/>
    <w:rsid w:val="009B5E04"/>
    <w:rsid w:val="009B5E13"/>
    <w:rsid w:val="009B5F6C"/>
    <w:rsid w:val="009B608E"/>
    <w:rsid w:val="009B6124"/>
    <w:rsid w:val="009B6192"/>
    <w:rsid w:val="009B6405"/>
    <w:rsid w:val="009B648C"/>
    <w:rsid w:val="009B65E9"/>
    <w:rsid w:val="009B66CD"/>
    <w:rsid w:val="009B66DB"/>
    <w:rsid w:val="009B66E7"/>
    <w:rsid w:val="009B67CA"/>
    <w:rsid w:val="009B6A22"/>
    <w:rsid w:val="009B6A6D"/>
    <w:rsid w:val="009B6C7F"/>
    <w:rsid w:val="009B6E01"/>
    <w:rsid w:val="009B6E66"/>
    <w:rsid w:val="009B6E94"/>
    <w:rsid w:val="009B6ED7"/>
    <w:rsid w:val="009B6F25"/>
    <w:rsid w:val="009B708C"/>
    <w:rsid w:val="009B70F6"/>
    <w:rsid w:val="009B731B"/>
    <w:rsid w:val="009B737F"/>
    <w:rsid w:val="009B73ED"/>
    <w:rsid w:val="009B749B"/>
    <w:rsid w:val="009B76AB"/>
    <w:rsid w:val="009B77C5"/>
    <w:rsid w:val="009B77D9"/>
    <w:rsid w:val="009B790C"/>
    <w:rsid w:val="009B7973"/>
    <w:rsid w:val="009B7AA3"/>
    <w:rsid w:val="009B7B0D"/>
    <w:rsid w:val="009B7B26"/>
    <w:rsid w:val="009B7D45"/>
    <w:rsid w:val="009B7DF8"/>
    <w:rsid w:val="009B7FD9"/>
    <w:rsid w:val="009C01B7"/>
    <w:rsid w:val="009C0269"/>
    <w:rsid w:val="009C0272"/>
    <w:rsid w:val="009C027B"/>
    <w:rsid w:val="009C02D6"/>
    <w:rsid w:val="009C0740"/>
    <w:rsid w:val="009C08B7"/>
    <w:rsid w:val="009C08E4"/>
    <w:rsid w:val="009C09B3"/>
    <w:rsid w:val="009C0B9C"/>
    <w:rsid w:val="009C0C4A"/>
    <w:rsid w:val="009C0C5D"/>
    <w:rsid w:val="009C0E44"/>
    <w:rsid w:val="009C0E66"/>
    <w:rsid w:val="009C0FFC"/>
    <w:rsid w:val="009C160E"/>
    <w:rsid w:val="009C16E7"/>
    <w:rsid w:val="009C17B1"/>
    <w:rsid w:val="009C1803"/>
    <w:rsid w:val="009C18A4"/>
    <w:rsid w:val="009C1A25"/>
    <w:rsid w:val="009C1A89"/>
    <w:rsid w:val="009C1AE8"/>
    <w:rsid w:val="009C1B08"/>
    <w:rsid w:val="009C1D04"/>
    <w:rsid w:val="009C1F28"/>
    <w:rsid w:val="009C1FA8"/>
    <w:rsid w:val="009C1FBD"/>
    <w:rsid w:val="009C214B"/>
    <w:rsid w:val="009C2153"/>
    <w:rsid w:val="009C233E"/>
    <w:rsid w:val="009C2381"/>
    <w:rsid w:val="009C241C"/>
    <w:rsid w:val="009C2473"/>
    <w:rsid w:val="009C2724"/>
    <w:rsid w:val="009C2930"/>
    <w:rsid w:val="009C2AE2"/>
    <w:rsid w:val="009C2B1C"/>
    <w:rsid w:val="009C2C46"/>
    <w:rsid w:val="009C2C89"/>
    <w:rsid w:val="009C3006"/>
    <w:rsid w:val="009C322C"/>
    <w:rsid w:val="009C3390"/>
    <w:rsid w:val="009C3466"/>
    <w:rsid w:val="009C347A"/>
    <w:rsid w:val="009C3656"/>
    <w:rsid w:val="009C367B"/>
    <w:rsid w:val="009C36D1"/>
    <w:rsid w:val="009C3786"/>
    <w:rsid w:val="009C37C3"/>
    <w:rsid w:val="009C3C9B"/>
    <w:rsid w:val="009C4034"/>
    <w:rsid w:val="009C403E"/>
    <w:rsid w:val="009C415C"/>
    <w:rsid w:val="009C4280"/>
    <w:rsid w:val="009C4395"/>
    <w:rsid w:val="009C4486"/>
    <w:rsid w:val="009C48EA"/>
    <w:rsid w:val="009C48F6"/>
    <w:rsid w:val="009C4920"/>
    <w:rsid w:val="009C4944"/>
    <w:rsid w:val="009C4951"/>
    <w:rsid w:val="009C49EE"/>
    <w:rsid w:val="009C4CF6"/>
    <w:rsid w:val="009C4DA8"/>
    <w:rsid w:val="009C4E41"/>
    <w:rsid w:val="009C5012"/>
    <w:rsid w:val="009C50CB"/>
    <w:rsid w:val="009C5183"/>
    <w:rsid w:val="009C52D2"/>
    <w:rsid w:val="009C55B5"/>
    <w:rsid w:val="009C5712"/>
    <w:rsid w:val="009C580A"/>
    <w:rsid w:val="009C59C6"/>
    <w:rsid w:val="009C5A5C"/>
    <w:rsid w:val="009C5B27"/>
    <w:rsid w:val="009C5B93"/>
    <w:rsid w:val="009C5BC7"/>
    <w:rsid w:val="009C5C77"/>
    <w:rsid w:val="009C5CEA"/>
    <w:rsid w:val="009C5CF6"/>
    <w:rsid w:val="009C5EB8"/>
    <w:rsid w:val="009C5F17"/>
    <w:rsid w:val="009C612E"/>
    <w:rsid w:val="009C6282"/>
    <w:rsid w:val="009C63A4"/>
    <w:rsid w:val="009C655A"/>
    <w:rsid w:val="009C6597"/>
    <w:rsid w:val="009C65D4"/>
    <w:rsid w:val="009C65DA"/>
    <w:rsid w:val="009C69EC"/>
    <w:rsid w:val="009C6AB3"/>
    <w:rsid w:val="009C6ACD"/>
    <w:rsid w:val="009C6B0B"/>
    <w:rsid w:val="009C6CAD"/>
    <w:rsid w:val="009C6CEB"/>
    <w:rsid w:val="009C6D63"/>
    <w:rsid w:val="009C6E8B"/>
    <w:rsid w:val="009C6E8C"/>
    <w:rsid w:val="009C6F2A"/>
    <w:rsid w:val="009C706D"/>
    <w:rsid w:val="009C718A"/>
    <w:rsid w:val="009C727C"/>
    <w:rsid w:val="009C77A6"/>
    <w:rsid w:val="009C78DC"/>
    <w:rsid w:val="009C797A"/>
    <w:rsid w:val="009C7AAC"/>
    <w:rsid w:val="009C7E37"/>
    <w:rsid w:val="009C7E72"/>
    <w:rsid w:val="009C7F70"/>
    <w:rsid w:val="009C7F7B"/>
    <w:rsid w:val="009D0088"/>
    <w:rsid w:val="009D00B9"/>
    <w:rsid w:val="009D017B"/>
    <w:rsid w:val="009D0241"/>
    <w:rsid w:val="009D047D"/>
    <w:rsid w:val="009D0518"/>
    <w:rsid w:val="009D0637"/>
    <w:rsid w:val="009D068B"/>
    <w:rsid w:val="009D0852"/>
    <w:rsid w:val="009D0ABA"/>
    <w:rsid w:val="009D0BF6"/>
    <w:rsid w:val="009D0C6A"/>
    <w:rsid w:val="009D0C8A"/>
    <w:rsid w:val="009D1658"/>
    <w:rsid w:val="009D16EE"/>
    <w:rsid w:val="009D17BE"/>
    <w:rsid w:val="009D189C"/>
    <w:rsid w:val="009D1A1B"/>
    <w:rsid w:val="009D1B95"/>
    <w:rsid w:val="009D1BB6"/>
    <w:rsid w:val="009D1CFE"/>
    <w:rsid w:val="009D1DE6"/>
    <w:rsid w:val="009D1E6D"/>
    <w:rsid w:val="009D1F09"/>
    <w:rsid w:val="009D20B4"/>
    <w:rsid w:val="009D20D8"/>
    <w:rsid w:val="009D21F5"/>
    <w:rsid w:val="009D2254"/>
    <w:rsid w:val="009D2356"/>
    <w:rsid w:val="009D23CC"/>
    <w:rsid w:val="009D23FA"/>
    <w:rsid w:val="009D2519"/>
    <w:rsid w:val="009D268B"/>
    <w:rsid w:val="009D269F"/>
    <w:rsid w:val="009D275E"/>
    <w:rsid w:val="009D2801"/>
    <w:rsid w:val="009D2873"/>
    <w:rsid w:val="009D28C5"/>
    <w:rsid w:val="009D28EA"/>
    <w:rsid w:val="009D2900"/>
    <w:rsid w:val="009D2B2E"/>
    <w:rsid w:val="009D2DBA"/>
    <w:rsid w:val="009D2DFC"/>
    <w:rsid w:val="009D2E19"/>
    <w:rsid w:val="009D2F9C"/>
    <w:rsid w:val="009D3010"/>
    <w:rsid w:val="009D3102"/>
    <w:rsid w:val="009D31B1"/>
    <w:rsid w:val="009D31DD"/>
    <w:rsid w:val="009D33AF"/>
    <w:rsid w:val="009D355A"/>
    <w:rsid w:val="009D38D3"/>
    <w:rsid w:val="009D3980"/>
    <w:rsid w:val="009D3A0F"/>
    <w:rsid w:val="009D3AFE"/>
    <w:rsid w:val="009D3DBA"/>
    <w:rsid w:val="009D3F6D"/>
    <w:rsid w:val="009D3FED"/>
    <w:rsid w:val="009D40AB"/>
    <w:rsid w:val="009D4143"/>
    <w:rsid w:val="009D42B1"/>
    <w:rsid w:val="009D42FE"/>
    <w:rsid w:val="009D43B5"/>
    <w:rsid w:val="009D464E"/>
    <w:rsid w:val="009D47C8"/>
    <w:rsid w:val="009D4828"/>
    <w:rsid w:val="009D48AC"/>
    <w:rsid w:val="009D4B89"/>
    <w:rsid w:val="009D4E22"/>
    <w:rsid w:val="009D4E30"/>
    <w:rsid w:val="009D4EB8"/>
    <w:rsid w:val="009D4EF0"/>
    <w:rsid w:val="009D4F02"/>
    <w:rsid w:val="009D4F5E"/>
    <w:rsid w:val="009D5056"/>
    <w:rsid w:val="009D524C"/>
    <w:rsid w:val="009D52B9"/>
    <w:rsid w:val="009D56DD"/>
    <w:rsid w:val="009D56F8"/>
    <w:rsid w:val="009D5722"/>
    <w:rsid w:val="009D58AC"/>
    <w:rsid w:val="009D596A"/>
    <w:rsid w:val="009D5AD7"/>
    <w:rsid w:val="009D5C46"/>
    <w:rsid w:val="009D5F76"/>
    <w:rsid w:val="009D6041"/>
    <w:rsid w:val="009D620B"/>
    <w:rsid w:val="009D6488"/>
    <w:rsid w:val="009D650C"/>
    <w:rsid w:val="009D65C5"/>
    <w:rsid w:val="009D681E"/>
    <w:rsid w:val="009D6826"/>
    <w:rsid w:val="009D6BA1"/>
    <w:rsid w:val="009D6BCD"/>
    <w:rsid w:val="009D6DA2"/>
    <w:rsid w:val="009D6F23"/>
    <w:rsid w:val="009D6F79"/>
    <w:rsid w:val="009D7479"/>
    <w:rsid w:val="009D7556"/>
    <w:rsid w:val="009D75DA"/>
    <w:rsid w:val="009D76D1"/>
    <w:rsid w:val="009D7707"/>
    <w:rsid w:val="009D77AD"/>
    <w:rsid w:val="009D782F"/>
    <w:rsid w:val="009D78BA"/>
    <w:rsid w:val="009D78E2"/>
    <w:rsid w:val="009D78E9"/>
    <w:rsid w:val="009D78FC"/>
    <w:rsid w:val="009D796E"/>
    <w:rsid w:val="009D7A3B"/>
    <w:rsid w:val="009D7A9A"/>
    <w:rsid w:val="009D7B8B"/>
    <w:rsid w:val="009D7E06"/>
    <w:rsid w:val="009D7E07"/>
    <w:rsid w:val="009D7E2D"/>
    <w:rsid w:val="009D7E97"/>
    <w:rsid w:val="009E00C9"/>
    <w:rsid w:val="009E0169"/>
    <w:rsid w:val="009E01C3"/>
    <w:rsid w:val="009E06B9"/>
    <w:rsid w:val="009E087E"/>
    <w:rsid w:val="009E08FD"/>
    <w:rsid w:val="009E0986"/>
    <w:rsid w:val="009E09BA"/>
    <w:rsid w:val="009E0A81"/>
    <w:rsid w:val="009E0B3C"/>
    <w:rsid w:val="009E0C1C"/>
    <w:rsid w:val="009E0D54"/>
    <w:rsid w:val="009E0E33"/>
    <w:rsid w:val="009E0E68"/>
    <w:rsid w:val="009E1006"/>
    <w:rsid w:val="009E1242"/>
    <w:rsid w:val="009E12DD"/>
    <w:rsid w:val="009E134D"/>
    <w:rsid w:val="009E1434"/>
    <w:rsid w:val="009E143C"/>
    <w:rsid w:val="009E16A5"/>
    <w:rsid w:val="009E18AB"/>
    <w:rsid w:val="009E19F8"/>
    <w:rsid w:val="009E1B52"/>
    <w:rsid w:val="009E1C9A"/>
    <w:rsid w:val="009E1CE1"/>
    <w:rsid w:val="009E1CE3"/>
    <w:rsid w:val="009E1D7D"/>
    <w:rsid w:val="009E1DFC"/>
    <w:rsid w:val="009E2085"/>
    <w:rsid w:val="009E20F5"/>
    <w:rsid w:val="009E2490"/>
    <w:rsid w:val="009E24AB"/>
    <w:rsid w:val="009E2628"/>
    <w:rsid w:val="009E265D"/>
    <w:rsid w:val="009E279B"/>
    <w:rsid w:val="009E287D"/>
    <w:rsid w:val="009E28F6"/>
    <w:rsid w:val="009E28FD"/>
    <w:rsid w:val="009E2A86"/>
    <w:rsid w:val="009E2AD1"/>
    <w:rsid w:val="009E2C80"/>
    <w:rsid w:val="009E2D1B"/>
    <w:rsid w:val="009E2E7B"/>
    <w:rsid w:val="009E307F"/>
    <w:rsid w:val="009E332E"/>
    <w:rsid w:val="009E3422"/>
    <w:rsid w:val="009E34DB"/>
    <w:rsid w:val="009E35C9"/>
    <w:rsid w:val="009E361B"/>
    <w:rsid w:val="009E3790"/>
    <w:rsid w:val="009E3855"/>
    <w:rsid w:val="009E395D"/>
    <w:rsid w:val="009E3A37"/>
    <w:rsid w:val="009E3ACB"/>
    <w:rsid w:val="009E3DBE"/>
    <w:rsid w:val="009E4036"/>
    <w:rsid w:val="009E406E"/>
    <w:rsid w:val="009E4092"/>
    <w:rsid w:val="009E40CF"/>
    <w:rsid w:val="009E415E"/>
    <w:rsid w:val="009E4161"/>
    <w:rsid w:val="009E437A"/>
    <w:rsid w:val="009E4387"/>
    <w:rsid w:val="009E43DF"/>
    <w:rsid w:val="009E4718"/>
    <w:rsid w:val="009E48F4"/>
    <w:rsid w:val="009E49FD"/>
    <w:rsid w:val="009E4A0C"/>
    <w:rsid w:val="009E4A66"/>
    <w:rsid w:val="009E4AD7"/>
    <w:rsid w:val="009E4BB7"/>
    <w:rsid w:val="009E4C64"/>
    <w:rsid w:val="009E4D48"/>
    <w:rsid w:val="009E4DBA"/>
    <w:rsid w:val="009E4DC8"/>
    <w:rsid w:val="009E4E34"/>
    <w:rsid w:val="009E4EC7"/>
    <w:rsid w:val="009E5076"/>
    <w:rsid w:val="009E520E"/>
    <w:rsid w:val="009E55B4"/>
    <w:rsid w:val="009E5628"/>
    <w:rsid w:val="009E578A"/>
    <w:rsid w:val="009E591F"/>
    <w:rsid w:val="009E5A95"/>
    <w:rsid w:val="009E5BF1"/>
    <w:rsid w:val="009E5CF8"/>
    <w:rsid w:val="009E5F52"/>
    <w:rsid w:val="009E60F7"/>
    <w:rsid w:val="009E612C"/>
    <w:rsid w:val="009E6174"/>
    <w:rsid w:val="009E63E0"/>
    <w:rsid w:val="009E6479"/>
    <w:rsid w:val="009E64B2"/>
    <w:rsid w:val="009E6537"/>
    <w:rsid w:val="009E6558"/>
    <w:rsid w:val="009E65F1"/>
    <w:rsid w:val="009E660E"/>
    <w:rsid w:val="009E6619"/>
    <w:rsid w:val="009E66D8"/>
    <w:rsid w:val="009E67BA"/>
    <w:rsid w:val="009E6813"/>
    <w:rsid w:val="009E6896"/>
    <w:rsid w:val="009E6A05"/>
    <w:rsid w:val="009E6AFF"/>
    <w:rsid w:val="009E6C2D"/>
    <w:rsid w:val="009E6C42"/>
    <w:rsid w:val="009E6D1D"/>
    <w:rsid w:val="009E6FB7"/>
    <w:rsid w:val="009E6FF7"/>
    <w:rsid w:val="009E701B"/>
    <w:rsid w:val="009E7024"/>
    <w:rsid w:val="009E70BF"/>
    <w:rsid w:val="009E70DF"/>
    <w:rsid w:val="009E7102"/>
    <w:rsid w:val="009E713C"/>
    <w:rsid w:val="009E7161"/>
    <w:rsid w:val="009E71AA"/>
    <w:rsid w:val="009E71B2"/>
    <w:rsid w:val="009E7429"/>
    <w:rsid w:val="009E7435"/>
    <w:rsid w:val="009E74DF"/>
    <w:rsid w:val="009E7537"/>
    <w:rsid w:val="009E7668"/>
    <w:rsid w:val="009E78AE"/>
    <w:rsid w:val="009E78F5"/>
    <w:rsid w:val="009E7992"/>
    <w:rsid w:val="009E7B15"/>
    <w:rsid w:val="009E7B90"/>
    <w:rsid w:val="009E7BC6"/>
    <w:rsid w:val="009E7C78"/>
    <w:rsid w:val="009E7CA4"/>
    <w:rsid w:val="009E7D81"/>
    <w:rsid w:val="009E7E6A"/>
    <w:rsid w:val="009E7FC3"/>
    <w:rsid w:val="009E8552"/>
    <w:rsid w:val="009F00E2"/>
    <w:rsid w:val="009F00EC"/>
    <w:rsid w:val="009F01DB"/>
    <w:rsid w:val="009F0482"/>
    <w:rsid w:val="009F0621"/>
    <w:rsid w:val="009F07CB"/>
    <w:rsid w:val="009F0840"/>
    <w:rsid w:val="009F0859"/>
    <w:rsid w:val="009F09FB"/>
    <w:rsid w:val="009F0B3A"/>
    <w:rsid w:val="009F0B63"/>
    <w:rsid w:val="009F0BFE"/>
    <w:rsid w:val="009F0D53"/>
    <w:rsid w:val="009F0E25"/>
    <w:rsid w:val="009F0E2A"/>
    <w:rsid w:val="009F0ED9"/>
    <w:rsid w:val="009F0F4B"/>
    <w:rsid w:val="009F0FE1"/>
    <w:rsid w:val="009F1110"/>
    <w:rsid w:val="009F1233"/>
    <w:rsid w:val="009F13CA"/>
    <w:rsid w:val="009F1557"/>
    <w:rsid w:val="009F1687"/>
    <w:rsid w:val="009F17B7"/>
    <w:rsid w:val="009F180A"/>
    <w:rsid w:val="009F1A0B"/>
    <w:rsid w:val="009F1CAC"/>
    <w:rsid w:val="009F1E7C"/>
    <w:rsid w:val="009F1EED"/>
    <w:rsid w:val="009F1FBF"/>
    <w:rsid w:val="009F20F0"/>
    <w:rsid w:val="009F2164"/>
    <w:rsid w:val="009F2278"/>
    <w:rsid w:val="009F228F"/>
    <w:rsid w:val="009F2441"/>
    <w:rsid w:val="009F2563"/>
    <w:rsid w:val="009F25F4"/>
    <w:rsid w:val="009F26E1"/>
    <w:rsid w:val="009F2B14"/>
    <w:rsid w:val="009F2B7D"/>
    <w:rsid w:val="009F2C93"/>
    <w:rsid w:val="009F2CF4"/>
    <w:rsid w:val="009F2D75"/>
    <w:rsid w:val="009F2D94"/>
    <w:rsid w:val="009F301A"/>
    <w:rsid w:val="009F30D2"/>
    <w:rsid w:val="009F3153"/>
    <w:rsid w:val="009F3217"/>
    <w:rsid w:val="009F3325"/>
    <w:rsid w:val="009F341D"/>
    <w:rsid w:val="009F34AF"/>
    <w:rsid w:val="009F3515"/>
    <w:rsid w:val="009F36CF"/>
    <w:rsid w:val="009F3702"/>
    <w:rsid w:val="009F3985"/>
    <w:rsid w:val="009F39AC"/>
    <w:rsid w:val="009F3ABF"/>
    <w:rsid w:val="009F3B08"/>
    <w:rsid w:val="009F3BC6"/>
    <w:rsid w:val="009F3BF4"/>
    <w:rsid w:val="009F3BF8"/>
    <w:rsid w:val="009F3C5B"/>
    <w:rsid w:val="009F3D05"/>
    <w:rsid w:val="009F3D41"/>
    <w:rsid w:val="009F3E2F"/>
    <w:rsid w:val="009F3E74"/>
    <w:rsid w:val="009F3E7F"/>
    <w:rsid w:val="009F3FAA"/>
    <w:rsid w:val="009F4001"/>
    <w:rsid w:val="009F403A"/>
    <w:rsid w:val="009F40CA"/>
    <w:rsid w:val="009F42EC"/>
    <w:rsid w:val="009F4373"/>
    <w:rsid w:val="009F4379"/>
    <w:rsid w:val="009F452A"/>
    <w:rsid w:val="009F4579"/>
    <w:rsid w:val="009F45A4"/>
    <w:rsid w:val="009F47FE"/>
    <w:rsid w:val="009F494E"/>
    <w:rsid w:val="009F499F"/>
    <w:rsid w:val="009F4CE3"/>
    <w:rsid w:val="009F4EBD"/>
    <w:rsid w:val="009F4F1A"/>
    <w:rsid w:val="009F4FF9"/>
    <w:rsid w:val="009F50FD"/>
    <w:rsid w:val="009F5207"/>
    <w:rsid w:val="009F521D"/>
    <w:rsid w:val="009F5304"/>
    <w:rsid w:val="009F5436"/>
    <w:rsid w:val="009F55E9"/>
    <w:rsid w:val="009F56D4"/>
    <w:rsid w:val="009F5723"/>
    <w:rsid w:val="009F5760"/>
    <w:rsid w:val="009F5850"/>
    <w:rsid w:val="009F58F4"/>
    <w:rsid w:val="009F59C2"/>
    <w:rsid w:val="009F5A9A"/>
    <w:rsid w:val="009F5AC6"/>
    <w:rsid w:val="009F5AF6"/>
    <w:rsid w:val="009F5D3E"/>
    <w:rsid w:val="009F5F73"/>
    <w:rsid w:val="009F5FC5"/>
    <w:rsid w:val="009F61AF"/>
    <w:rsid w:val="009F62CC"/>
    <w:rsid w:val="009F65D2"/>
    <w:rsid w:val="009F65E9"/>
    <w:rsid w:val="009F67F7"/>
    <w:rsid w:val="009F6AC6"/>
    <w:rsid w:val="009F6C2F"/>
    <w:rsid w:val="009F6C8A"/>
    <w:rsid w:val="009F6F9B"/>
    <w:rsid w:val="009F7018"/>
    <w:rsid w:val="009F70A5"/>
    <w:rsid w:val="009F70B6"/>
    <w:rsid w:val="009F7165"/>
    <w:rsid w:val="009F7383"/>
    <w:rsid w:val="009F73DA"/>
    <w:rsid w:val="009F7575"/>
    <w:rsid w:val="009F7582"/>
    <w:rsid w:val="009F76C8"/>
    <w:rsid w:val="009F7756"/>
    <w:rsid w:val="009F7947"/>
    <w:rsid w:val="009F79EF"/>
    <w:rsid w:val="009F7C71"/>
    <w:rsid w:val="009F7CDA"/>
    <w:rsid w:val="009F7F63"/>
    <w:rsid w:val="009F7F91"/>
    <w:rsid w:val="009F7FA7"/>
    <w:rsid w:val="009F7FC4"/>
    <w:rsid w:val="009F7FDE"/>
    <w:rsid w:val="00A0012B"/>
    <w:rsid w:val="00A00261"/>
    <w:rsid w:val="00A0026C"/>
    <w:rsid w:val="00A003B8"/>
    <w:rsid w:val="00A00400"/>
    <w:rsid w:val="00A00609"/>
    <w:rsid w:val="00A00833"/>
    <w:rsid w:val="00A0086E"/>
    <w:rsid w:val="00A00A19"/>
    <w:rsid w:val="00A00DB1"/>
    <w:rsid w:val="00A00E62"/>
    <w:rsid w:val="00A00EC5"/>
    <w:rsid w:val="00A00EDB"/>
    <w:rsid w:val="00A00EE4"/>
    <w:rsid w:val="00A011A8"/>
    <w:rsid w:val="00A014AE"/>
    <w:rsid w:val="00A014D9"/>
    <w:rsid w:val="00A0195D"/>
    <w:rsid w:val="00A01C33"/>
    <w:rsid w:val="00A01CBB"/>
    <w:rsid w:val="00A01D39"/>
    <w:rsid w:val="00A01E0E"/>
    <w:rsid w:val="00A0201C"/>
    <w:rsid w:val="00A020AC"/>
    <w:rsid w:val="00A0210A"/>
    <w:rsid w:val="00A02141"/>
    <w:rsid w:val="00A02350"/>
    <w:rsid w:val="00A0249E"/>
    <w:rsid w:val="00A026E0"/>
    <w:rsid w:val="00A0270F"/>
    <w:rsid w:val="00A02758"/>
    <w:rsid w:val="00A0286A"/>
    <w:rsid w:val="00A0287A"/>
    <w:rsid w:val="00A028D1"/>
    <w:rsid w:val="00A02A0A"/>
    <w:rsid w:val="00A02C20"/>
    <w:rsid w:val="00A02C21"/>
    <w:rsid w:val="00A02D9B"/>
    <w:rsid w:val="00A02E37"/>
    <w:rsid w:val="00A02E8C"/>
    <w:rsid w:val="00A02F4B"/>
    <w:rsid w:val="00A02FAB"/>
    <w:rsid w:val="00A03059"/>
    <w:rsid w:val="00A030D5"/>
    <w:rsid w:val="00A0315E"/>
    <w:rsid w:val="00A03526"/>
    <w:rsid w:val="00A036A9"/>
    <w:rsid w:val="00A03827"/>
    <w:rsid w:val="00A0382D"/>
    <w:rsid w:val="00A03926"/>
    <w:rsid w:val="00A0393B"/>
    <w:rsid w:val="00A03A8D"/>
    <w:rsid w:val="00A03AD8"/>
    <w:rsid w:val="00A03B9B"/>
    <w:rsid w:val="00A03D5B"/>
    <w:rsid w:val="00A03D8F"/>
    <w:rsid w:val="00A03EA2"/>
    <w:rsid w:val="00A03EBA"/>
    <w:rsid w:val="00A03F47"/>
    <w:rsid w:val="00A04170"/>
    <w:rsid w:val="00A041C5"/>
    <w:rsid w:val="00A0422C"/>
    <w:rsid w:val="00A04305"/>
    <w:rsid w:val="00A0472D"/>
    <w:rsid w:val="00A0475B"/>
    <w:rsid w:val="00A04C0F"/>
    <w:rsid w:val="00A04C89"/>
    <w:rsid w:val="00A04CD1"/>
    <w:rsid w:val="00A04D78"/>
    <w:rsid w:val="00A04DA4"/>
    <w:rsid w:val="00A04DB0"/>
    <w:rsid w:val="00A04E0F"/>
    <w:rsid w:val="00A04EBC"/>
    <w:rsid w:val="00A04F2A"/>
    <w:rsid w:val="00A05057"/>
    <w:rsid w:val="00A0508C"/>
    <w:rsid w:val="00A05113"/>
    <w:rsid w:val="00A05298"/>
    <w:rsid w:val="00A05333"/>
    <w:rsid w:val="00A0562E"/>
    <w:rsid w:val="00A05707"/>
    <w:rsid w:val="00A057AC"/>
    <w:rsid w:val="00A057F8"/>
    <w:rsid w:val="00A05812"/>
    <w:rsid w:val="00A05AE8"/>
    <w:rsid w:val="00A05B39"/>
    <w:rsid w:val="00A05C15"/>
    <w:rsid w:val="00A05D99"/>
    <w:rsid w:val="00A05DFD"/>
    <w:rsid w:val="00A05EC0"/>
    <w:rsid w:val="00A05EEB"/>
    <w:rsid w:val="00A06009"/>
    <w:rsid w:val="00A06111"/>
    <w:rsid w:val="00A06113"/>
    <w:rsid w:val="00A0654D"/>
    <w:rsid w:val="00A06697"/>
    <w:rsid w:val="00A066DA"/>
    <w:rsid w:val="00A068B0"/>
    <w:rsid w:val="00A068F4"/>
    <w:rsid w:val="00A0698D"/>
    <w:rsid w:val="00A06CA6"/>
    <w:rsid w:val="00A06D68"/>
    <w:rsid w:val="00A06D77"/>
    <w:rsid w:val="00A07041"/>
    <w:rsid w:val="00A071A5"/>
    <w:rsid w:val="00A0723B"/>
    <w:rsid w:val="00A073C9"/>
    <w:rsid w:val="00A07401"/>
    <w:rsid w:val="00A075DA"/>
    <w:rsid w:val="00A077E7"/>
    <w:rsid w:val="00A07882"/>
    <w:rsid w:val="00A0791A"/>
    <w:rsid w:val="00A07947"/>
    <w:rsid w:val="00A0796A"/>
    <w:rsid w:val="00A07A51"/>
    <w:rsid w:val="00A07AE3"/>
    <w:rsid w:val="00A07B6E"/>
    <w:rsid w:val="00A07F65"/>
    <w:rsid w:val="00A07FAB"/>
    <w:rsid w:val="00A10186"/>
    <w:rsid w:val="00A1018A"/>
    <w:rsid w:val="00A104C2"/>
    <w:rsid w:val="00A106E6"/>
    <w:rsid w:val="00A1075F"/>
    <w:rsid w:val="00A10796"/>
    <w:rsid w:val="00A10870"/>
    <w:rsid w:val="00A108C7"/>
    <w:rsid w:val="00A1090D"/>
    <w:rsid w:val="00A10A9F"/>
    <w:rsid w:val="00A10C89"/>
    <w:rsid w:val="00A110B4"/>
    <w:rsid w:val="00A110E4"/>
    <w:rsid w:val="00A111DC"/>
    <w:rsid w:val="00A111E3"/>
    <w:rsid w:val="00A1129F"/>
    <w:rsid w:val="00A11344"/>
    <w:rsid w:val="00A1138F"/>
    <w:rsid w:val="00A11437"/>
    <w:rsid w:val="00A1150F"/>
    <w:rsid w:val="00A11556"/>
    <w:rsid w:val="00A11574"/>
    <w:rsid w:val="00A11642"/>
    <w:rsid w:val="00A11742"/>
    <w:rsid w:val="00A1176B"/>
    <w:rsid w:val="00A1177B"/>
    <w:rsid w:val="00A11849"/>
    <w:rsid w:val="00A118A9"/>
    <w:rsid w:val="00A11ABD"/>
    <w:rsid w:val="00A11C81"/>
    <w:rsid w:val="00A11D53"/>
    <w:rsid w:val="00A11FC0"/>
    <w:rsid w:val="00A120B6"/>
    <w:rsid w:val="00A120C2"/>
    <w:rsid w:val="00A120C6"/>
    <w:rsid w:val="00A120DE"/>
    <w:rsid w:val="00A120EB"/>
    <w:rsid w:val="00A12274"/>
    <w:rsid w:val="00A12328"/>
    <w:rsid w:val="00A1257C"/>
    <w:rsid w:val="00A12588"/>
    <w:rsid w:val="00A12647"/>
    <w:rsid w:val="00A126C2"/>
    <w:rsid w:val="00A127F5"/>
    <w:rsid w:val="00A1299C"/>
    <w:rsid w:val="00A12BCF"/>
    <w:rsid w:val="00A12C26"/>
    <w:rsid w:val="00A12E56"/>
    <w:rsid w:val="00A12F7F"/>
    <w:rsid w:val="00A13110"/>
    <w:rsid w:val="00A13148"/>
    <w:rsid w:val="00A1314D"/>
    <w:rsid w:val="00A13548"/>
    <w:rsid w:val="00A136AA"/>
    <w:rsid w:val="00A1384B"/>
    <w:rsid w:val="00A13855"/>
    <w:rsid w:val="00A1389D"/>
    <w:rsid w:val="00A13AC5"/>
    <w:rsid w:val="00A13ADA"/>
    <w:rsid w:val="00A13AE7"/>
    <w:rsid w:val="00A13C0A"/>
    <w:rsid w:val="00A13CA8"/>
    <w:rsid w:val="00A13CFD"/>
    <w:rsid w:val="00A13D89"/>
    <w:rsid w:val="00A13D90"/>
    <w:rsid w:val="00A13DBC"/>
    <w:rsid w:val="00A13DFA"/>
    <w:rsid w:val="00A13E8C"/>
    <w:rsid w:val="00A13EB8"/>
    <w:rsid w:val="00A13F08"/>
    <w:rsid w:val="00A13F6E"/>
    <w:rsid w:val="00A142FA"/>
    <w:rsid w:val="00A14393"/>
    <w:rsid w:val="00A144A6"/>
    <w:rsid w:val="00A1455B"/>
    <w:rsid w:val="00A14798"/>
    <w:rsid w:val="00A147D5"/>
    <w:rsid w:val="00A14946"/>
    <w:rsid w:val="00A14B11"/>
    <w:rsid w:val="00A14B61"/>
    <w:rsid w:val="00A14D6C"/>
    <w:rsid w:val="00A14D93"/>
    <w:rsid w:val="00A14E36"/>
    <w:rsid w:val="00A14EE6"/>
    <w:rsid w:val="00A14F51"/>
    <w:rsid w:val="00A14FFD"/>
    <w:rsid w:val="00A151DF"/>
    <w:rsid w:val="00A15220"/>
    <w:rsid w:val="00A15251"/>
    <w:rsid w:val="00A1530C"/>
    <w:rsid w:val="00A15442"/>
    <w:rsid w:val="00A15471"/>
    <w:rsid w:val="00A154F5"/>
    <w:rsid w:val="00A15564"/>
    <w:rsid w:val="00A155AE"/>
    <w:rsid w:val="00A15612"/>
    <w:rsid w:val="00A15659"/>
    <w:rsid w:val="00A158B4"/>
    <w:rsid w:val="00A15A5F"/>
    <w:rsid w:val="00A15C20"/>
    <w:rsid w:val="00A15E3F"/>
    <w:rsid w:val="00A15EF0"/>
    <w:rsid w:val="00A15FB8"/>
    <w:rsid w:val="00A16418"/>
    <w:rsid w:val="00A164F2"/>
    <w:rsid w:val="00A16572"/>
    <w:rsid w:val="00A165FC"/>
    <w:rsid w:val="00A16608"/>
    <w:rsid w:val="00A16719"/>
    <w:rsid w:val="00A16837"/>
    <w:rsid w:val="00A16BB1"/>
    <w:rsid w:val="00A16C4E"/>
    <w:rsid w:val="00A16CAB"/>
    <w:rsid w:val="00A16CC6"/>
    <w:rsid w:val="00A16E9F"/>
    <w:rsid w:val="00A16F28"/>
    <w:rsid w:val="00A16F60"/>
    <w:rsid w:val="00A16F70"/>
    <w:rsid w:val="00A16FE1"/>
    <w:rsid w:val="00A17072"/>
    <w:rsid w:val="00A170F0"/>
    <w:rsid w:val="00A17227"/>
    <w:rsid w:val="00A17315"/>
    <w:rsid w:val="00A17714"/>
    <w:rsid w:val="00A17991"/>
    <w:rsid w:val="00A17AC7"/>
    <w:rsid w:val="00A17CFA"/>
    <w:rsid w:val="00A17D72"/>
    <w:rsid w:val="00A17E8E"/>
    <w:rsid w:val="00A1B618"/>
    <w:rsid w:val="00A200DF"/>
    <w:rsid w:val="00A20167"/>
    <w:rsid w:val="00A2031E"/>
    <w:rsid w:val="00A2044B"/>
    <w:rsid w:val="00A208F4"/>
    <w:rsid w:val="00A20917"/>
    <w:rsid w:val="00A2093B"/>
    <w:rsid w:val="00A20A56"/>
    <w:rsid w:val="00A20AF4"/>
    <w:rsid w:val="00A20B5A"/>
    <w:rsid w:val="00A20BA5"/>
    <w:rsid w:val="00A20CED"/>
    <w:rsid w:val="00A20E75"/>
    <w:rsid w:val="00A20F94"/>
    <w:rsid w:val="00A211AF"/>
    <w:rsid w:val="00A211E0"/>
    <w:rsid w:val="00A2131B"/>
    <w:rsid w:val="00A213BB"/>
    <w:rsid w:val="00A214F1"/>
    <w:rsid w:val="00A215F2"/>
    <w:rsid w:val="00A21677"/>
    <w:rsid w:val="00A218F0"/>
    <w:rsid w:val="00A2194A"/>
    <w:rsid w:val="00A21A1D"/>
    <w:rsid w:val="00A21AE2"/>
    <w:rsid w:val="00A21B88"/>
    <w:rsid w:val="00A21BC3"/>
    <w:rsid w:val="00A21D5F"/>
    <w:rsid w:val="00A21EF3"/>
    <w:rsid w:val="00A220AD"/>
    <w:rsid w:val="00A220F0"/>
    <w:rsid w:val="00A222FE"/>
    <w:rsid w:val="00A2239F"/>
    <w:rsid w:val="00A223D1"/>
    <w:rsid w:val="00A22428"/>
    <w:rsid w:val="00A22448"/>
    <w:rsid w:val="00A22555"/>
    <w:rsid w:val="00A22992"/>
    <w:rsid w:val="00A229AF"/>
    <w:rsid w:val="00A22ACF"/>
    <w:rsid w:val="00A22ADA"/>
    <w:rsid w:val="00A22C40"/>
    <w:rsid w:val="00A22C87"/>
    <w:rsid w:val="00A22D69"/>
    <w:rsid w:val="00A22FD4"/>
    <w:rsid w:val="00A2307C"/>
    <w:rsid w:val="00A230AF"/>
    <w:rsid w:val="00A231F3"/>
    <w:rsid w:val="00A23215"/>
    <w:rsid w:val="00A233EA"/>
    <w:rsid w:val="00A23490"/>
    <w:rsid w:val="00A23632"/>
    <w:rsid w:val="00A236DE"/>
    <w:rsid w:val="00A23703"/>
    <w:rsid w:val="00A2373D"/>
    <w:rsid w:val="00A238F9"/>
    <w:rsid w:val="00A23979"/>
    <w:rsid w:val="00A239F8"/>
    <w:rsid w:val="00A23BFF"/>
    <w:rsid w:val="00A23CAA"/>
    <w:rsid w:val="00A23ECC"/>
    <w:rsid w:val="00A23FFC"/>
    <w:rsid w:val="00A2400C"/>
    <w:rsid w:val="00A2408D"/>
    <w:rsid w:val="00A243CF"/>
    <w:rsid w:val="00A2442A"/>
    <w:rsid w:val="00A24459"/>
    <w:rsid w:val="00A2487F"/>
    <w:rsid w:val="00A248B7"/>
    <w:rsid w:val="00A248CF"/>
    <w:rsid w:val="00A24971"/>
    <w:rsid w:val="00A249FB"/>
    <w:rsid w:val="00A24ABE"/>
    <w:rsid w:val="00A24B00"/>
    <w:rsid w:val="00A24C69"/>
    <w:rsid w:val="00A24CEE"/>
    <w:rsid w:val="00A24D0E"/>
    <w:rsid w:val="00A24D10"/>
    <w:rsid w:val="00A24E0D"/>
    <w:rsid w:val="00A24E1F"/>
    <w:rsid w:val="00A24F4F"/>
    <w:rsid w:val="00A251B2"/>
    <w:rsid w:val="00A2522E"/>
    <w:rsid w:val="00A25553"/>
    <w:rsid w:val="00A25694"/>
    <w:rsid w:val="00A25768"/>
    <w:rsid w:val="00A25AC8"/>
    <w:rsid w:val="00A25B66"/>
    <w:rsid w:val="00A25BCC"/>
    <w:rsid w:val="00A25C5E"/>
    <w:rsid w:val="00A25DBA"/>
    <w:rsid w:val="00A25E28"/>
    <w:rsid w:val="00A25E57"/>
    <w:rsid w:val="00A25EAB"/>
    <w:rsid w:val="00A25F9A"/>
    <w:rsid w:val="00A260A9"/>
    <w:rsid w:val="00A26117"/>
    <w:rsid w:val="00A2616C"/>
    <w:rsid w:val="00A26196"/>
    <w:rsid w:val="00A26402"/>
    <w:rsid w:val="00A26423"/>
    <w:rsid w:val="00A2664F"/>
    <w:rsid w:val="00A267A2"/>
    <w:rsid w:val="00A267E6"/>
    <w:rsid w:val="00A26854"/>
    <w:rsid w:val="00A26871"/>
    <w:rsid w:val="00A268C4"/>
    <w:rsid w:val="00A2698C"/>
    <w:rsid w:val="00A26A5F"/>
    <w:rsid w:val="00A26AE8"/>
    <w:rsid w:val="00A26B61"/>
    <w:rsid w:val="00A26C0B"/>
    <w:rsid w:val="00A26D15"/>
    <w:rsid w:val="00A26E3F"/>
    <w:rsid w:val="00A26E74"/>
    <w:rsid w:val="00A27124"/>
    <w:rsid w:val="00A275D0"/>
    <w:rsid w:val="00A27636"/>
    <w:rsid w:val="00A278C3"/>
    <w:rsid w:val="00A2796B"/>
    <w:rsid w:val="00A27B5A"/>
    <w:rsid w:val="00A27CD4"/>
    <w:rsid w:val="00A27ED0"/>
    <w:rsid w:val="00A27F13"/>
    <w:rsid w:val="00A30225"/>
    <w:rsid w:val="00A3027D"/>
    <w:rsid w:val="00A30283"/>
    <w:rsid w:val="00A302B1"/>
    <w:rsid w:val="00A303C3"/>
    <w:rsid w:val="00A304B0"/>
    <w:rsid w:val="00A3056A"/>
    <w:rsid w:val="00A3062E"/>
    <w:rsid w:val="00A30695"/>
    <w:rsid w:val="00A3069E"/>
    <w:rsid w:val="00A30707"/>
    <w:rsid w:val="00A30B56"/>
    <w:rsid w:val="00A30BAB"/>
    <w:rsid w:val="00A30C54"/>
    <w:rsid w:val="00A30C7C"/>
    <w:rsid w:val="00A30D44"/>
    <w:rsid w:val="00A30D47"/>
    <w:rsid w:val="00A30D9F"/>
    <w:rsid w:val="00A30E37"/>
    <w:rsid w:val="00A30F09"/>
    <w:rsid w:val="00A30F89"/>
    <w:rsid w:val="00A310F5"/>
    <w:rsid w:val="00A31237"/>
    <w:rsid w:val="00A31279"/>
    <w:rsid w:val="00A313DF"/>
    <w:rsid w:val="00A31407"/>
    <w:rsid w:val="00A316A9"/>
    <w:rsid w:val="00A31966"/>
    <w:rsid w:val="00A3196D"/>
    <w:rsid w:val="00A319B7"/>
    <w:rsid w:val="00A31AB1"/>
    <w:rsid w:val="00A31B13"/>
    <w:rsid w:val="00A31E6F"/>
    <w:rsid w:val="00A321F0"/>
    <w:rsid w:val="00A3230E"/>
    <w:rsid w:val="00A323D3"/>
    <w:rsid w:val="00A32406"/>
    <w:rsid w:val="00A325E8"/>
    <w:rsid w:val="00A3263A"/>
    <w:rsid w:val="00A32775"/>
    <w:rsid w:val="00A3277A"/>
    <w:rsid w:val="00A327E0"/>
    <w:rsid w:val="00A3281E"/>
    <w:rsid w:val="00A32837"/>
    <w:rsid w:val="00A328ED"/>
    <w:rsid w:val="00A32934"/>
    <w:rsid w:val="00A32978"/>
    <w:rsid w:val="00A32BEE"/>
    <w:rsid w:val="00A32CCE"/>
    <w:rsid w:val="00A32D4E"/>
    <w:rsid w:val="00A32D55"/>
    <w:rsid w:val="00A32D9A"/>
    <w:rsid w:val="00A33077"/>
    <w:rsid w:val="00A33127"/>
    <w:rsid w:val="00A3318C"/>
    <w:rsid w:val="00A336B0"/>
    <w:rsid w:val="00A33895"/>
    <w:rsid w:val="00A338FF"/>
    <w:rsid w:val="00A3392C"/>
    <w:rsid w:val="00A339DA"/>
    <w:rsid w:val="00A339FF"/>
    <w:rsid w:val="00A33C34"/>
    <w:rsid w:val="00A33C86"/>
    <w:rsid w:val="00A33EF5"/>
    <w:rsid w:val="00A34002"/>
    <w:rsid w:val="00A34004"/>
    <w:rsid w:val="00A341FA"/>
    <w:rsid w:val="00A34215"/>
    <w:rsid w:val="00A342A8"/>
    <w:rsid w:val="00A34411"/>
    <w:rsid w:val="00A34464"/>
    <w:rsid w:val="00A34602"/>
    <w:rsid w:val="00A34655"/>
    <w:rsid w:val="00A34732"/>
    <w:rsid w:val="00A347D7"/>
    <w:rsid w:val="00A349A9"/>
    <w:rsid w:val="00A34AFD"/>
    <w:rsid w:val="00A34B90"/>
    <w:rsid w:val="00A34C6B"/>
    <w:rsid w:val="00A34CEC"/>
    <w:rsid w:val="00A34D38"/>
    <w:rsid w:val="00A34EE4"/>
    <w:rsid w:val="00A34FC8"/>
    <w:rsid w:val="00A34FFC"/>
    <w:rsid w:val="00A35111"/>
    <w:rsid w:val="00A3526A"/>
    <w:rsid w:val="00A35417"/>
    <w:rsid w:val="00A35423"/>
    <w:rsid w:val="00A354BE"/>
    <w:rsid w:val="00A355D3"/>
    <w:rsid w:val="00A356E3"/>
    <w:rsid w:val="00A35726"/>
    <w:rsid w:val="00A35828"/>
    <w:rsid w:val="00A358C4"/>
    <w:rsid w:val="00A35960"/>
    <w:rsid w:val="00A35A8E"/>
    <w:rsid w:val="00A35AD1"/>
    <w:rsid w:val="00A35C06"/>
    <w:rsid w:val="00A35D2A"/>
    <w:rsid w:val="00A35E91"/>
    <w:rsid w:val="00A35EE2"/>
    <w:rsid w:val="00A35EE7"/>
    <w:rsid w:val="00A36164"/>
    <w:rsid w:val="00A3632D"/>
    <w:rsid w:val="00A363E7"/>
    <w:rsid w:val="00A36531"/>
    <w:rsid w:val="00A3654A"/>
    <w:rsid w:val="00A365C8"/>
    <w:rsid w:val="00A367B5"/>
    <w:rsid w:val="00A36916"/>
    <w:rsid w:val="00A36A75"/>
    <w:rsid w:val="00A36AE9"/>
    <w:rsid w:val="00A36B6D"/>
    <w:rsid w:val="00A36BB2"/>
    <w:rsid w:val="00A36C47"/>
    <w:rsid w:val="00A36D4F"/>
    <w:rsid w:val="00A36D58"/>
    <w:rsid w:val="00A36DC1"/>
    <w:rsid w:val="00A36E96"/>
    <w:rsid w:val="00A36EF3"/>
    <w:rsid w:val="00A36EF5"/>
    <w:rsid w:val="00A36FC7"/>
    <w:rsid w:val="00A370DF"/>
    <w:rsid w:val="00A37172"/>
    <w:rsid w:val="00A3717B"/>
    <w:rsid w:val="00A371AB"/>
    <w:rsid w:val="00A371CA"/>
    <w:rsid w:val="00A371FD"/>
    <w:rsid w:val="00A37263"/>
    <w:rsid w:val="00A3735C"/>
    <w:rsid w:val="00A375C2"/>
    <w:rsid w:val="00A3765E"/>
    <w:rsid w:val="00A37730"/>
    <w:rsid w:val="00A377D6"/>
    <w:rsid w:val="00A37921"/>
    <w:rsid w:val="00A37A09"/>
    <w:rsid w:val="00A37B95"/>
    <w:rsid w:val="00A37CDD"/>
    <w:rsid w:val="00A37D4C"/>
    <w:rsid w:val="00A37DEB"/>
    <w:rsid w:val="00A37F8C"/>
    <w:rsid w:val="00A400F4"/>
    <w:rsid w:val="00A401CE"/>
    <w:rsid w:val="00A40372"/>
    <w:rsid w:val="00A404C6"/>
    <w:rsid w:val="00A405E5"/>
    <w:rsid w:val="00A40719"/>
    <w:rsid w:val="00A407D5"/>
    <w:rsid w:val="00A40836"/>
    <w:rsid w:val="00A40906"/>
    <w:rsid w:val="00A4096B"/>
    <w:rsid w:val="00A409ED"/>
    <w:rsid w:val="00A40BD4"/>
    <w:rsid w:val="00A40C52"/>
    <w:rsid w:val="00A40D7A"/>
    <w:rsid w:val="00A40E45"/>
    <w:rsid w:val="00A40FDE"/>
    <w:rsid w:val="00A4138E"/>
    <w:rsid w:val="00A41435"/>
    <w:rsid w:val="00A41497"/>
    <w:rsid w:val="00A414AC"/>
    <w:rsid w:val="00A415EA"/>
    <w:rsid w:val="00A41708"/>
    <w:rsid w:val="00A419A1"/>
    <w:rsid w:val="00A41A3B"/>
    <w:rsid w:val="00A41A3D"/>
    <w:rsid w:val="00A41A9B"/>
    <w:rsid w:val="00A41D46"/>
    <w:rsid w:val="00A41DCA"/>
    <w:rsid w:val="00A41E83"/>
    <w:rsid w:val="00A41FB1"/>
    <w:rsid w:val="00A4207C"/>
    <w:rsid w:val="00A420D6"/>
    <w:rsid w:val="00A420E9"/>
    <w:rsid w:val="00A4213F"/>
    <w:rsid w:val="00A4221A"/>
    <w:rsid w:val="00A425AD"/>
    <w:rsid w:val="00A426D1"/>
    <w:rsid w:val="00A42808"/>
    <w:rsid w:val="00A42847"/>
    <w:rsid w:val="00A428B1"/>
    <w:rsid w:val="00A42A87"/>
    <w:rsid w:val="00A42B7F"/>
    <w:rsid w:val="00A42BD3"/>
    <w:rsid w:val="00A42BEF"/>
    <w:rsid w:val="00A42C69"/>
    <w:rsid w:val="00A42FCE"/>
    <w:rsid w:val="00A43104"/>
    <w:rsid w:val="00A431EB"/>
    <w:rsid w:val="00A434D3"/>
    <w:rsid w:val="00A43641"/>
    <w:rsid w:val="00A4365A"/>
    <w:rsid w:val="00A4367C"/>
    <w:rsid w:val="00A437F6"/>
    <w:rsid w:val="00A439D4"/>
    <w:rsid w:val="00A43B46"/>
    <w:rsid w:val="00A43C3B"/>
    <w:rsid w:val="00A43E8C"/>
    <w:rsid w:val="00A43EC7"/>
    <w:rsid w:val="00A4408A"/>
    <w:rsid w:val="00A440BE"/>
    <w:rsid w:val="00A442E3"/>
    <w:rsid w:val="00A4471D"/>
    <w:rsid w:val="00A44819"/>
    <w:rsid w:val="00A448A3"/>
    <w:rsid w:val="00A44A30"/>
    <w:rsid w:val="00A44A3F"/>
    <w:rsid w:val="00A44B4F"/>
    <w:rsid w:val="00A44C9C"/>
    <w:rsid w:val="00A44D77"/>
    <w:rsid w:val="00A44DF7"/>
    <w:rsid w:val="00A44EA1"/>
    <w:rsid w:val="00A44EEF"/>
    <w:rsid w:val="00A4505E"/>
    <w:rsid w:val="00A450D6"/>
    <w:rsid w:val="00A450E2"/>
    <w:rsid w:val="00A451CF"/>
    <w:rsid w:val="00A451EA"/>
    <w:rsid w:val="00A452E4"/>
    <w:rsid w:val="00A453CA"/>
    <w:rsid w:val="00A456C4"/>
    <w:rsid w:val="00A45845"/>
    <w:rsid w:val="00A45A19"/>
    <w:rsid w:val="00A45A53"/>
    <w:rsid w:val="00A45AC8"/>
    <w:rsid w:val="00A45AF7"/>
    <w:rsid w:val="00A45C20"/>
    <w:rsid w:val="00A45D01"/>
    <w:rsid w:val="00A45E1E"/>
    <w:rsid w:val="00A45EFC"/>
    <w:rsid w:val="00A46004"/>
    <w:rsid w:val="00A461C0"/>
    <w:rsid w:val="00A462D1"/>
    <w:rsid w:val="00A46376"/>
    <w:rsid w:val="00A464E8"/>
    <w:rsid w:val="00A4650E"/>
    <w:rsid w:val="00A46633"/>
    <w:rsid w:val="00A4684D"/>
    <w:rsid w:val="00A4697F"/>
    <w:rsid w:val="00A469A0"/>
    <w:rsid w:val="00A46A25"/>
    <w:rsid w:val="00A46A59"/>
    <w:rsid w:val="00A46A83"/>
    <w:rsid w:val="00A46D20"/>
    <w:rsid w:val="00A46F00"/>
    <w:rsid w:val="00A47026"/>
    <w:rsid w:val="00A473A8"/>
    <w:rsid w:val="00A474DB"/>
    <w:rsid w:val="00A47544"/>
    <w:rsid w:val="00A476AB"/>
    <w:rsid w:val="00A477B6"/>
    <w:rsid w:val="00A4787A"/>
    <w:rsid w:val="00A4790D"/>
    <w:rsid w:val="00A47B09"/>
    <w:rsid w:val="00A47B53"/>
    <w:rsid w:val="00A47B9B"/>
    <w:rsid w:val="00A47BBD"/>
    <w:rsid w:val="00A47EE7"/>
    <w:rsid w:val="00A5015B"/>
    <w:rsid w:val="00A50165"/>
    <w:rsid w:val="00A50183"/>
    <w:rsid w:val="00A5045B"/>
    <w:rsid w:val="00A50476"/>
    <w:rsid w:val="00A5080E"/>
    <w:rsid w:val="00A50867"/>
    <w:rsid w:val="00A50A55"/>
    <w:rsid w:val="00A50A9C"/>
    <w:rsid w:val="00A50BD7"/>
    <w:rsid w:val="00A50F02"/>
    <w:rsid w:val="00A50FC7"/>
    <w:rsid w:val="00A50FE9"/>
    <w:rsid w:val="00A5129C"/>
    <w:rsid w:val="00A51391"/>
    <w:rsid w:val="00A51753"/>
    <w:rsid w:val="00A51781"/>
    <w:rsid w:val="00A517DF"/>
    <w:rsid w:val="00A519F7"/>
    <w:rsid w:val="00A51ABA"/>
    <w:rsid w:val="00A51B54"/>
    <w:rsid w:val="00A51BF8"/>
    <w:rsid w:val="00A51EF1"/>
    <w:rsid w:val="00A51F6C"/>
    <w:rsid w:val="00A52198"/>
    <w:rsid w:val="00A521B5"/>
    <w:rsid w:val="00A5229A"/>
    <w:rsid w:val="00A522BA"/>
    <w:rsid w:val="00A523C5"/>
    <w:rsid w:val="00A523DC"/>
    <w:rsid w:val="00A52419"/>
    <w:rsid w:val="00A52450"/>
    <w:rsid w:val="00A5247A"/>
    <w:rsid w:val="00A525F7"/>
    <w:rsid w:val="00A52827"/>
    <w:rsid w:val="00A52835"/>
    <w:rsid w:val="00A528BF"/>
    <w:rsid w:val="00A52967"/>
    <w:rsid w:val="00A5296A"/>
    <w:rsid w:val="00A52B8C"/>
    <w:rsid w:val="00A52BBE"/>
    <w:rsid w:val="00A52C1A"/>
    <w:rsid w:val="00A52DCC"/>
    <w:rsid w:val="00A52DD5"/>
    <w:rsid w:val="00A52E6D"/>
    <w:rsid w:val="00A52ED3"/>
    <w:rsid w:val="00A52EDC"/>
    <w:rsid w:val="00A52EDF"/>
    <w:rsid w:val="00A52EF9"/>
    <w:rsid w:val="00A52F35"/>
    <w:rsid w:val="00A52F68"/>
    <w:rsid w:val="00A52F94"/>
    <w:rsid w:val="00A53065"/>
    <w:rsid w:val="00A53099"/>
    <w:rsid w:val="00A5317D"/>
    <w:rsid w:val="00A531CC"/>
    <w:rsid w:val="00A532BA"/>
    <w:rsid w:val="00A53550"/>
    <w:rsid w:val="00A536C4"/>
    <w:rsid w:val="00A53835"/>
    <w:rsid w:val="00A53B8D"/>
    <w:rsid w:val="00A53CFD"/>
    <w:rsid w:val="00A53DC3"/>
    <w:rsid w:val="00A53E93"/>
    <w:rsid w:val="00A53FB9"/>
    <w:rsid w:val="00A53FF2"/>
    <w:rsid w:val="00A54168"/>
    <w:rsid w:val="00A5428E"/>
    <w:rsid w:val="00A542EB"/>
    <w:rsid w:val="00A5436E"/>
    <w:rsid w:val="00A5438D"/>
    <w:rsid w:val="00A5440D"/>
    <w:rsid w:val="00A5451B"/>
    <w:rsid w:val="00A54933"/>
    <w:rsid w:val="00A54946"/>
    <w:rsid w:val="00A54AD2"/>
    <w:rsid w:val="00A54B7A"/>
    <w:rsid w:val="00A54BB1"/>
    <w:rsid w:val="00A54C42"/>
    <w:rsid w:val="00A54CBE"/>
    <w:rsid w:val="00A54D5D"/>
    <w:rsid w:val="00A54E73"/>
    <w:rsid w:val="00A54FB0"/>
    <w:rsid w:val="00A55239"/>
    <w:rsid w:val="00A5524C"/>
    <w:rsid w:val="00A5552B"/>
    <w:rsid w:val="00A555E8"/>
    <w:rsid w:val="00A55633"/>
    <w:rsid w:val="00A55711"/>
    <w:rsid w:val="00A55793"/>
    <w:rsid w:val="00A55929"/>
    <w:rsid w:val="00A55A11"/>
    <w:rsid w:val="00A55A42"/>
    <w:rsid w:val="00A55CD7"/>
    <w:rsid w:val="00A55ED2"/>
    <w:rsid w:val="00A561C3"/>
    <w:rsid w:val="00A56247"/>
    <w:rsid w:val="00A5624B"/>
    <w:rsid w:val="00A564B0"/>
    <w:rsid w:val="00A564EA"/>
    <w:rsid w:val="00A565B4"/>
    <w:rsid w:val="00A5671E"/>
    <w:rsid w:val="00A56735"/>
    <w:rsid w:val="00A568CC"/>
    <w:rsid w:val="00A56924"/>
    <w:rsid w:val="00A56993"/>
    <w:rsid w:val="00A56B4C"/>
    <w:rsid w:val="00A56D59"/>
    <w:rsid w:val="00A56EC5"/>
    <w:rsid w:val="00A56F1D"/>
    <w:rsid w:val="00A57001"/>
    <w:rsid w:val="00A5702B"/>
    <w:rsid w:val="00A5719C"/>
    <w:rsid w:val="00A571EE"/>
    <w:rsid w:val="00A572FC"/>
    <w:rsid w:val="00A5751A"/>
    <w:rsid w:val="00A57561"/>
    <w:rsid w:val="00A57599"/>
    <w:rsid w:val="00A5787A"/>
    <w:rsid w:val="00A578CA"/>
    <w:rsid w:val="00A57918"/>
    <w:rsid w:val="00A57935"/>
    <w:rsid w:val="00A5797A"/>
    <w:rsid w:val="00A57C77"/>
    <w:rsid w:val="00A57D7B"/>
    <w:rsid w:val="00A57E61"/>
    <w:rsid w:val="00A60065"/>
    <w:rsid w:val="00A600E6"/>
    <w:rsid w:val="00A60177"/>
    <w:rsid w:val="00A601E8"/>
    <w:rsid w:val="00A6049A"/>
    <w:rsid w:val="00A6056E"/>
    <w:rsid w:val="00A606B8"/>
    <w:rsid w:val="00A60747"/>
    <w:rsid w:val="00A6078F"/>
    <w:rsid w:val="00A608D9"/>
    <w:rsid w:val="00A60902"/>
    <w:rsid w:val="00A609FA"/>
    <w:rsid w:val="00A60A41"/>
    <w:rsid w:val="00A60C88"/>
    <w:rsid w:val="00A60E63"/>
    <w:rsid w:val="00A61021"/>
    <w:rsid w:val="00A611A5"/>
    <w:rsid w:val="00A611CB"/>
    <w:rsid w:val="00A6123B"/>
    <w:rsid w:val="00A613B3"/>
    <w:rsid w:val="00A61602"/>
    <w:rsid w:val="00A61697"/>
    <w:rsid w:val="00A61783"/>
    <w:rsid w:val="00A617C7"/>
    <w:rsid w:val="00A61840"/>
    <w:rsid w:val="00A618FF"/>
    <w:rsid w:val="00A6194D"/>
    <w:rsid w:val="00A61A01"/>
    <w:rsid w:val="00A61B4A"/>
    <w:rsid w:val="00A61D35"/>
    <w:rsid w:val="00A61F72"/>
    <w:rsid w:val="00A61F80"/>
    <w:rsid w:val="00A6202A"/>
    <w:rsid w:val="00A6227F"/>
    <w:rsid w:val="00A622CA"/>
    <w:rsid w:val="00A622DE"/>
    <w:rsid w:val="00A624EA"/>
    <w:rsid w:val="00A62553"/>
    <w:rsid w:val="00A62566"/>
    <w:rsid w:val="00A62678"/>
    <w:rsid w:val="00A626B1"/>
    <w:rsid w:val="00A6277A"/>
    <w:rsid w:val="00A62790"/>
    <w:rsid w:val="00A6292D"/>
    <w:rsid w:val="00A62B22"/>
    <w:rsid w:val="00A62CC2"/>
    <w:rsid w:val="00A62E60"/>
    <w:rsid w:val="00A630BD"/>
    <w:rsid w:val="00A630C5"/>
    <w:rsid w:val="00A631DD"/>
    <w:rsid w:val="00A63234"/>
    <w:rsid w:val="00A632F3"/>
    <w:rsid w:val="00A633BB"/>
    <w:rsid w:val="00A63576"/>
    <w:rsid w:val="00A63638"/>
    <w:rsid w:val="00A636A3"/>
    <w:rsid w:val="00A636AE"/>
    <w:rsid w:val="00A6371A"/>
    <w:rsid w:val="00A637FE"/>
    <w:rsid w:val="00A63A3A"/>
    <w:rsid w:val="00A63A6E"/>
    <w:rsid w:val="00A63AC4"/>
    <w:rsid w:val="00A63AE5"/>
    <w:rsid w:val="00A63D3A"/>
    <w:rsid w:val="00A63DBB"/>
    <w:rsid w:val="00A63E4A"/>
    <w:rsid w:val="00A63EC7"/>
    <w:rsid w:val="00A63FC4"/>
    <w:rsid w:val="00A64055"/>
    <w:rsid w:val="00A640B8"/>
    <w:rsid w:val="00A64355"/>
    <w:rsid w:val="00A643C2"/>
    <w:rsid w:val="00A64498"/>
    <w:rsid w:val="00A644F8"/>
    <w:rsid w:val="00A64515"/>
    <w:rsid w:val="00A645D2"/>
    <w:rsid w:val="00A646D5"/>
    <w:rsid w:val="00A648D5"/>
    <w:rsid w:val="00A649A9"/>
    <w:rsid w:val="00A64A8D"/>
    <w:rsid w:val="00A64AE8"/>
    <w:rsid w:val="00A64B41"/>
    <w:rsid w:val="00A64C62"/>
    <w:rsid w:val="00A64CBE"/>
    <w:rsid w:val="00A64D11"/>
    <w:rsid w:val="00A64DCF"/>
    <w:rsid w:val="00A64DF3"/>
    <w:rsid w:val="00A64E00"/>
    <w:rsid w:val="00A64E86"/>
    <w:rsid w:val="00A64F6A"/>
    <w:rsid w:val="00A6532A"/>
    <w:rsid w:val="00A65351"/>
    <w:rsid w:val="00A6570E"/>
    <w:rsid w:val="00A657BD"/>
    <w:rsid w:val="00A6590A"/>
    <w:rsid w:val="00A659CD"/>
    <w:rsid w:val="00A65AE4"/>
    <w:rsid w:val="00A65F55"/>
    <w:rsid w:val="00A65F5D"/>
    <w:rsid w:val="00A65F8F"/>
    <w:rsid w:val="00A660EA"/>
    <w:rsid w:val="00A66282"/>
    <w:rsid w:val="00A6635A"/>
    <w:rsid w:val="00A66391"/>
    <w:rsid w:val="00A66512"/>
    <w:rsid w:val="00A66632"/>
    <w:rsid w:val="00A666FC"/>
    <w:rsid w:val="00A667B0"/>
    <w:rsid w:val="00A6686A"/>
    <w:rsid w:val="00A668C8"/>
    <w:rsid w:val="00A6692A"/>
    <w:rsid w:val="00A66A31"/>
    <w:rsid w:val="00A66A64"/>
    <w:rsid w:val="00A66BC7"/>
    <w:rsid w:val="00A66CAE"/>
    <w:rsid w:val="00A66F03"/>
    <w:rsid w:val="00A66FBD"/>
    <w:rsid w:val="00A670B0"/>
    <w:rsid w:val="00A6712D"/>
    <w:rsid w:val="00A67163"/>
    <w:rsid w:val="00A6718A"/>
    <w:rsid w:val="00A6732F"/>
    <w:rsid w:val="00A6741D"/>
    <w:rsid w:val="00A674A1"/>
    <w:rsid w:val="00A677C4"/>
    <w:rsid w:val="00A678B7"/>
    <w:rsid w:val="00A678D6"/>
    <w:rsid w:val="00A67A32"/>
    <w:rsid w:val="00A67A77"/>
    <w:rsid w:val="00A67B1C"/>
    <w:rsid w:val="00A67B46"/>
    <w:rsid w:val="00A67C8A"/>
    <w:rsid w:val="00A67D71"/>
    <w:rsid w:val="00A67DF6"/>
    <w:rsid w:val="00A67E8E"/>
    <w:rsid w:val="00A70040"/>
    <w:rsid w:val="00A7006A"/>
    <w:rsid w:val="00A700AA"/>
    <w:rsid w:val="00A700CD"/>
    <w:rsid w:val="00A70172"/>
    <w:rsid w:val="00A70185"/>
    <w:rsid w:val="00A702A9"/>
    <w:rsid w:val="00A702B7"/>
    <w:rsid w:val="00A7045E"/>
    <w:rsid w:val="00A706C4"/>
    <w:rsid w:val="00A7070B"/>
    <w:rsid w:val="00A707AF"/>
    <w:rsid w:val="00A707F4"/>
    <w:rsid w:val="00A708E0"/>
    <w:rsid w:val="00A70CEF"/>
    <w:rsid w:val="00A70FC5"/>
    <w:rsid w:val="00A70FE4"/>
    <w:rsid w:val="00A71062"/>
    <w:rsid w:val="00A7115F"/>
    <w:rsid w:val="00A71280"/>
    <w:rsid w:val="00A71510"/>
    <w:rsid w:val="00A7176D"/>
    <w:rsid w:val="00A717E0"/>
    <w:rsid w:val="00A71816"/>
    <w:rsid w:val="00A7182B"/>
    <w:rsid w:val="00A7184E"/>
    <w:rsid w:val="00A71BFF"/>
    <w:rsid w:val="00A71CDD"/>
    <w:rsid w:val="00A71ED2"/>
    <w:rsid w:val="00A71F9E"/>
    <w:rsid w:val="00A7209E"/>
    <w:rsid w:val="00A721BB"/>
    <w:rsid w:val="00A72240"/>
    <w:rsid w:val="00A72267"/>
    <w:rsid w:val="00A7228B"/>
    <w:rsid w:val="00A7239F"/>
    <w:rsid w:val="00A723FE"/>
    <w:rsid w:val="00A7240A"/>
    <w:rsid w:val="00A72415"/>
    <w:rsid w:val="00A72547"/>
    <w:rsid w:val="00A72549"/>
    <w:rsid w:val="00A726C2"/>
    <w:rsid w:val="00A727F1"/>
    <w:rsid w:val="00A728E6"/>
    <w:rsid w:val="00A72ADA"/>
    <w:rsid w:val="00A72B90"/>
    <w:rsid w:val="00A72C58"/>
    <w:rsid w:val="00A72CC7"/>
    <w:rsid w:val="00A72ED0"/>
    <w:rsid w:val="00A7311A"/>
    <w:rsid w:val="00A731A0"/>
    <w:rsid w:val="00A73209"/>
    <w:rsid w:val="00A7344F"/>
    <w:rsid w:val="00A734D1"/>
    <w:rsid w:val="00A73677"/>
    <w:rsid w:val="00A7374E"/>
    <w:rsid w:val="00A7387A"/>
    <w:rsid w:val="00A73980"/>
    <w:rsid w:val="00A73A2A"/>
    <w:rsid w:val="00A73A8C"/>
    <w:rsid w:val="00A73AC0"/>
    <w:rsid w:val="00A73B3A"/>
    <w:rsid w:val="00A73B3F"/>
    <w:rsid w:val="00A73BE0"/>
    <w:rsid w:val="00A73CE7"/>
    <w:rsid w:val="00A73D18"/>
    <w:rsid w:val="00A73DE8"/>
    <w:rsid w:val="00A73F54"/>
    <w:rsid w:val="00A73FDA"/>
    <w:rsid w:val="00A7406D"/>
    <w:rsid w:val="00A74216"/>
    <w:rsid w:val="00A74387"/>
    <w:rsid w:val="00A74714"/>
    <w:rsid w:val="00A74774"/>
    <w:rsid w:val="00A747F2"/>
    <w:rsid w:val="00A74800"/>
    <w:rsid w:val="00A748F6"/>
    <w:rsid w:val="00A7498E"/>
    <w:rsid w:val="00A749FD"/>
    <w:rsid w:val="00A74B35"/>
    <w:rsid w:val="00A74C8E"/>
    <w:rsid w:val="00A74CB6"/>
    <w:rsid w:val="00A74D11"/>
    <w:rsid w:val="00A74E7D"/>
    <w:rsid w:val="00A74F27"/>
    <w:rsid w:val="00A74F66"/>
    <w:rsid w:val="00A74F9C"/>
    <w:rsid w:val="00A74FB2"/>
    <w:rsid w:val="00A751D2"/>
    <w:rsid w:val="00A7521C"/>
    <w:rsid w:val="00A75280"/>
    <w:rsid w:val="00A754DC"/>
    <w:rsid w:val="00A754EC"/>
    <w:rsid w:val="00A75519"/>
    <w:rsid w:val="00A75547"/>
    <w:rsid w:val="00A75567"/>
    <w:rsid w:val="00A755B7"/>
    <w:rsid w:val="00A755F2"/>
    <w:rsid w:val="00A75622"/>
    <w:rsid w:val="00A75626"/>
    <w:rsid w:val="00A758A6"/>
    <w:rsid w:val="00A75BC8"/>
    <w:rsid w:val="00A75C24"/>
    <w:rsid w:val="00A75C82"/>
    <w:rsid w:val="00A75DA2"/>
    <w:rsid w:val="00A75E5F"/>
    <w:rsid w:val="00A75F56"/>
    <w:rsid w:val="00A75FB3"/>
    <w:rsid w:val="00A760F3"/>
    <w:rsid w:val="00A7612C"/>
    <w:rsid w:val="00A7614E"/>
    <w:rsid w:val="00A762F9"/>
    <w:rsid w:val="00A76476"/>
    <w:rsid w:val="00A764CF"/>
    <w:rsid w:val="00A76629"/>
    <w:rsid w:val="00A767A2"/>
    <w:rsid w:val="00A76817"/>
    <w:rsid w:val="00A76910"/>
    <w:rsid w:val="00A76C1C"/>
    <w:rsid w:val="00A76F34"/>
    <w:rsid w:val="00A76F35"/>
    <w:rsid w:val="00A76F3A"/>
    <w:rsid w:val="00A7710B"/>
    <w:rsid w:val="00A77195"/>
    <w:rsid w:val="00A771CE"/>
    <w:rsid w:val="00A77248"/>
    <w:rsid w:val="00A772A1"/>
    <w:rsid w:val="00A77335"/>
    <w:rsid w:val="00A774E7"/>
    <w:rsid w:val="00A77587"/>
    <w:rsid w:val="00A775E4"/>
    <w:rsid w:val="00A77706"/>
    <w:rsid w:val="00A777F4"/>
    <w:rsid w:val="00A77A3F"/>
    <w:rsid w:val="00A77A5E"/>
    <w:rsid w:val="00A77A69"/>
    <w:rsid w:val="00A77B71"/>
    <w:rsid w:val="00A77CB0"/>
    <w:rsid w:val="00A77CF0"/>
    <w:rsid w:val="00A77CF8"/>
    <w:rsid w:val="00A77F18"/>
    <w:rsid w:val="00A77F7A"/>
    <w:rsid w:val="00A77F88"/>
    <w:rsid w:val="00A80294"/>
    <w:rsid w:val="00A802FE"/>
    <w:rsid w:val="00A803AC"/>
    <w:rsid w:val="00A804AD"/>
    <w:rsid w:val="00A8065F"/>
    <w:rsid w:val="00A806E8"/>
    <w:rsid w:val="00A8073C"/>
    <w:rsid w:val="00A80804"/>
    <w:rsid w:val="00A80822"/>
    <w:rsid w:val="00A80858"/>
    <w:rsid w:val="00A808AC"/>
    <w:rsid w:val="00A808D4"/>
    <w:rsid w:val="00A80998"/>
    <w:rsid w:val="00A80B07"/>
    <w:rsid w:val="00A80B66"/>
    <w:rsid w:val="00A80B9C"/>
    <w:rsid w:val="00A80CCB"/>
    <w:rsid w:val="00A80DEC"/>
    <w:rsid w:val="00A80E29"/>
    <w:rsid w:val="00A80E2B"/>
    <w:rsid w:val="00A80E9E"/>
    <w:rsid w:val="00A80EF2"/>
    <w:rsid w:val="00A80F92"/>
    <w:rsid w:val="00A8106F"/>
    <w:rsid w:val="00A81080"/>
    <w:rsid w:val="00A810AD"/>
    <w:rsid w:val="00A8115C"/>
    <w:rsid w:val="00A81299"/>
    <w:rsid w:val="00A812EB"/>
    <w:rsid w:val="00A81361"/>
    <w:rsid w:val="00A81400"/>
    <w:rsid w:val="00A81554"/>
    <w:rsid w:val="00A8171D"/>
    <w:rsid w:val="00A818DD"/>
    <w:rsid w:val="00A81BE6"/>
    <w:rsid w:val="00A81C93"/>
    <w:rsid w:val="00A81ED3"/>
    <w:rsid w:val="00A81EFF"/>
    <w:rsid w:val="00A82142"/>
    <w:rsid w:val="00A8215B"/>
    <w:rsid w:val="00A82210"/>
    <w:rsid w:val="00A8234C"/>
    <w:rsid w:val="00A825C5"/>
    <w:rsid w:val="00A8288E"/>
    <w:rsid w:val="00A82A60"/>
    <w:rsid w:val="00A82AA4"/>
    <w:rsid w:val="00A82CCC"/>
    <w:rsid w:val="00A82CD8"/>
    <w:rsid w:val="00A82EA8"/>
    <w:rsid w:val="00A83077"/>
    <w:rsid w:val="00A831AC"/>
    <w:rsid w:val="00A831E0"/>
    <w:rsid w:val="00A831EB"/>
    <w:rsid w:val="00A83270"/>
    <w:rsid w:val="00A83384"/>
    <w:rsid w:val="00A833E4"/>
    <w:rsid w:val="00A8363C"/>
    <w:rsid w:val="00A8363D"/>
    <w:rsid w:val="00A836FC"/>
    <w:rsid w:val="00A83747"/>
    <w:rsid w:val="00A8388B"/>
    <w:rsid w:val="00A83931"/>
    <w:rsid w:val="00A8393F"/>
    <w:rsid w:val="00A83C1D"/>
    <w:rsid w:val="00A83C57"/>
    <w:rsid w:val="00A83DD5"/>
    <w:rsid w:val="00A83E31"/>
    <w:rsid w:val="00A83EAF"/>
    <w:rsid w:val="00A83F89"/>
    <w:rsid w:val="00A83FAD"/>
    <w:rsid w:val="00A84004"/>
    <w:rsid w:val="00A84017"/>
    <w:rsid w:val="00A84038"/>
    <w:rsid w:val="00A84047"/>
    <w:rsid w:val="00A84074"/>
    <w:rsid w:val="00A841A6"/>
    <w:rsid w:val="00A842D2"/>
    <w:rsid w:val="00A8446D"/>
    <w:rsid w:val="00A844F3"/>
    <w:rsid w:val="00A845F8"/>
    <w:rsid w:val="00A84672"/>
    <w:rsid w:val="00A84685"/>
    <w:rsid w:val="00A84C03"/>
    <w:rsid w:val="00A84CBA"/>
    <w:rsid w:val="00A84D27"/>
    <w:rsid w:val="00A84E31"/>
    <w:rsid w:val="00A84F59"/>
    <w:rsid w:val="00A85006"/>
    <w:rsid w:val="00A8503A"/>
    <w:rsid w:val="00A85060"/>
    <w:rsid w:val="00A851FB"/>
    <w:rsid w:val="00A852A7"/>
    <w:rsid w:val="00A852B1"/>
    <w:rsid w:val="00A8541C"/>
    <w:rsid w:val="00A8543E"/>
    <w:rsid w:val="00A854C7"/>
    <w:rsid w:val="00A856E9"/>
    <w:rsid w:val="00A857F4"/>
    <w:rsid w:val="00A858F5"/>
    <w:rsid w:val="00A85936"/>
    <w:rsid w:val="00A859FC"/>
    <w:rsid w:val="00A85A2A"/>
    <w:rsid w:val="00A85A9B"/>
    <w:rsid w:val="00A85C90"/>
    <w:rsid w:val="00A85F61"/>
    <w:rsid w:val="00A85F7A"/>
    <w:rsid w:val="00A85F9D"/>
    <w:rsid w:val="00A85FDA"/>
    <w:rsid w:val="00A8608F"/>
    <w:rsid w:val="00A860CF"/>
    <w:rsid w:val="00A86105"/>
    <w:rsid w:val="00A86346"/>
    <w:rsid w:val="00A865FD"/>
    <w:rsid w:val="00A86670"/>
    <w:rsid w:val="00A86737"/>
    <w:rsid w:val="00A868EA"/>
    <w:rsid w:val="00A8699B"/>
    <w:rsid w:val="00A86A2C"/>
    <w:rsid w:val="00A86A52"/>
    <w:rsid w:val="00A86A62"/>
    <w:rsid w:val="00A86A66"/>
    <w:rsid w:val="00A86A7E"/>
    <w:rsid w:val="00A86BC3"/>
    <w:rsid w:val="00A86C7C"/>
    <w:rsid w:val="00A86CEC"/>
    <w:rsid w:val="00A86CF4"/>
    <w:rsid w:val="00A86D03"/>
    <w:rsid w:val="00A86E75"/>
    <w:rsid w:val="00A86F36"/>
    <w:rsid w:val="00A86FB1"/>
    <w:rsid w:val="00A86FFD"/>
    <w:rsid w:val="00A87181"/>
    <w:rsid w:val="00A871A2"/>
    <w:rsid w:val="00A87427"/>
    <w:rsid w:val="00A8756C"/>
    <w:rsid w:val="00A8779F"/>
    <w:rsid w:val="00A8788C"/>
    <w:rsid w:val="00A87FD4"/>
    <w:rsid w:val="00A87FF8"/>
    <w:rsid w:val="00A8D4A4"/>
    <w:rsid w:val="00A8EBCB"/>
    <w:rsid w:val="00A90248"/>
    <w:rsid w:val="00A90381"/>
    <w:rsid w:val="00A9049A"/>
    <w:rsid w:val="00A904CC"/>
    <w:rsid w:val="00A905CB"/>
    <w:rsid w:val="00A90738"/>
    <w:rsid w:val="00A908F3"/>
    <w:rsid w:val="00A90AC0"/>
    <w:rsid w:val="00A90DDB"/>
    <w:rsid w:val="00A910F6"/>
    <w:rsid w:val="00A91139"/>
    <w:rsid w:val="00A91194"/>
    <w:rsid w:val="00A911BF"/>
    <w:rsid w:val="00A911CC"/>
    <w:rsid w:val="00A91234"/>
    <w:rsid w:val="00A91293"/>
    <w:rsid w:val="00A91392"/>
    <w:rsid w:val="00A917DB"/>
    <w:rsid w:val="00A91AA8"/>
    <w:rsid w:val="00A91BA1"/>
    <w:rsid w:val="00A91C69"/>
    <w:rsid w:val="00A91DF0"/>
    <w:rsid w:val="00A91F06"/>
    <w:rsid w:val="00A91F51"/>
    <w:rsid w:val="00A92134"/>
    <w:rsid w:val="00A9215F"/>
    <w:rsid w:val="00A9218F"/>
    <w:rsid w:val="00A921EC"/>
    <w:rsid w:val="00A923D4"/>
    <w:rsid w:val="00A92474"/>
    <w:rsid w:val="00A9269D"/>
    <w:rsid w:val="00A92819"/>
    <w:rsid w:val="00A92880"/>
    <w:rsid w:val="00A92AAD"/>
    <w:rsid w:val="00A92B90"/>
    <w:rsid w:val="00A92BA7"/>
    <w:rsid w:val="00A92E4A"/>
    <w:rsid w:val="00A92E71"/>
    <w:rsid w:val="00A92E91"/>
    <w:rsid w:val="00A92EAD"/>
    <w:rsid w:val="00A92ED9"/>
    <w:rsid w:val="00A93035"/>
    <w:rsid w:val="00A9307C"/>
    <w:rsid w:val="00A931E9"/>
    <w:rsid w:val="00A93246"/>
    <w:rsid w:val="00A93271"/>
    <w:rsid w:val="00A932A3"/>
    <w:rsid w:val="00A932B2"/>
    <w:rsid w:val="00A9340F"/>
    <w:rsid w:val="00A934E4"/>
    <w:rsid w:val="00A93666"/>
    <w:rsid w:val="00A937FD"/>
    <w:rsid w:val="00A93871"/>
    <w:rsid w:val="00A9387C"/>
    <w:rsid w:val="00A938D1"/>
    <w:rsid w:val="00A93D64"/>
    <w:rsid w:val="00A93DBC"/>
    <w:rsid w:val="00A93F2F"/>
    <w:rsid w:val="00A93F63"/>
    <w:rsid w:val="00A940A6"/>
    <w:rsid w:val="00A94179"/>
    <w:rsid w:val="00A941D0"/>
    <w:rsid w:val="00A94252"/>
    <w:rsid w:val="00A942BF"/>
    <w:rsid w:val="00A94323"/>
    <w:rsid w:val="00A945E3"/>
    <w:rsid w:val="00A9478F"/>
    <w:rsid w:val="00A948EE"/>
    <w:rsid w:val="00A94A30"/>
    <w:rsid w:val="00A94BDA"/>
    <w:rsid w:val="00A94C45"/>
    <w:rsid w:val="00A94F99"/>
    <w:rsid w:val="00A94FB9"/>
    <w:rsid w:val="00A94FF6"/>
    <w:rsid w:val="00A95038"/>
    <w:rsid w:val="00A95079"/>
    <w:rsid w:val="00A9508C"/>
    <w:rsid w:val="00A9510C"/>
    <w:rsid w:val="00A952A3"/>
    <w:rsid w:val="00A9534F"/>
    <w:rsid w:val="00A95400"/>
    <w:rsid w:val="00A95492"/>
    <w:rsid w:val="00A9557C"/>
    <w:rsid w:val="00A956A6"/>
    <w:rsid w:val="00A957AB"/>
    <w:rsid w:val="00A95988"/>
    <w:rsid w:val="00A95D07"/>
    <w:rsid w:val="00A95D70"/>
    <w:rsid w:val="00A95DBB"/>
    <w:rsid w:val="00A961BB"/>
    <w:rsid w:val="00A96226"/>
    <w:rsid w:val="00A963F9"/>
    <w:rsid w:val="00A96410"/>
    <w:rsid w:val="00A9652F"/>
    <w:rsid w:val="00A96853"/>
    <w:rsid w:val="00A968D2"/>
    <w:rsid w:val="00A9692B"/>
    <w:rsid w:val="00A96A34"/>
    <w:rsid w:val="00A96D8D"/>
    <w:rsid w:val="00A96E5C"/>
    <w:rsid w:val="00A96F59"/>
    <w:rsid w:val="00A97136"/>
    <w:rsid w:val="00A97187"/>
    <w:rsid w:val="00A974EF"/>
    <w:rsid w:val="00A9755C"/>
    <w:rsid w:val="00A977DD"/>
    <w:rsid w:val="00A97886"/>
    <w:rsid w:val="00A9795F"/>
    <w:rsid w:val="00A97974"/>
    <w:rsid w:val="00A97A2E"/>
    <w:rsid w:val="00A97A3B"/>
    <w:rsid w:val="00A97AB2"/>
    <w:rsid w:val="00A97ABC"/>
    <w:rsid w:val="00A97BEC"/>
    <w:rsid w:val="00A97DC4"/>
    <w:rsid w:val="00A97E2B"/>
    <w:rsid w:val="00AA0054"/>
    <w:rsid w:val="00AA0292"/>
    <w:rsid w:val="00AA02E1"/>
    <w:rsid w:val="00AA0351"/>
    <w:rsid w:val="00AA03B5"/>
    <w:rsid w:val="00AA053C"/>
    <w:rsid w:val="00AA0652"/>
    <w:rsid w:val="00AA0AB2"/>
    <w:rsid w:val="00AA0ADC"/>
    <w:rsid w:val="00AA0B87"/>
    <w:rsid w:val="00AA0C5A"/>
    <w:rsid w:val="00AA0CB7"/>
    <w:rsid w:val="00AA0E11"/>
    <w:rsid w:val="00AA0E4C"/>
    <w:rsid w:val="00AA0FB0"/>
    <w:rsid w:val="00AA103C"/>
    <w:rsid w:val="00AA10E7"/>
    <w:rsid w:val="00AA122B"/>
    <w:rsid w:val="00AA1285"/>
    <w:rsid w:val="00AA130C"/>
    <w:rsid w:val="00AA1405"/>
    <w:rsid w:val="00AA141D"/>
    <w:rsid w:val="00AA1623"/>
    <w:rsid w:val="00AA164F"/>
    <w:rsid w:val="00AA167D"/>
    <w:rsid w:val="00AA1686"/>
    <w:rsid w:val="00AA1711"/>
    <w:rsid w:val="00AA1732"/>
    <w:rsid w:val="00AA1780"/>
    <w:rsid w:val="00AA18B6"/>
    <w:rsid w:val="00AA195A"/>
    <w:rsid w:val="00AA19B5"/>
    <w:rsid w:val="00AA1B9B"/>
    <w:rsid w:val="00AA1BCC"/>
    <w:rsid w:val="00AA1C68"/>
    <w:rsid w:val="00AA1DE7"/>
    <w:rsid w:val="00AA1E61"/>
    <w:rsid w:val="00AA1F4A"/>
    <w:rsid w:val="00AA1F5C"/>
    <w:rsid w:val="00AA2076"/>
    <w:rsid w:val="00AA244A"/>
    <w:rsid w:val="00AA2546"/>
    <w:rsid w:val="00AA2733"/>
    <w:rsid w:val="00AA273F"/>
    <w:rsid w:val="00AA27C3"/>
    <w:rsid w:val="00AA2811"/>
    <w:rsid w:val="00AA2891"/>
    <w:rsid w:val="00AA29C5"/>
    <w:rsid w:val="00AA2B32"/>
    <w:rsid w:val="00AA2B99"/>
    <w:rsid w:val="00AA2E0F"/>
    <w:rsid w:val="00AA2E22"/>
    <w:rsid w:val="00AA2FEF"/>
    <w:rsid w:val="00AA3041"/>
    <w:rsid w:val="00AA31CA"/>
    <w:rsid w:val="00AA3286"/>
    <w:rsid w:val="00AA32A6"/>
    <w:rsid w:val="00AA33A5"/>
    <w:rsid w:val="00AA3411"/>
    <w:rsid w:val="00AA3454"/>
    <w:rsid w:val="00AA3460"/>
    <w:rsid w:val="00AA35E7"/>
    <w:rsid w:val="00AA36AE"/>
    <w:rsid w:val="00AA3708"/>
    <w:rsid w:val="00AA380A"/>
    <w:rsid w:val="00AA38E9"/>
    <w:rsid w:val="00AA3964"/>
    <w:rsid w:val="00AA3992"/>
    <w:rsid w:val="00AA39FD"/>
    <w:rsid w:val="00AA3B08"/>
    <w:rsid w:val="00AA3C89"/>
    <w:rsid w:val="00AA3D6A"/>
    <w:rsid w:val="00AA3DFA"/>
    <w:rsid w:val="00AA3F99"/>
    <w:rsid w:val="00AA3FEA"/>
    <w:rsid w:val="00AA403E"/>
    <w:rsid w:val="00AA4057"/>
    <w:rsid w:val="00AA426F"/>
    <w:rsid w:val="00AA42E1"/>
    <w:rsid w:val="00AA4338"/>
    <w:rsid w:val="00AA4343"/>
    <w:rsid w:val="00AA43E2"/>
    <w:rsid w:val="00AA43EB"/>
    <w:rsid w:val="00AA442B"/>
    <w:rsid w:val="00AA45D4"/>
    <w:rsid w:val="00AA4673"/>
    <w:rsid w:val="00AA470A"/>
    <w:rsid w:val="00AA478F"/>
    <w:rsid w:val="00AA480B"/>
    <w:rsid w:val="00AA4930"/>
    <w:rsid w:val="00AA4963"/>
    <w:rsid w:val="00AA4A73"/>
    <w:rsid w:val="00AA4BFC"/>
    <w:rsid w:val="00AA4C44"/>
    <w:rsid w:val="00AA4C6C"/>
    <w:rsid w:val="00AA4C97"/>
    <w:rsid w:val="00AA4CDC"/>
    <w:rsid w:val="00AA4E4D"/>
    <w:rsid w:val="00AA4E9A"/>
    <w:rsid w:val="00AA4F61"/>
    <w:rsid w:val="00AA4FF2"/>
    <w:rsid w:val="00AA5058"/>
    <w:rsid w:val="00AA5349"/>
    <w:rsid w:val="00AA5401"/>
    <w:rsid w:val="00AA5569"/>
    <w:rsid w:val="00AA566E"/>
    <w:rsid w:val="00AA5693"/>
    <w:rsid w:val="00AA58CD"/>
    <w:rsid w:val="00AA5C09"/>
    <w:rsid w:val="00AA5CE8"/>
    <w:rsid w:val="00AA5ECB"/>
    <w:rsid w:val="00AA5F85"/>
    <w:rsid w:val="00AA6163"/>
    <w:rsid w:val="00AA632B"/>
    <w:rsid w:val="00AA6345"/>
    <w:rsid w:val="00AA63EF"/>
    <w:rsid w:val="00AA6502"/>
    <w:rsid w:val="00AA6760"/>
    <w:rsid w:val="00AA67EF"/>
    <w:rsid w:val="00AA69DB"/>
    <w:rsid w:val="00AA6A49"/>
    <w:rsid w:val="00AA6ACD"/>
    <w:rsid w:val="00AA6E45"/>
    <w:rsid w:val="00AA702D"/>
    <w:rsid w:val="00AA73B8"/>
    <w:rsid w:val="00AA747D"/>
    <w:rsid w:val="00AA74F6"/>
    <w:rsid w:val="00AA75E2"/>
    <w:rsid w:val="00AA7614"/>
    <w:rsid w:val="00AA76C5"/>
    <w:rsid w:val="00AA77FF"/>
    <w:rsid w:val="00AA7AA5"/>
    <w:rsid w:val="00AA7C5D"/>
    <w:rsid w:val="00AA7CBD"/>
    <w:rsid w:val="00AA7D2C"/>
    <w:rsid w:val="00AA7E78"/>
    <w:rsid w:val="00AA7ECE"/>
    <w:rsid w:val="00AA7FBC"/>
    <w:rsid w:val="00AA95F9"/>
    <w:rsid w:val="00AB005E"/>
    <w:rsid w:val="00AB014D"/>
    <w:rsid w:val="00AB019B"/>
    <w:rsid w:val="00AB0203"/>
    <w:rsid w:val="00AB03FF"/>
    <w:rsid w:val="00AB0495"/>
    <w:rsid w:val="00AB0541"/>
    <w:rsid w:val="00AB09D0"/>
    <w:rsid w:val="00AB0B0B"/>
    <w:rsid w:val="00AB0B39"/>
    <w:rsid w:val="00AB0B9E"/>
    <w:rsid w:val="00AB0BBD"/>
    <w:rsid w:val="00AB0D73"/>
    <w:rsid w:val="00AB0DBE"/>
    <w:rsid w:val="00AB0EE8"/>
    <w:rsid w:val="00AB0F7C"/>
    <w:rsid w:val="00AB10EC"/>
    <w:rsid w:val="00AB11EF"/>
    <w:rsid w:val="00AB14CA"/>
    <w:rsid w:val="00AB1611"/>
    <w:rsid w:val="00AB1A21"/>
    <w:rsid w:val="00AB1BA6"/>
    <w:rsid w:val="00AB1C83"/>
    <w:rsid w:val="00AB1C8E"/>
    <w:rsid w:val="00AB1E1E"/>
    <w:rsid w:val="00AB1F62"/>
    <w:rsid w:val="00AB1F86"/>
    <w:rsid w:val="00AB1FB7"/>
    <w:rsid w:val="00AB20AA"/>
    <w:rsid w:val="00AB219B"/>
    <w:rsid w:val="00AB21A8"/>
    <w:rsid w:val="00AB2229"/>
    <w:rsid w:val="00AB236D"/>
    <w:rsid w:val="00AB2586"/>
    <w:rsid w:val="00AB282A"/>
    <w:rsid w:val="00AB2A62"/>
    <w:rsid w:val="00AB2D6C"/>
    <w:rsid w:val="00AB2EC4"/>
    <w:rsid w:val="00AB2FE2"/>
    <w:rsid w:val="00AB3025"/>
    <w:rsid w:val="00AB3259"/>
    <w:rsid w:val="00AB32B1"/>
    <w:rsid w:val="00AB3419"/>
    <w:rsid w:val="00AB3473"/>
    <w:rsid w:val="00AB3576"/>
    <w:rsid w:val="00AB358E"/>
    <w:rsid w:val="00AB365B"/>
    <w:rsid w:val="00AB37B4"/>
    <w:rsid w:val="00AB3C45"/>
    <w:rsid w:val="00AB3CD0"/>
    <w:rsid w:val="00AB3F54"/>
    <w:rsid w:val="00AB3F98"/>
    <w:rsid w:val="00AB3FBC"/>
    <w:rsid w:val="00AB3FE9"/>
    <w:rsid w:val="00AB40EE"/>
    <w:rsid w:val="00AB41EF"/>
    <w:rsid w:val="00AB428A"/>
    <w:rsid w:val="00AB42A8"/>
    <w:rsid w:val="00AB437D"/>
    <w:rsid w:val="00AB45A7"/>
    <w:rsid w:val="00AB47E4"/>
    <w:rsid w:val="00AB490F"/>
    <w:rsid w:val="00AB49A9"/>
    <w:rsid w:val="00AB4B00"/>
    <w:rsid w:val="00AB4B62"/>
    <w:rsid w:val="00AB4EC1"/>
    <w:rsid w:val="00AB501E"/>
    <w:rsid w:val="00AB5055"/>
    <w:rsid w:val="00AB5057"/>
    <w:rsid w:val="00AB51A8"/>
    <w:rsid w:val="00AB51E9"/>
    <w:rsid w:val="00AB52A7"/>
    <w:rsid w:val="00AB5387"/>
    <w:rsid w:val="00AB53CE"/>
    <w:rsid w:val="00AB5423"/>
    <w:rsid w:val="00AB54E9"/>
    <w:rsid w:val="00AB5645"/>
    <w:rsid w:val="00AB5745"/>
    <w:rsid w:val="00AB5853"/>
    <w:rsid w:val="00AB5893"/>
    <w:rsid w:val="00AB58D0"/>
    <w:rsid w:val="00AB5ADB"/>
    <w:rsid w:val="00AB5BB1"/>
    <w:rsid w:val="00AB5DE6"/>
    <w:rsid w:val="00AB5FC3"/>
    <w:rsid w:val="00AB604D"/>
    <w:rsid w:val="00AB607F"/>
    <w:rsid w:val="00AB610A"/>
    <w:rsid w:val="00AB629B"/>
    <w:rsid w:val="00AB634B"/>
    <w:rsid w:val="00AB63EC"/>
    <w:rsid w:val="00AB648B"/>
    <w:rsid w:val="00AB6496"/>
    <w:rsid w:val="00AB64E1"/>
    <w:rsid w:val="00AB65FA"/>
    <w:rsid w:val="00AB6742"/>
    <w:rsid w:val="00AB67ED"/>
    <w:rsid w:val="00AB6CA2"/>
    <w:rsid w:val="00AB6CA5"/>
    <w:rsid w:val="00AB6CA6"/>
    <w:rsid w:val="00AB6CFE"/>
    <w:rsid w:val="00AB6ECC"/>
    <w:rsid w:val="00AB6F69"/>
    <w:rsid w:val="00AB7113"/>
    <w:rsid w:val="00AB71B2"/>
    <w:rsid w:val="00AB71D6"/>
    <w:rsid w:val="00AB7539"/>
    <w:rsid w:val="00AB75BE"/>
    <w:rsid w:val="00AB766A"/>
    <w:rsid w:val="00AB76C7"/>
    <w:rsid w:val="00AB76E7"/>
    <w:rsid w:val="00AB7763"/>
    <w:rsid w:val="00AB77B0"/>
    <w:rsid w:val="00AB7993"/>
    <w:rsid w:val="00AB79B8"/>
    <w:rsid w:val="00AB7A2A"/>
    <w:rsid w:val="00AB7BF3"/>
    <w:rsid w:val="00AB7D7E"/>
    <w:rsid w:val="00AC0035"/>
    <w:rsid w:val="00AC01D5"/>
    <w:rsid w:val="00AC0238"/>
    <w:rsid w:val="00AC0255"/>
    <w:rsid w:val="00AC0269"/>
    <w:rsid w:val="00AC029B"/>
    <w:rsid w:val="00AC04D7"/>
    <w:rsid w:val="00AC05F2"/>
    <w:rsid w:val="00AC06EA"/>
    <w:rsid w:val="00AC0848"/>
    <w:rsid w:val="00AC08F2"/>
    <w:rsid w:val="00AC0916"/>
    <w:rsid w:val="00AC09AB"/>
    <w:rsid w:val="00AC09FC"/>
    <w:rsid w:val="00AC0A45"/>
    <w:rsid w:val="00AC0FA2"/>
    <w:rsid w:val="00AC103D"/>
    <w:rsid w:val="00AC1066"/>
    <w:rsid w:val="00AC131E"/>
    <w:rsid w:val="00AC1320"/>
    <w:rsid w:val="00AC1379"/>
    <w:rsid w:val="00AC13E2"/>
    <w:rsid w:val="00AC143A"/>
    <w:rsid w:val="00AC15EE"/>
    <w:rsid w:val="00AC1625"/>
    <w:rsid w:val="00AC173F"/>
    <w:rsid w:val="00AC17C6"/>
    <w:rsid w:val="00AC1AEA"/>
    <w:rsid w:val="00AC1B1B"/>
    <w:rsid w:val="00AC1DC5"/>
    <w:rsid w:val="00AC1DF1"/>
    <w:rsid w:val="00AC1E1F"/>
    <w:rsid w:val="00AC1E6B"/>
    <w:rsid w:val="00AC1FD5"/>
    <w:rsid w:val="00AC2003"/>
    <w:rsid w:val="00AC2132"/>
    <w:rsid w:val="00AC2240"/>
    <w:rsid w:val="00AC25D6"/>
    <w:rsid w:val="00AC2631"/>
    <w:rsid w:val="00AC2677"/>
    <w:rsid w:val="00AC271F"/>
    <w:rsid w:val="00AC27F8"/>
    <w:rsid w:val="00AC299C"/>
    <w:rsid w:val="00AC29A7"/>
    <w:rsid w:val="00AC29B0"/>
    <w:rsid w:val="00AC2A33"/>
    <w:rsid w:val="00AC2A46"/>
    <w:rsid w:val="00AC2C71"/>
    <w:rsid w:val="00AC2D40"/>
    <w:rsid w:val="00AC2D86"/>
    <w:rsid w:val="00AC2F78"/>
    <w:rsid w:val="00AC305F"/>
    <w:rsid w:val="00AC308D"/>
    <w:rsid w:val="00AC30DB"/>
    <w:rsid w:val="00AC318C"/>
    <w:rsid w:val="00AC3206"/>
    <w:rsid w:val="00AC3232"/>
    <w:rsid w:val="00AC323D"/>
    <w:rsid w:val="00AC3252"/>
    <w:rsid w:val="00AC35ED"/>
    <w:rsid w:val="00AC36F0"/>
    <w:rsid w:val="00AC3A18"/>
    <w:rsid w:val="00AC3A29"/>
    <w:rsid w:val="00AC3A7B"/>
    <w:rsid w:val="00AC3B7D"/>
    <w:rsid w:val="00AC3C63"/>
    <w:rsid w:val="00AC3CF1"/>
    <w:rsid w:val="00AC3E40"/>
    <w:rsid w:val="00AC3E54"/>
    <w:rsid w:val="00AC3EC1"/>
    <w:rsid w:val="00AC4153"/>
    <w:rsid w:val="00AC4177"/>
    <w:rsid w:val="00AC444A"/>
    <w:rsid w:val="00AC4454"/>
    <w:rsid w:val="00AC46EA"/>
    <w:rsid w:val="00AC4700"/>
    <w:rsid w:val="00AC4756"/>
    <w:rsid w:val="00AC48FC"/>
    <w:rsid w:val="00AC493C"/>
    <w:rsid w:val="00AC49C1"/>
    <w:rsid w:val="00AC49F0"/>
    <w:rsid w:val="00AC4A04"/>
    <w:rsid w:val="00AC4AB5"/>
    <w:rsid w:val="00AC4B1D"/>
    <w:rsid w:val="00AC4B8B"/>
    <w:rsid w:val="00AC4BC3"/>
    <w:rsid w:val="00AC4BE9"/>
    <w:rsid w:val="00AC4CBD"/>
    <w:rsid w:val="00AC4CC6"/>
    <w:rsid w:val="00AC4D48"/>
    <w:rsid w:val="00AC4EC4"/>
    <w:rsid w:val="00AC5027"/>
    <w:rsid w:val="00AC5052"/>
    <w:rsid w:val="00AC50A8"/>
    <w:rsid w:val="00AC5110"/>
    <w:rsid w:val="00AC534D"/>
    <w:rsid w:val="00AC5373"/>
    <w:rsid w:val="00AC5551"/>
    <w:rsid w:val="00AC562E"/>
    <w:rsid w:val="00AC5644"/>
    <w:rsid w:val="00AC5800"/>
    <w:rsid w:val="00AC581A"/>
    <w:rsid w:val="00AC5A91"/>
    <w:rsid w:val="00AC5B39"/>
    <w:rsid w:val="00AC5B7F"/>
    <w:rsid w:val="00AC5D00"/>
    <w:rsid w:val="00AC5E2A"/>
    <w:rsid w:val="00AC6147"/>
    <w:rsid w:val="00AC6311"/>
    <w:rsid w:val="00AC642E"/>
    <w:rsid w:val="00AC6627"/>
    <w:rsid w:val="00AC66A9"/>
    <w:rsid w:val="00AC672A"/>
    <w:rsid w:val="00AC6730"/>
    <w:rsid w:val="00AC6875"/>
    <w:rsid w:val="00AC68F9"/>
    <w:rsid w:val="00AC69DB"/>
    <w:rsid w:val="00AC6BA3"/>
    <w:rsid w:val="00AC6CBC"/>
    <w:rsid w:val="00AC6CF5"/>
    <w:rsid w:val="00AC6E58"/>
    <w:rsid w:val="00AC6F4B"/>
    <w:rsid w:val="00AC70C8"/>
    <w:rsid w:val="00AC71D6"/>
    <w:rsid w:val="00AC74D1"/>
    <w:rsid w:val="00AC7682"/>
    <w:rsid w:val="00AC76A3"/>
    <w:rsid w:val="00AC79AF"/>
    <w:rsid w:val="00AC7AB1"/>
    <w:rsid w:val="00AC7DCD"/>
    <w:rsid w:val="00AC7DD0"/>
    <w:rsid w:val="00AC7F95"/>
    <w:rsid w:val="00AD003F"/>
    <w:rsid w:val="00AD0380"/>
    <w:rsid w:val="00AD03D8"/>
    <w:rsid w:val="00AD086D"/>
    <w:rsid w:val="00AD0C83"/>
    <w:rsid w:val="00AD0F96"/>
    <w:rsid w:val="00AD122C"/>
    <w:rsid w:val="00AD1326"/>
    <w:rsid w:val="00AD16A7"/>
    <w:rsid w:val="00AD183A"/>
    <w:rsid w:val="00AD19F4"/>
    <w:rsid w:val="00AD1B8A"/>
    <w:rsid w:val="00AD1BCE"/>
    <w:rsid w:val="00AD1C2F"/>
    <w:rsid w:val="00AD1EE1"/>
    <w:rsid w:val="00AD1F2A"/>
    <w:rsid w:val="00AD205B"/>
    <w:rsid w:val="00AD209C"/>
    <w:rsid w:val="00AD20F9"/>
    <w:rsid w:val="00AD20FD"/>
    <w:rsid w:val="00AD22A0"/>
    <w:rsid w:val="00AD23CB"/>
    <w:rsid w:val="00AD287D"/>
    <w:rsid w:val="00AD2911"/>
    <w:rsid w:val="00AD2CFB"/>
    <w:rsid w:val="00AD2D67"/>
    <w:rsid w:val="00AD2DC0"/>
    <w:rsid w:val="00AD30B6"/>
    <w:rsid w:val="00AD3162"/>
    <w:rsid w:val="00AD3296"/>
    <w:rsid w:val="00AD33D1"/>
    <w:rsid w:val="00AD3426"/>
    <w:rsid w:val="00AD3440"/>
    <w:rsid w:val="00AD3460"/>
    <w:rsid w:val="00AD34EB"/>
    <w:rsid w:val="00AD3520"/>
    <w:rsid w:val="00AD3553"/>
    <w:rsid w:val="00AD3587"/>
    <w:rsid w:val="00AD360C"/>
    <w:rsid w:val="00AD3645"/>
    <w:rsid w:val="00AD3733"/>
    <w:rsid w:val="00AD37AD"/>
    <w:rsid w:val="00AD38FD"/>
    <w:rsid w:val="00AD3A8A"/>
    <w:rsid w:val="00AD3B7A"/>
    <w:rsid w:val="00AD3B92"/>
    <w:rsid w:val="00AD3BDE"/>
    <w:rsid w:val="00AD3C36"/>
    <w:rsid w:val="00AD3D2C"/>
    <w:rsid w:val="00AD3F77"/>
    <w:rsid w:val="00AD3FD3"/>
    <w:rsid w:val="00AD43DC"/>
    <w:rsid w:val="00AD4638"/>
    <w:rsid w:val="00AD470F"/>
    <w:rsid w:val="00AD47A8"/>
    <w:rsid w:val="00AD4817"/>
    <w:rsid w:val="00AD48C0"/>
    <w:rsid w:val="00AD48F2"/>
    <w:rsid w:val="00AD4FA2"/>
    <w:rsid w:val="00AD4FA7"/>
    <w:rsid w:val="00AD503A"/>
    <w:rsid w:val="00AD5091"/>
    <w:rsid w:val="00AD50E2"/>
    <w:rsid w:val="00AD5110"/>
    <w:rsid w:val="00AD51BD"/>
    <w:rsid w:val="00AD51BF"/>
    <w:rsid w:val="00AD5427"/>
    <w:rsid w:val="00AD5493"/>
    <w:rsid w:val="00AD563E"/>
    <w:rsid w:val="00AD5A41"/>
    <w:rsid w:val="00AD5A52"/>
    <w:rsid w:val="00AD5B5B"/>
    <w:rsid w:val="00AD5B61"/>
    <w:rsid w:val="00AD5C1A"/>
    <w:rsid w:val="00AD5F9B"/>
    <w:rsid w:val="00AD6254"/>
    <w:rsid w:val="00AD625E"/>
    <w:rsid w:val="00AD6406"/>
    <w:rsid w:val="00AD645C"/>
    <w:rsid w:val="00AD66C6"/>
    <w:rsid w:val="00AD66F1"/>
    <w:rsid w:val="00AD685C"/>
    <w:rsid w:val="00AD6E2F"/>
    <w:rsid w:val="00AD6E55"/>
    <w:rsid w:val="00AD6E8F"/>
    <w:rsid w:val="00AD6EB3"/>
    <w:rsid w:val="00AD6F99"/>
    <w:rsid w:val="00AD7392"/>
    <w:rsid w:val="00AD764E"/>
    <w:rsid w:val="00AD7723"/>
    <w:rsid w:val="00AD7878"/>
    <w:rsid w:val="00AD78FD"/>
    <w:rsid w:val="00AD7A78"/>
    <w:rsid w:val="00AD7C75"/>
    <w:rsid w:val="00AD7D3F"/>
    <w:rsid w:val="00AD7EBD"/>
    <w:rsid w:val="00AD7FF7"/>
    <w:rsid w:val="00AD893D"/>
    <w:rsid w:val="00AE01A0"/>
    <w:rsid w:val="00AE01E4"/>
    <w:rsid w:val="00AE02DC"/>
    <w:rsid w:val="00AE048E"/>
    <w:rsid w:val="00AE0655"/>
    <w:rsid w:val="00AE079D"/>
    <w:rsid w:val="00AE08F9"/>
    <w:rsid w:val="00AE0902"/>
    <w:rsid w:val="00AE090C"/>
    <w:rsid w:val="00AE0B0E"/>
    <w:rsid w:val="00AE0B2D"/>
    <w:rsid w:val="00AE0C0E"/>
    <w:rsid w:val="00AE0C40"/>
    <w:rsid w:val="00AE0E48"/>
    <w:rsid w:val="00AE0E9E"/>
    <w:rsid w:val="00AE0F56"/>
    <w:rsid w:val="00AE0FB2"/>
    <w:rsid w:val="00AE0FEA"/>
    <w:rsid w:val="00AE102E"/>
    <w:rsid w:val="00AE1291"/>
    <w:rsid w:val="00AE1312"/>
    <w:rsid w:val="00AE13A3"/>
    <w:rsid w:val="00AE1476"/>
    <w:rsid w:val="00AE1563"/>
    <w:rsid w:val="00AE162D"/>
    <w:rsid w:val="00AE1688"/>
    <w:rsid w:val="00AE1702"/>
    <w:rsid w:val="00AE1818"/>
    <w:rsid w:val="00AE182F"/>
    <w:rsid w:val="00AE18F2"/>
    <w:rsid w:val="00AE192E"/>
    <w:rsid w:val="00AE1A62"/>
    <w:rsid w:val="00AE1B82"/>
    <w:rsid w:val="00AE1BA0"/>
    <w:rsid w:val="00AE1C8B"/>
    <w:rsid w:val="00AE1D2C"/>
    <w:rsid w:val="00AE1D9D"/>
    <w:rsid w:val="00AE1FCB"/>
    <w:rsid w:val="00AE1FDF"/>
    <w:rsid w:val="00AE22E5"/>
    <w:rsid w:val="00AE22E7"/>
    <w:rsid w:val="00AE23BA"/>
    <w:rsid w:val="00AE25D0"/>
    <w:rsid w:val="00AE25EE"/>
    <w:rsid w:val="00AE25FB"/>
    <w:rsid w:val="00AE263F"/>
    <w:rsid w:val="00AE264E"/>
    <w:rsid w:val="00AE27A9"/>
    <w:rsid w:val="00AE27CD"/>
    <w:rsid w:val="00AE2856"/>
    <w:rsid w:val="00AE28E6"/>
    <w:rsid w:val="00AE28EA"/>
    <w:rsid w:val="00AE292D"/>
    <w:rsid w:val="00AE2935"/>
    <w:rsid w:val="00AE296C"/>
    <w:rsid w:val="00AE29DF"/>
    <w:rsid w:val="00AE2B41"/>
    <w:rsid w:val="00AE2C50"/>
    <w:rsid w:val="00AE2EBE"/>
    <w:rsid w:val="00AE2EF2"/>
    <w:rsid w:val="00AE2F4E"/>
    <w:rsid w:val="00AE2FA4"/>
    <w:rsid w:val="00AE31A9"/>
    <w:rsid w:val="00AE3253"/>
    <w:rsid w:val="00AE3308"/>
    <w:rsid w:val="00AE338F"/>
    <w:rsid w:val="00AE346F"/>
    <w:rsid w:val="00AE34F4"/>
    <w:rsid w:val="00AE366A"/>
    <w:rsid w:val="00AE3697"/>
    <w:rsid w:val="00AE381D"/>
    <w:rsid w:val="00AE3834"/>
    <w:rsid w:val="00AE39F0"/>
    <w:rsid w:val="00AE3CB7"/>
    <w:rsid w:val="00AE3DAC"/>
    <w:rsid w:val="00AE3E37"/>
    <w:rsid w:val="00AE3FE6"/>
    <w:rsid w:val="00AE407E"/>
    <w:rsid w:val="00AE409B"/>
    <w:rsid w:val="00AE41E4"/>
    <w:rsid w:val="00AE441F"/>
    <w:rsid w:val="00AE4478"/>
    <w:rsid w:val="00AE4481"/>
    <w:rsid w:val="00AE448D"/>
    <w:rsid w:val="00AE4492"/>
    <w:rsid w:val="00AE4508"/>
    <w:rsid w:val="00AE4530"/>
    <w:rsid w:val="00AE4704"/>
    <w:rsid w:val="00AE4967"/>
    <w:rsid w:val="00AE49AF"/>
    <w:rsid w:val="00AE4A53"/>
    <w:rsid w:val="00AE4B89"/>
    <w:rsid w:val="00AE4C79"/>
    <w:rsid w:val="00AE4CE4"/>
    <w:rsid w:val="00AE4E4F"/>
    <w:rsid w:val="00AE4F23"/>
    <w:rsid w:val="00AE4FA8"/>
    <w:rsid w:val="00AE5131"/>
    <w:rsid w:val="00AE53F2"/>
    <w:rsid w:val="00AE55BE"/>
    <w:rsid w:val="00AE55DC"/>
    <w:rsid w:val="00AE56A3"/>
    <w:rsid w:val="00AE57F5"/>
    <w:rsid w:val="00AE580A"/>
    <w:rsid w:val="00AE593B"/>
    <w:rsid w:val="00AE599C"/>
    <w:rsid w:val="00AE59CC"/>
    <w:rsid w:val="00AE5B71"/>
    <w:rsid w:val="00AE5CC7"/>
    <w:rsid w:val="00AE5CE9"/>
    <w:rsid w:val="00AE5DA4"/>
    <w:rsid w:val="00AE5E48"/>
    <w:rsid w:val="00AE6089"/>
    <w:rsid w:val="00AE61E8"/>
    <w:rsid w:val="00AE6293"/>
    <w:rsid w:val="00AE642E"/>
    <w:rsid w:val="00AE644C"/>
    <w:rsid w:val="00AE65D8"/>
    <w:rsid w:val="00AE66EC"/>
    <w:rsid w:val="00AE6748"/>
    <w:rsid w:val="00AE687B"/>
    <w:rsid w:val="00AE6A74"/>
    <w:rsid w:val="00AE6F23"/>
    <w:rsid w:val="00AE7370"/>
    <w:rsid w:val="00AE73BF"/>
    <w:rsid w:val="00AE741B"/>
    <w:rsid w:val="00AE741C"/>
    <w:rsid w:val="00AE74DD"/>
    <w:rsid w:val="00AE75C5"/>
    <w:rsid w:val="00AE7643"/>
    <w:rsid w:val="00AE785E"/>
    <w:rsid w:val="00AE792A"/>
    <w:rsid w:val="00AE7AA8"/>
    <w:rsid w:val="00AE7C15"/>
    <w:rsid w:val="00AE7CC5"/>
    <w:rsid w:val="00AE7D59"/>
    <w:rsid w:val="00AE7F0F"/>
    <w:rsid w:val="00AF00FA"/>
    <w:rsid w:val="00AF0140"/>
    <w:rsid w:val="00AF01FE"/>
    <w:rsid w:val="00AF039B"/>
    <w:rsid w:val="00AF0642"/>
    <w:rsid w:val="00AF06FA"/>
    <w:rsid w:val="00AF0712"/>
    <w:rsid w:val="00AF08E4"/>
    <w:rsid w:val="00AF0966"/>
    <w:rsid w:val="00AF097D"/>
    <w:rsid w:val="00AF0ABF"/>
    <w:rsid w:val="00AF0CC5"/>
    <w:rsid w:val="00AF0E29"/>
    <w:rsid w:val="00AF0E45"/>
    <w:rsid w:val="00AF0EAC"/>
    <w:rsid w:val="00AF0EB4"/>
    <w:rsid w:val="00AF0EEE"/>
    <w:rsid w:val="00AF102F"/>
    <w:rsid w:val="00AF1078"/>
    <w:rsid w:val="00AF1164"/>
    <w:rsid w:val="00AF1219"/>
    <w:rsid w:val="00AF13D4"/>
    <w:rsid w:val="00AF1449"/>
    <w:rsid w:val="00AF1461"/>
    <w:rsid w:val="00AF146F"/>
    <w:rsid w:val="00AF17CA"/>
    <w:rsid w:val="00AF186C"/>
    <w:rsid w:val="00AF1871"/>
    <w:rsid w:val="00AF19D6"/>
    <w:rsid w:val="00AF1A37"/>
    <w:rsid w:val="00AF1AB4"/>
    <w:rsid w:val="00AF1B27"/>
    <w:rsid w:val="00AF1DF6"/>
    <w:rsid w:val="00AF1E3C"/>
    <w:rsid w:val="00AF1F17"/>
    <w:rsid w:val="00AF2075"/>
    <w:rsid w:val="00AF20B5"/>
    <w:rsid w:val="00AF218A"/>
    <w:rsid w:val="00AF2327"/>
    <w:rsid w:val="00AF23EB"/>
    <w:rsid w:val="00AF2724"/>
    <w:rsid w:val="00AF278F"/>
    <w:rsid w:val="00AF279C"/>
    <w:rsid w:val="00AF28AF"/>
    <w:rsid w:val="00AF28CE"/>
    <w:rsid w:val="00AF2CF1"/>
    <w:rsid w:val="00AF2D07"/>
    <w:rsid w:val="00AF2D1C"/>
    <w:rsid w:val="00AF2DE1"/>
    <w:rsid w:val="00AF2E4B"/>
    <w:rsid w:val="00AF2EE0"/>
    <w:rsid w:val="00AF30AB"/>
    <w:rsid w:val="00AF31E9"/>
    <w:rsid w:val="00AF3217"/>
    <w:rsid w:val="00AF3248"/>
    <w:rsid w:val="00AF3312"/>
    <w:rsid w:val="00AF3335"/>
    <w:rsid w:val="00AF348A"/>
    <w:rsid w:val="00AF3572"/>
    <w:rsid w:val="00AF3647"/>
    <w:rsid w:val="00AF3B8F"/>
    <w:rsid w:val="00AF3C4D"/>
    <w:rsid w:val="00AF3D0B"/>
    <w:rsid w:val="00AF3E4F"/>
    <w:rsid w:val="00AF3F3B"/>
    <w:rsid w:val="00AF3F47"/>
    <w:rsid w:val="00AF4036"/>
    <w:rsid w:val="00AF40EF"/>
    <w:rsid w:val="00AF427A"/>
    <w:rsid w:val="00AF4283"/>
    <w:rsid w:val="00AF43EC"/>
    <w:rsid w:val="00AF44C4"/>
    <w:rsid w:val="00AF454C"/>
    <w:rsid w:val="00AF4BCD"/>
    <w:rsid w:val="00AF4C03"/>
    <w:rsid w:val="00AF4D2B"/>
    <w:rsid w:val="00AF4D46"/>
    <w:rsid w:val="00AF4D56"/>
    <w:rsid w:val="00AF5046"/>
    <w:rsid w:val="00AF514D"/>
    <w:rsid w:val="00AF525A"/>
    <w:rsid w:val="00AF5390"/>
    <w:rsid w:val="00AF53AF"/>
    <w:rsid w:val="00AF53FB"/>
    <w:rsid w:val="00AF5614"/>
    <w:rsid w:val="00AF572B"/>
    <w:rsid w:val="00AF5754"/>
    <w:rsid w:val="00AF57E0"/>
    <w:rsid w:val="00AF59C2"/>
    <w:rsid w:val="00AF59E0"/>
    <w:rsid w:val="00AF5AAE"/>
    <w:rsid w:val="00AF5C13"/>
    <w:rsid w:val="00AF5D17"/>
    <w:rsid w:val="00AF5DAB"/>
    <w:rsid w:val="00AF5E16"/>
    <w:rsid w:val="00AF5E48"/>
    <w:rsid w:val="00AF5F2F"/>
    <w:rsid w:val="00AF5FC7"/>
    <w:rsid w:val="00AF602F"/>
    <w:rsid w:val="00AF607E"/>
    <w:rsid w:val="00AF6327"/>
    <w:rsid w:val="00AF6476"/>
    <w:rsid w:val="00AF652F"/>
    <w:rsid w:val="00AF6728"/>
    <w:rsid w:val="00AF695D"/>
    <w:rsid w:val="00AF6A0C"/>
    <w:rsid w:val="00AF6B1A"/>
    <w:rsid w:val="00AF6BC2"/>
    <w:rsid w:val="00AF6ECF"/>
    <w:rsid w:val="00AF6F8B"/>
    <w:rsid w:val="00AF702E"/>
    <w:rsid w:val="00AF7069"/>
    <w:rsid w:val="00AF71A4"/>
    <w:rsid w:val="00AF725C"/>
    <w:rsid w:val="00AF72D6"/>
    <w:rsid w:val="00AF736D"/>
    <w:rsid w:val="00AF7372"/>
    <w:rsid w:val="00AF7420"/>
    <w:rsid w:val="00AF74E6"/>
    <w:rsid w:val="00AF75A4"/>
    <w:rsid w:val="00AF75B8"/>
    <w:rsid w:val="00AF7984"/>
    <w:rsid w:val="00AF7987"/>
    <w:rsid w:val="00AF7A04"/>
    <w:rsid w:val="00AF7A8C"/>
    <w:rsid w:val="00AF7AA7"/>
    <w:rsid w:val="00AF7AB1"/>
    <w:rsid w:val="00AF7B70"/>
    <w:rsid w:val="00AF7B8A"/>
    <w:rsid w:val="00AF7DFF"/>
    <w:rsid w:val="00B000CB"/>
    <w:rsid w:val="00B001B6"/>
    <w:rsid w:val="00B00263"/>
    <w:rsid w:val="00B00296"/>
    <w:rsid w:val="00B002D0"/>
    <w:rsid w:val="00B00445"/>
    <w:rsid w:val="00B0056D"/>
    <w:rsid w:val="00B005EA"/>
    <w:rsid w:val="00B006B7"/>
    <w:rsid w:val="00B006B8"/>
    <w:rsid w:val="00B00762"/>
    <w:rsid w:val="00B00805"/>
    <w:rsid w:val="00B00901"/>
    <w:rsid w:val="00B00990"/>
    <w:rsid w:val="00B00AF7"/>
    <w:rsid w:val="00B00B14"/>
    <w:rsid w:val="00B00DE7"/>
    <w:rsid w:val="00B00E9B"/>
    <w:rsid w:val="00B00EE1"/>
    <w:rsid w:val="00B00FC4"/>
    <w:rsid w:val="00B01068"/>
    <w:rsid w:val="00B010FA"/>
    <w:rsid w:val="00B011A8"/>
    <w:rsid w:val="00B0123F"/>
    <w:rsid w:val="00B013ED"/>
    <w:rsid w:val="00B014AA"/>
    <w:rsid w:val="00B014CC"/>
    <w:rsid w:val="00B01500"/>
    <w:rsid w:val="00B0152B"/>
    <w:rsid w:val="00B015BE"/>
    <w:rsid w:val="00B015D9"/>
    <w:rsid w:val="00B0160F"/>
    <w:rsid w:val="00B0166A"/>
    <w:rsid w:val="00B01701"/>
    <w:rsid w:val="00B01731"/>
    <w:rsid w:val="00B0177D"/>
    <w:rsid w:val="00B019B1"/>
    <w:rsid w:val="00B01A0B"/>
    <w:rsid w:val="00B01D69"/>
    <w:rsid w:val="00B01E39"/>
    <w:rsid w:val="00B01E9B"/>
    <w:rsid w:val="00B02004"/>
    <w:rsid w:val="00B02222"/>
    <w:rsid w:val="00B022B5"/>
    <w:rsid w:val="00B0249E"/>
    <w:rsid w:val="00B025D0"/>
    <w:rsid w:val="00B02753"/>
    <w:rsid w:val="00B0280F"/>
    <w:rsid w:val="00B02952"/>
    <w:rsid w:val="00B02A3F"/>
    <w:rsid w:val="00B02A4F"/>
    <w:rsid w:val="00B02B04"/>
    <w:rsid w:val="00B02B3F"/>
    <w:rsid w:val="00B02BA8"/>
    <w:rsid w:val="00B02D83"/>
    <w:rsid w:val="00B02DF2"/>
    <w:rsid w:val="00B02F47"/>
    <w:rsid w:val="00B02FC1"/>
    <w:rsid w:val="00B03218"/>
    <w:rsid w:val="00B03331"/>
    <w:rsid w:val="00B034C6"/>
    <w:rsid w:val="00B034DE"/>
    <w:rsid w:val="00B03537"/>
    <w:rsid w:val="00B0355D"/>
    <w:rsid w:val="00B0359A"/>
    <w:rsid w:val="00B0384A"/>
    <w:rsid w:val="00B03933"/>
    <w:rsid w:val="00B039DB"/>
    <w:rsid w:val="00B03B05"/>
    <w:rsid w:val="00B03B97"/>
    <w:rsid w:val="00B03BF3"/>
    <w:rsid w:val="00B03C93"/>
    <w:rsid w:val="00B03D47"/>
    <w:rsid w:val="00B03D6D"/>
    <w:rsid w:val="00B03D99"/>
    <w:rsid w:val="00B03E37"/>
    <w:rsid w:val="00B03E88"/>
    <w:rsid w:val="00B040D2"/>
    <w:rsid w:val="00B0419D"/>
    <w:rsid w:val="00B0433C"/>
    <w:rsid w:val="00B0440E"/>
    <w:rsid w:val="00B04627"/>
    <w:rsid w:val="00B04777"/>
    <w:rsid w:val="00B0488C"/>
    <w:rsid w:val="00B04966"/>
    <w:rsid w:val="00B04B4F"/>
    <w:rsid w:val="00B04C1F"/>
    <w:rsid w:val="00B04CB0"/>
    <w:rsid w:val="00B04F49"/>
    <w:rsid w:val="00B04FDE"/>
    <w:rsid w:val="00B04FFE"/>
    <w:rsid w:val="00B0539B"/>
    <w:rsid w:val="00B0545A"/>
    <w:rsid w:val="00B055EC"/>
    <w:rsid w:val="00B05685"/>
    <w:rsid w:val="00B05918"/>
    <w:rsid w:val="00B059DF"/>
    <w:rsid w:val="00B05D55"/>
    <w:rsid w:val="00B05DF8"/>
    <w:rsid w:val="00B05E88"/>
    <w:rsid w:val="00B05EEB"/>
    <w:rsid w:val="00B05FB0"/>
    <w:rsid w:val="00B06116"/>
    <w:rsid w:val="00B063BC"/>
    <w:rsid w:val="00B06599"/>
    <w:rsid w:val="00B06833"/>
    <w:rsid w:val="00B06AA3"/>
    <w:rsid w:val="00B06AF6"/>
    <w:rsid w:val="00B06B37"/>
    <w:rsid w:val="00B06BAE"/>
    <w:rsid w:val="00B06C83"/>
    <w:rsid w:val="00B06C9A"/>
    <w:rsid w:val="00B06CAA"/>
    <w:rsid w:val="00B06FB5"/>
    <w:rsid w:val="00B06FC0"/>
    <w:rsid w:val="00B06FF0"/>
    <w:rsid w:val="00B07156"/>
    <w:rsid w:val="00B07177"/>
    <w:rsid w:val="00B07387"/>
    <w:rsid w:val="00B073CE"/>
    <w:rsid w:val="00B073F1"/>
    <w:rsid w:val="00B07408"/>
    <w:rsid w:val="00B0773B"/>
    <w:rsid w:val="00B07790"/>
    <w:rsid w:val="00B078E1"/>
    <w:rsid w:val="00B079A6"/>
    <w:rsid w:val="00B079FD"/>
    <w:rsid w:val="00B07B06"/>
    <w:rsid w:val="00B07B2D"/>
    <w:rsid w:val="00B07BE3"/>
    <w:rsid w:val="00B07C60"/>
    <w:rsid w:val="00B07D04"/>
    <w:rsid w:val="00B07D58"/>
    <w:rsid w:val="00B07F8A"/>
    <w:rsid w:val="00B100BB"/>
    <w:rsid w:val="00B1024A"/>
    <w:rsid w:val="00B1029D"/>
    <w:rsid w:val="00B10316"/>
    <w:rsid w:val="00B10349"/>
    <w:rsid w:val="00B10463"/>
    <w:rsid w:val="00B10542"/>
    <w:rsid w:val="00B105A7"/>
    <w:rsid w:val="00B10688"/>
    <w:rsid w:val="00B10AA9"/>
    <w:rsid w:val="00B10CA5"/>
    <w:rsid w:val="00B10E0E"/>
    <w:rsid w:val="00B10EDC"/>
    <w:rsid w:val="00B10F03"/>
    <w:rsid w:val="00B110C8"/>
    <w:rsid w:val="00B11378"/>
    <w:rsid w:val="00B11585"/>
    <w:rsid w:val="00B1161B"/>
    <w:rsid w:val="00B117FE"/>
    <w:rsid w:val="00B1194F"/>
    <w:rsid w:val="00B11A5F"/>
    <w:rsid w:val="00B11AEF"/>
    <w:rsid w:val="00B11BF1"/>
    <w:rsid w:val="00B11E1C"/>
    <w:rsid w:val="00B11E32"/>
    <w:rsid w:val="00B11E40"/>
    <w:rsid w:val="00B11E86"/>
    <w:rsid w:val="00B11F9C"/>
    <w:rsid w:val="00B11FBB"/>
    <w:rsid w:val="00B11FCC"/>
    <w:rsid w:val="00B1206A"/>
    <w:rsid w:val="00B12075"/>
    <w:rsid w:val="00B121AB"/>
    <w:rsid w:val="00B126F6"/>
    <w:rsid w:val="00B12817"/>
    <w:rsid w:val="00B12A9A"/>
    <w:rsid w:val="00B12DF1"/>
    <w:rsid w:val="00B12E5E"/>
    <w:rsid w:val="00B12EB5"/>
    <w:rsid w:val="00B12FFF"/>
    <w:rsid w:val="00B13009"/>
    <w:rsid w:val="00B13076"/>
    <w:rsid w:val="00B1368B"/>
    <w:rsid w:val="00B136C0"/>
    <w:rsid w:val="00B136D2"/>
    <w:rsid w:val="00B13913"/>
    <w:rsid w:val="00B13A89"/>
    <w:rsid w:val="00B13A91"/>
    <w:rsid w:val="00B13BC6"/>
    <w:rsid w:val="00B13C7F"/>
    <w:rsid w:val="00B13C92"/>
    <w:rsid w:val="00B13CC2"/>
    <w:rsid w:val="00B13D52"/>
    <w:rsid w:val="00B13F91"/>
    <w:rsid w:val="00B13FE0"/>
    <w:rsid w:val="00B14030"/>
    <w:rsid w:val="00B140A8"/>
    <w:rsid w:val="00B142C3"/>
    <w:rsid w:val="00B1447E"/>
    <w:rsid w:val="00B1453B"/>
    <w:rsid w:val="00B14541"/>
    <w:rsid w:val="00B145B2"/>
    <w:rsid w:val="00B1461C"/>
    <w:rsid w:val="00B146CB"/>
    <w:rsid w:val="00B1482A"/>
    <w:rsid w:val="00B14961"/>
    <w:rsid w:val="00B14AD9"/>
    <w:rsid w:val="00B14B50"/>
    <w:rsid w:val="00B14D8C"/>
    <w:rsid w:val="00B14ED5"/>
    <w:rsid w:val="00B14FA1"/>
    <w:rsid w:val="00B14FA2"/>
    <w:rsid w:val="00B15257"/>
    <w:rsid w:val="00B152BE"/>
    <w:rsid w:val="00B154CA"/>
    <w:rsid w:val="00B15647"/>
    <w:rsid w:val="00B1574F"/>
    <w:rsid w:val="00B1585C"/>
    <w:rsid w:val="00B158FE"/>
    <w:rsid w:val="00B15A1D"/>
    <w:rsid w:val="00B15ACF"/>
    <w:rsid w:val="00B15D0B"/>
    <w:rsid w:val="00B15DAB"/>
    <w:rsid w:val="00B15E7F"/>
    <w:rsid w:val="00B15F11"/>
    <w:rsid w:val="00B1617D"/>
    <w:rsid w:val="00B16303"/>
    <w:rsid w:val="00B163CE"/>
    <w:rsid w:val="00B163E0"/>
    <w:rsid w:val="00B16579"/>
    <w:rsid w:val="00B16646"/>
    <w:rsid w:val="00B16758"/>
    <w:rsid w:val="00B16898"/>
    <w:rsid w:val="00B168C2"/>
    <w:rsid w:val="00B169F4"/>
    <w:rsid w:val="00B169F8"/>
    <w:rsid w:val="00B16A55"/>
    <w:rsid w:val="00B16ADC"/>
    <w:rsid w:val="00B16C13"/>
    <w:rsid w:val="00B16C8C"/>
    <w:rsid w:val="00B16EA0"/>
    <w:rsid w:val="00B16FE5"/>
    <w:rsid w:val="00B1708E"/>
    <w:rsid w:val="00B171B1"/>
    <w:rsid w:val="00B1735C"/>
    <w:rsid w:val="00B173E8"/>
    <w:rsid w:val="00B17481"/>
    <w:rsid w:val="00B174B6"/>
    <w:rsid w:val="00B17538"/>
    <w:rsid w:val="00B17633"/>
    <w:rsid w:val="00B176F6"/>
    <w:rsid w:val="00B17804"/>
    <w:rsid w:val="00B1786C"/>
    <w:rsid w:val="00B17A03"/>
    <w:rsid w:val="00B17B57"/>
    <w:rsid w:val="00B17C13"/>
    <w:rsid w:val="00B17C55"/>
    <w:rsid w:val="00B17D27"/>
    <w:rsid w:val="00B17F03"/>
    <w:rsid w:val="00B17FB7"/>
    <w:rsid w:val="00B1E073"/>
    <w:rsid w:val="00B2001F"/>
    <w:rsid w:val="00B20072"/>
    <w:rsid w:val="00B200CB"/>
    <w:rsid w:val="00B20121"/>
    <w:rsid w:val="00B20220"/>
    <w:rsid w:val="00B20238"/>
    <w:rsid w:val="00B202AD"/>
    <w:rsid w:val="00B202EA"/>
    <w:rsid w:val="00B20350"/>
    <w:rsid w:val="00B20412"/>
    <w:rsid w:val="00B20584"/>
    <w:rsid w:val="00B2058C"/>
    <w:rsid w:val="00B205EA"/>
    <w:rsid w:val="00B206B9"/>
    <w:rsid w:val="00B206D8"/>
    <w:rsid w:val="00B20ABB"/>
    <w:rsid w:val="00B20B45"/>
    <w:rsid w:val="00B20BD8"/>
    <w:rsid w:val="00B20C24"/>
    <w:rsid w:val="00B20CD2"/>
    <w:rsid w:val="00B20D8E"/>
    <w:rsid w:val="00B20D96"/>
    <w:rsid w:val="00B20F59"/>
    <w:rsid w:val="00B20FB5"/>
    <w:rsid w:val="00B20FD1"/>
    <w:rsid w:val="00B2102A"/>
    <w:rsid w:val="00B21068"/>
    <w:rsid w:val="00B213E3"/>
    <w:rsid w:val="00B214AB"/>
    <w:rsid w:val="00B21567"/>
    <w:rsid w:val="00B2159C"/>
    <w:rsid w:val="00B219A1"/>
    <w:rsid w:val="00B219A8"/>
    <w:rsid w:val="00B21C97"/>
    <w:rsid w:val="00B21CCD"/>
    <w:rsid w:val="00B21D41"/>
    <w:rsid w:val="00B21E21"/>
    <w:rsid w:val="00B21E5C"/>
    <w:rsid w:val="00B21EC6"/>
    <w:rsid w:val="00B21F79"/>
    <w:rsid w:val="00B22028"/>
    <w:rsid w:val="00B220C5"/>
    <w:rsid w:val="00B220E8"/>
    <w:rsid w:val="00B221E1"/>
    <w:rsid w:val="00B22217"/>
    <w:rsid w:val="00B22267"/>
    <w:rsid w:val="00B2226B"/>
    <w:rsid w:val="00B22381"/>
    <w:rsid w:val="00B224F2"/>
    <w:rsid w:val="00B225CD"/>
    <w:rsid w:val="00B226E7"/>
    <w:rsid w:val="00B22845"/>
    <w:rsid w:val="00B22853"/>
    <w:rsid w:val="00B22865"/>
    <w:rsid w:val="00B22895"/>
    <w:rsid w:val="00B228D7"/>
    <w:rsid w:val="00B2296B"/>
    <w:rsid w:val="00B22D6D"/>
    <w:rsid w:val="00B22E6E"/>
    <w:rsid w:val="00B22E7D"/>
    <w:rsid w:val="00B22EF9"/>
    <w:rsid w:val="00B23003"/>
    <w:rsid w:val="00B23014"/>
    <w:rsid w:val="00B233EE"/>
    <w:rsid w:val="00B233FB"/>
    <w:rsid w:val="00B23446"/>
    <w:rsid w:val="00B2352D"/>
    <w:rsid w:val="00B2361A"/>
    <w:rsid w:val="00B237A3"/>
    <w:rsid w:val="00B23812"/>
    <w:rsid w:val="00B2382F"/>
    <w:rsid w:val="00B23908"/>
    <w:rsid w:val="00B23916"/>
    <w:rsid w:val="00B2396B"/>
    <w:rsid w:val="00B2396F"/>
    <w:rsid w:val="00B23B24"/>
    <w:rsid w:val="00B23BAA"/>
    <w:rsid w:val="00B23BB0"/>
    <w:rsid w:val="00B23CA2"/>
    <w:rsid w:val="00B23E3F"/>
    <w:rsid w:val="00B23F28"/>
    <w:rsid w:val="00B24133"/>
    <w:rsid w:val="00B24237"/>
    <w:rsid w:val="00B24328"/>
    <w:rsid w:val="00B24336"/>
    <w:rsid w:val="00B243FB"/>
    <w:rsid w:val="00B24470"/>
    <w:rsid w:val="00B24493"/>
    <w:rsid w:val="00B244AB"/>
    <w:rsid w:val="00B24569"/>
    <w:rsid w:val="00B246D8"/>
    <w:rsid w:val="00B247CB"/>
    <w:rsid w:val="00B2488B"/>
    <w:rsid w:val="00B24A23"/>
    <w:rsid w:val="00B24B69"/>
    <w:rsid w:val="00B24B77"/>
    <w:rsid w:val="00B24CEE"/>
    <w:rsid w:val="00B24D06"/>
    <w:rsid w:val="00B24D98"/>
    <w:rsid w:val="00B24E11"/>
    <w:rsid w:val="00B24E60"/>
    <w:rsid w:val="00B250BF"/>
    <w:rsid w:val="00B25374"/>
    <w:rsid w:val="00B25394"/>
    <w:rsid w:val="00B25795"/>
    <w:rsid w:val="00B257EA"/>
    <w:rsid w:val="00B258E2"/>
    <w:rsid w:val="00B25976"/>
    <w:rsid w:val="00B25BFC"/>
    <w:rsid w:val="00B25C0C"/>
    <w:rsid w:val="00B25DB7"/>
    <w:rsid w:val="00B25E53"/>
    <w:rsid w:val="00B25FA0"/>
    <w:rsid w:val="00B2627E"/>
    <w:rsid w:val="00B263CF"/>
    <w:rsid w:val="00B264A1"/>
    <w:rsid w:val="00B26569"/>
    <w:rsid w:val="00B266FB"/>
    <w:rsid w:val="00B26733"/>
    <w:rsid w:val="00B26734"/>
    <w:rsid w:val="00B26875"/>
    <w:rsid w:val="00B26AB8"/>
    <w:rsid w:val="00B26BB3"/>
    <w:rsid w:val="00B26C1A"/>
    <w:rsid w:val="00B26D20"/>
    <w:rsid w:val="00B26E08"/>
    <w:rsid w:val="00B27045"/>
    <w:rsid w:val="00B27277"/>
    <w:rsid w:val="00B272D8"/>
    <w:rsid w:val="00B274B2"/>
    <w:rsid w:val="00B279BE"/>
    <w:rsid w:val="00B27A00"/>
    <w:rsid w:val="00B27DAE"/>
    <w:rsid w:val="00B27F5F"/>
    <w:rsid w:val="00B300F0"/>
    <w:rsid w:val="00B3015E"/>
    <w:rsid w:val="00B30164"/>
    <w:rsid w:val="00B3028B"/>
    <w:rsid w:val="00B30378"/>
    <w:rsid w:val="00B303E6"/>
    <w:rsid w:val="00B303F7"/>
    <w:rsid w:val="00B30535"/>
    <w:rsid w:val="00B30593"/>
    <w:rsid w:val="00B30935"/>
    <w:rsid w:val="00B30965"/>
    <w:rsid w:val="00B30A6E"/>
    <w:rsid w:val="00B30B50"/>
    <w:rsid w:val="00B30B8D"/>
    <w:rsid w:val="00B30BF4"/>
    <w:rsid w:val="00B30C59"/>
    <w:rsid w:val="00B30CAA"/>
    <w:rsid w:val="00B30D31"/>
    <w:rsid w:val="00B30DA4"/>
    <w:rsid w:val="00B30DCD"/>
    <w:rsid w:val="00B30E5D"/>
    <w:rsid w:val="00B30F52"/>
    <w:rsid w:val="00B30F5E"/>
    <w:rsid w:val="00B30F7C"/>
    <w:rsid w:val="00B310D0"/>
    <w:rsid w:val="00B3123F"/>
    <w:rsid w:val="00B31410"/>
    <w:rsid w:val="00B31702"/>
    <w:rsid w:val="00B3176E"/>
    <w:rsid w:val="00B317DD"/>
    <w:rsid w:val="00B318A0"/>
    <w:rsid w:val="00B31AAF"/>
    <w:rsid w:val="00B31B4D"/>
    <w:rsid w:val="00B31B82"/>
    <w:rsid w:val="00B31C5F"/>
    <w:rsid w:val="00B31D11"/>
    <w:rsid w:val="00B31DB9"/>
    <w:rsid w:val="00B31ED7"/>
    <w:rsid w:val="00B31F7E"/>
    <w:rsid w:val="00B32115"/>
    <w:rsid w:val="00B32320"/>
    <w:rsid w:val="00B323FC"/>
    <w:rsid w:val="00B324B6"/>
    <w:rsid w:val="00B325D5"/>
    <w:rsid w:val="00B325E7"/>
    <w:rsid w:val="00B3262E"/>
    <w:rsid w:val="00B326BB"/>
    <w:rsid w:val="00B32889"/>
    <w:rsid w:val="00B328E9"/>
    <w:rsid w:val="00B32957"/>
    <w:rsid w:val="00B32A6C"/>
    <w:rsid w:val="00B32B95"/>
    <w:rsid w:val="00B32C0D"/>
    <w:rsid w:val="00B32E2C"/>
    <w:rsid w:val="00B32E6C"/>
    <w:rsid w:val="00B337AA"/>
    <w:rsid w:val="00B33933"/>
    <w:rsid w:val="00B339BF"/>
    <w:rsid w:val="00B339C5"/>
    <w:rsid w:val="00B33CFB"/>
    <w:rsid w:val="00B33E4E"/>
    <w:rsid w:val="00B33E6B"/>
    <w:rsid w:val="00B33E85"/>
    <w:rsid w:val="00B3403E"/>
    <w:rsid w:val="00B340A8"/>
    <w:rsid w:val="00B340B2"/>
    <w:rsid w:val="00B34142"/>
    <w:rsid w:val="00B34206"/>
    <w:rsid w:val="00B342F7"/>
    <w:rsid w:val="00B34493"/>
    <w:rsid w:val="00B344CA"/>
    <w:rsid w:val="00B3452A"/>
    <w:rsid w:val="00B3468D"/>
    <w:rsid w:val="00B34834"/>
    <w:rsid w:val="00B3488C"/>
    <w:rsid w:val="00B34EC6"/>
    <w:rsid w:val="00B34F7B"/>
    <w:rsid w:val="00B350B4"/>
    <w:rsid w:val="00B35358"/>
    <w:rsid w:val="00B3545D"/>
    <w:rsid w:val="00B35667"/>
    <w:rsid w:val="00B35880"/>
    <w:rsid w:val="00B358D6"/>
    <w:rsid w:val="00B358DF"/>
    <w:rsid w:val="00B3594D"/>
    <w:rsid w:val="00B359BD"/>
    <w:rsid w:val="00B359CC"/>
    <w:rsid w:val="00B35A69"/>
    <w:rsid w:val="00B35B32"/>
    <w:rsid w:val="00B35DB7"/>
    <w:rsid w:val="00B35E2C"/>
    <w:rsid w:val="00B35ECA"/>
    <w:rsid w:val="00B3600F"/>
    <w:rsid w:val="00B36076"/>
    <w:rsid w:val="00B360CA"/>
    <w:rsid w:val="00B360E5"/>
    <w:rsid w:val="00B36115"/>
    <w:rsid w:val="00B361C8"/>
    <w:rsid w:val="00B36210"/>
    <w:rsid w:val="00B36335"/>
    <w:rsid w:val="00B3637D"/>
    <w:rsid w:val="00B363DC"/>
    <w:rsid w:val="00B36588"/>
    <w:rsid w:val="00B36663"/>
    <w:rsid w:val="00B36665"/>
    <w:rsid w:val="00B3676B"/>
    <w:rsid w:val="00B36773"/>
    <w:rsid w:val="00B367CE"/>
    <w:rsid w:val="00B368D9"/>
    <w:rsid w:val="00B3692F"/>
    <w:rsid w:val="00B3695C"/>
    <w:rsid w:val="00B36B66"/>
    <w:rsid w:val="00B36B86"/>
    <w:rsid w:val="00B36BA2"/>
    <w:rsid w:val="00B36BE4"/>
    <w:rsid w:val="00B36BFB"/>
    <w:rsid w:val="00B36C17"/>
    <w:rsid w:val="00B36D16"/>
    <w:rsid w:val="00B36E26"/>
    <w:rsid w:val="00B36E6A"/>
    <w:rsid w:val="00B36EE7"/>
    <w:rsid w:val="00B36F15"/>
    <w:rsid w:val="00B36F60"/>
    <w:rsid w:val="00B36FE2"/>
    <w:rsid w:val="00B37298"/>
    <w:rsid w:val="00B372EA"/>
    <w:rsid w:val="00B37354"/>
    <w:rsid w:val="00B37402"/>
    <w:rsid w:val="00B3741F"/>
    <w:rsid w:val="00B374D9"/>
    <w:rsid w:val="00B37539"/>
    <w:rsid w:val="00B3760A"/>
    <w:rsid w:val="00B37696"/>
    <w:rsid w:val="00B3776F"/>
    <w:rsid w:val="00B377BE"/>
    <w:rsid w:val="00B37A4A"/>
    <w:rsid w:val="00B37AF5"/>
    <w:rsid w:val="00B37C05"/>
    <w:rsid w:val="00B37C2A"/>
    <w:rsid w:val="00B37CE8"/>
    <w:rsid w:val="00B37CF8"/>
    <w:rsid w:val="00B37D03"/>
    <w:rsid w:val="00B37F12"/>
    <w:rsid w:val="00B4005E"/>
    <w:rsid w:val="00B4017F"/>
    <w:rsid w:val="00B401AD"/>
    <w:rsid w:val="00B40260"/>
    <w:rsid w:val="00B40365"/>
    <w:rsid w:val="00B4044D"/>
    <w:rsid w:val="00B4056A"/>
    <w:rsid w:val="00B406D7"/>
    <w:rsid w:val="00B407C3"/>
    <w:rsid w:val="00B40813"/>
    <w:rsid w:val="00B40868"/>
    <w:rsid w:val="00B40958"/>
    <w:rsid w:val="00B40960"/>
    <w:rsid w:val="00B4096F"/>
    <w:rsid w:val="00B409C5"/>
    <w:rsid w:val="00B409D9"/>
    <w:rsid w:val="00B40B26"/>
    <w:rsid w:val="00B40B65"/>
    <w:rsid w:val="00B40BA1"/>
    <w:rsid w:val="00B40C80"/>
    <w:rsid w:val="00B4104E"/>
    <w:rsid w:val="00B4117B"/>
    <w:rsid w:val="00B4130F"/>
    <w:rsid w:val="00B41402"/>
    <w:rsid w:val="00B4160B"/>
    <w:rsid w:val="00B41646"/>
    <w:rsid w:val="00B4176A"/>
    <w:rsid w:val="00B417FE"/>
    <w:rsid w:val="00B4190F"/>
    <w:rsid w:val="00B41A5D"/>
    <w:rsid w:val="00B41AA3"/>
    <w:rsid w:val="00B41AB5"/>
    <w:rsid w:val="00B41CE5"/>
    <w:rsid w:val="00B41CFF"/>
    <w:rsid w:val="00B41D02"/>
    <w:rsid w:val="00B41FC4"/>
    <w:rsid w:val="00B42086"/>
    <w:rsid w:val="00B42335"/>
    <w:rsid w:val="00B423F3"/>
    <w:rsid w:val="00B424AB"/>
    <w:rsid w:val="00B425CE"/>
    <w:rsid w:val="00B42624"/>
    <w:rsid w:val="00B42697"/>
    <w:rsid w:val="00B426B3"/>
    <w:rsid w:val="00B4282E"/>
    <w:rsid w:val="00B42848"/>
    <w:rsid w:val="00B42956"/>
    <w:rsid w:val="00B42B5F"/>
    <w:rsid w:val="00B42D4B"/>
    <w:rsid w:val="00B42D8E"/>
    <w:rsid w:val="00B42E7E"/>
    <w:rsid w:val="00B43043"/>
    <w:rsid w:val="00B431C4"/>
    <w:rsid w:val="00B432DB"/>
    <w:rsid w:val="00B43379"/>
    <w:rsid w:val="00B435CE"/>
    <w:rsid w:val="00B43610"/>
    <w:rsid w:val="00B4366F"/>
    <w:rsid w:val="00B437AC"/>
    <w:rsid w:val="00B4389A"/>
    <w:rsid w:val="00B43909"/>
    <w:rsid w:val="00B43CDE"/>
    <w:rsid w:val="00B43D0F"/>
    <w:rsid w:val="00B43D7A"/>
    <w:rsid w:val="00B43D90"/>
    <w:rsid w:val="00B4404D"/>
    <w:rsid w:val="00B4413D"/>
    <w:rsid w:val="00B441C6"/>
    <w:rsid w:val="00B4422D"/>
    <w:rsid w:val="00B44282"/>
    <w:rsid w:val="00B442B4"/>
    <w:rsid w:val="00B442EF"/>
    <w:rsid w:val="00B444A6"/>
    <w:rsid w:val="00B4456C"/>
    <w:rsid w:val="00B4461C"/>
    <w:rsid w:val="00B4496B"/>
    <w:rsid w:val="00B449F9"/>
    <w:rsid w:val="00B44A80"/>
    <w:rsid w:val="00B44A8F"/>
    <w:rsid w:val="00B44B49"/>
    <w:rsid w:val="00B44D48"/>
    <w:rsid w:val="00B450E9"/>
    <w:rsid w:val="00B45115"/>
    <w:rsid w:val="00B4514A"/>
    <w:rsid w:val="00B4535A"/>
    <w:rsid w:val="00B454B5"/>
    <w:rsid w:val="00B454E4"/>
    <w:rsid w:val="00B455C7"/>
    <w:rsid w:val="00B45783"/>
    <w:rsid w:val="00B45D30"/>
    <w:rsid w:val="00B45E7F"/>
    <w:rsid w:val="00B45ECC"/>
    <w:rsid w:val="00B45FA1"/>
    <w:rsid w:val="00B4600F"/>
    <w:rsid w:val="00B460E4"/>
    <w:rsid w:val="00B4624C"/>
    <w:rsid w:val="00B463EC"/>
    <w:rsid w:val="00B465BE"/>
    <w:rsid w:val="00B46622"/>
    <w:rsid w:val="00B46672"/>
    <w:rsid w:val="00B4668E"/>
    <w:rsid w:val="00B46691"/>
    <w:rsid w:val="00B4669B"/>
    <w:rsid w:val="00B46790"/>
    <w:rsid w:val="00B46802"/>
    <w:rsid w:val="00B468D4"/>
    <w:rsid w:val="00B46A36"/>
    <w:rsid w:val="00B46BD3"/>
    <w:rsid w:val="00B46C2A"/>
    <w:rsid w:val="00B46D2F"/>
    <w:rsid w:val="00B46DD7"/>
    <w:rsid w:val="00B46DE0"/>
    <w:rsid w:val="00B46E1C"/>
    <w:rsid w:val="00B46E66"/>
    <w:rsid w:val="00B46EE6"/>
    <w:rsid w:val="00B46EE9"/>
    <w:rsid w:val="00B46F33"/>
    <w:rsid w:val="00B46FCD"/>
    <w:rsid w:val="00B470BE"/>
    <w:rsid w:val="00B47196"/>
    <w:rsid w:val="00B471EA"/>
    <w:rsid w:val="00B47335"/>
    <w:rsid w:val="00B4744D"/>
    <w:rsid w:val="00B4747C"/>
    <w:rsid w:val="00B47537"/>
    <w:rsid w:val="00B47774"/>
    <w:rsid w:val="00B4781F"/>
    <w:rsid w:val="00B478D1"/>
    <w:rsid w:val="00B478E2"/>
    <w:rsid w:val="00B47A01"/>
    <w:rsid w:val="00B47A32"/>
    <w:rsid w:val="00B47B2A"/>
    <w:rsid w:val="00B47D34"/>
    <w:rsid w:val="00B47D44"/>
    <w:rsid w:val="00B47FE2"/>
    <w:rsid w:val="00B50227"/>
    <w:rsid w:val="00B50375"/>
    <w:rsid w:val="00B503D0"/>
    <w:rsid w:val="00B50413"/>
    <w:rsid w:val="00B50489"/>
    <w:rsid w:val="00B504F0"/>
    <w:rsid w:val="00B505F4"/>
    <w:rsid w:val="00B50C21"/>
    <w:rsid w:val="00B50D71"/>
    <w:rsid w:val="00B50DFC"/>
    <w:rsid w:val="00B50F1B"/>
    <w:rsid w:val="00B51024"/>
    <w:rsid w:val="00B51087"/>
    <w:rsid w:val="00B510AB"/>
    <w:rsid w:val="00B51266"/>
    <w:rsid w:val="00B512A5"/>
    <w:rsid w:val="00B5144F"/>
    <w:rsid w:val="00B51469"/>
    <w:rsid w:val="00B5149B"/>
    <w:rsid w:val="00B514BF"/>
    <w:rsid w:val="00B5151F"/>
    <w:rsid w:val="00B5153D"/>
    <w:rsid w:val="00B51547"/>
    <w:rsid w:val="00B51572"/>
    <w:rsid w:val="00B516B2"/>
    <w:rsid w:val="00B516C2"/>
    <w:rsid w:val="00B516CD"/>
    <w:rsid w:val="00B517A1"/>
    <w:rsid w:val="00B51ACB"/>
    <w:rsid w:val="00B51C9C"/>
    <w:rsid w:val="00B51CD7"/>
    <w:rsid w:val="00B51DCF"/>
    <w:rsid w:val="00B51E22"/>
    <w:rsid w:val="00B51E2B"/>
    <w:rsid w:val="00B51E4A"/>
    <w:rsid w:val="00B52052"/>
    <w:rsid w:val="00B521C8"/>
    <w:rsid w:val="00B5229D"/>
    <w:rsid w:val="00B523B3"/>
    <w:rsid w:val="00B524A6"/>
    <w:rsid w:val="00B52550"/>
    <w:rsid w:val="00B52635"/>
    <w:rsid w:val="00B52BBF"/>
    <w:rsid w:val="00B52CB7"/>
    <w:rsid w:val="00B52CBB"/>
    <w:rsid w:val="00B52CFB"/>
    <w:rsid w:val="00B52D76"/>
    <w:rsid w:val="00B52D87"/>
    <w:rsid w:val="00B52DE6"/>
    <w:rsid w:val="00B52E07"/>
    <w:rsid w:val="00B52F66"/>
    <w:rsid w:val="00B52FE4"/>
    <w:rsid w:val="00B5307D"/>
    <w:rsid w:val="00B532B3"/>
    <w:rsid w:val="00B5343B"/>
    <w:rsid w:val="00B53523"/>
    <w:rsid w:val="00B53536"/>
    <w:rsid w:val="00B535BA"/>
    <w:rsid w:val="00B5364F"/>
    <w:rsid w:val="00B5398A"/>
    <w:rsid w:val="00B53A5A"/>
    <w:rsid w:val="00B53AD4"/>
    <w:rsid w:val="00B53C87"/>
    <w:rsid w:val="00B53E2C"/>
    <w:rsid w:val="00B53F18"/>
    <w:rsid w:val="00B53F31"/>
    <w:rsid w:val="00B53F37"/>
    <w:rsid w:val="00B54106"/>
    <w:rsid w:val="00B54112"/>
    <w:rsid w:val="00B541D0"/>
    <w:rsid w:val="00B542D5"/>
    <w:rsid w:val="00B543AC"/>
    <w:rsid w:val="00B54469"/>
    <w:rsid w:val="00B54820"/>
    <w:rsid w:val="00B54893"/>
    <w:rsid w:val="00B54971"/>
    <w:rsid w:val="00B549CC"/>
    <w:rsid w:val="00B54A93"/>
    <w:rsid w:val="00B54AB9"/>
    <w:rsid w:val="00B54AE3"/>
    <w:rsid w:val="00B54B19"/>
    <w:rsid w:val="00B54BCE"/>
    <w:rsid w:val="00B54C24"/>
    <w:rsid w:val="00B54C48"/>
    <w:rsid w:val="00B54CBD"/>
    <w:rsid w:val="00B54D29"/>
    <w:rsid w:val="00B54DDB"/>
    <w:rsid w:val="00B54EA5"/>
    <w:rsid w:val="00B55049"/>
    <w:rsid w:val="00B551FE"/>
    <w:rsid w:val="00B5533A"/>
    <w:rsid w:val="00B5537B"/>
    <w:rsid w:val="00B55596"/>
    <w:rsid w:val="00B55597"/>
    <w:rsid w:val="00B555C8"/>
    <w:rsid w:val="00B5572C"/>
    <w:rsid w:val="00B557D9"/>
    <w:rsid w:val="00B55807"/>
    <w:rsid w:val="00B558CC"/>
    <w:rsid w:val="00B55925"/>
    <w:rsid w:val="00B55ABA"/>
    <w:rsid w:val="00B55FE9"/>
    <w:rsid w:val="00B55FF7"/>
    <w:rsid w:val="00B5606A"/>
    <w:rsid w:val="00B5613D"/>
    <w:rsid w:val="00B5623E"/>
    <w:rsid w:val="00B5629E"/>
    <w:rsid w:val="00B56306"/>
    <w:rsid w:val="00B565D6"/>
    <w:rsid w:val="00B56648"/>
    <w:rsid w:val="00B566E1"/>
    <w:rsid w:val="00B567BC"/>
    <w:rsid w:val="00B567D8"/>
    <w:rsid w:val="00B56863"/>
    <w:rsid w:val="00B56939"/>
    <w:rsid w:val="00B5698A"/>
    <w:rsid w:val="00B56A47"/>
    <w:rsid w:val="00B56C81"/>
    <w:rsid w:val="00B56D9A"/>
    <w:rsid w:val="00B570CF"/>
    <w:rsid w:val="00B573C7"/>
    <w:rsid w:val="00B57417"/>
    <w:rsid w:val="00B57562"/>
    <w:rsid w:val="00B57625"/>
    <w:rsid w:val="00B57628"/>
    <w:rsid w:val="00B57B5D"/>
    <w:rsid w:val="00B57BAE"/>
    <w:rsid w:val="00B57E54"/>
    <w:rsid w:val="00B57FD4"/>
    <w:rsid w:val="00B5D5E8"/>
    <w:rsid w:val="00B60098"/>
    <w:rsid w:val="00B600B1"/>
    <w:rsid w:val="00B6013B"/>
    <w:rsid w:val="00B6014B"/>
    <w:rsid w:val="00B601EA"/>
    <w:rsid w:val="00B60225"/>
    <w:rsid w:val="00B6025F"/>
    <w:rsid w:val="00B6036E"/>
    <w:rsid w:val="00B603B9"/>
    <w:rsid w:val="00B60437"/>
    <w:rsid w:val="00B6053B"/>
    <w:rsid w:val="00B606B6"/>
    <w:rsid w:val="00B60B45"/>
    <w:rsid w:val="00B60BB3"/>
    <w:rsid w:val="00B60C3D"/>
    <w:rsid w:val="00B60CFD"/>
    <w:rsid w:val="00B60E2E"/>
    <w:rsid w:val="00B60FC2"/>
    <w:rsid w:val="00B61114"/>
    <w:rsid w:val="00B611B6"/>
    <w:rsid w:val="00B61292"/>
    <w:rsid w:val="00B614C8"/>
    <w:rsid w:val="00B61517"/>
    <w:rsid w:val="00B61763"/>
    <w:rsid w:val="00B61904"/>
    <w:rsid w:val="00B61CA4"/>
    <w:rsid w:val="00B61D7B"/>
    <w:rsid w:val="00B61F82"/>
    <w:rsid w:val="00B62054"/>
    <w:rsid w:val="00B620DD"/>
    <w:rsid w:val="00B6213B"/>
    <w:rsid w:val="00B6213E"/>
    <w:rsid w:val="00B6222F"/>
    <w:rsid w:val="00B62363"/>
    <w:rsid w:val="00B625D2"/>
    <w:rsid w:val="00B626F6"/>
    <w:rsid w:val="00B62799"/>
    <w:rsid w:val="00B627CD"/>
    <w:rsid w:val="00B627D9"/>
    <w:rsid w:val="00B6285B"/>
    <w:rsid w:val="00B62924"/>
    <w:rsid w:val="00B62985"/>
    <w:rsid w:val="00B62DD9"/>
    <w:rsid w:val="00B62E13"/>
    <w:rsid w:val="00B62FEF"/>
    <w:rsid w:val="00B630A2"/>
    <w:rsid w:val="00B630D0"/>
    <w:rsid w:val="00B63151"/>
    <w:rsid w:val="00B633F1"/>
    <w:rsid w:val="00B634B1"/>
    <w:rsid w:val="00B63569"/>
    <w:rsid w:val="00B635D9"/>
    <w:rsid w:val="00B638FE"/>
    <w:rsid w:val="00B639C4"/>
    <w:rsid w:val="00B63A60"/>
    <w:rsid w:val="00B63A7C"/>
    <w:rsid w:val="00B63AA1"/>
    <w:rsid w:val="00B63B3F"/>
    <w:rsid w:val="00B63B56"/>
    <w:rsid w:val="00B63CB0"/>
    <w:rsid w:val="00B63EAF"/>
    <w:rsid w:val="00B63ED6"/>
    <w:rsid w:val="00B63EFB"/>
    <w:rsid w:val="00B63F02"/>
    <w:rsid w:val="00B63F07"/>
    <w:rsid w:val="00B64027"/>
    <w:rsid w:val="00B640E5"/>
    <w:rsid w:val="00B64221"/>
    <w:rsid w:val="00B64295"/>
    <w:rsid w:val="00B642AE"/>
    <w:rsid w:val="00B64332"/>
    <w:rsid w:val="00B6442D"/>
    <w:rsid w:val="00B6445E"/>
    <w:rsid w:val="00B6455E"/>
    <w:rsid w:val="00B64656"/>
    <w:rsid w:val="00B64718"/>
    <w:rsid w:val="00B6472B"/>
    <w:rsid w:val="00B64743"/>
    <w:rsid w:val="00B64816"/>
    <w:rsid w:val="00B64925"/>
    <w:rsid w:val="00B64A8D"/>
    <w:rsid w:val="00B64BD0"/>
    <w:rsid w:val="00B64CB5"/>
    <w:rsid w:val="00B64D1C"/>
    <w:rsid w:val="00B64DE9"/>
    <w:rsid w:val="00B64F4D"/>
    <w:rsid w:val="00B651B1"/>
    <w:rsid w:val="00B6523E"/>
    <w:rsid w:val="00B65357"/>
    <w:rsid w:val="00B65370"/>
    <w:rsid w:val="00B6545A"/>
    <w:rsid w:val="00B654F0"/>
    <w:rsid w:val="00B65571"/>
    <w:rsid w:val="00B655C3"/>
    <w:rsid w:val="00B6561D"/>
    <w:rsid w:val="00B656BD"/>
    <w:rsid w:val="00B656FC"/>
    <w:rsid w:val="00B65700"/>
    <w:rsid w:val="00B65939"/>
    <w:rsid w:val="00B65959"/>
    <w:rsid w:val="00B65A53"/>
    <w:rsid w:val="00B65AC5"/>
    <w:rsid w:val="00B6611F"/>
    <w:rsid w:val="00B66218"/>
    <w:rsid w:val="00B66267"/>
    <w:rsid w:val="00B6638A"/>
    <w:rsid w:val="00B66558"/>
    <w:rsid w:val="00B66653"/>
    <w:rsid w:val="00B6667D"/>
    <w:rsid w:val="00B666A9"/>
    <w:rsid w:val="00B6673A"/>
    <w:rsid w:val="00B66834"/>
    <w:rsid w:val="00B66886"/>
    <w:rsid w:val="00B66923"/>
    <w:rsid w:val="00B66948"/>
    <w:rsid w:val="00B66A70"/>
    <w:rsid w:val="00B66A80"/>
    <w:rsid w:val="00B66A92"/>
    <w:rsid w:val="00B66B81"/>
    <w:rsid w:val="00B66D0B"/>
    <w:rsid w:val="00B66D0C"/>
    <w:rsid w:val="00B66DDD"/>
    <w:rsid w:val="00B66E71"/>
    <w:rsid w:val="00B66FC9"/>
    <w:rsid w:val="00B6719D"/>
    <w:rsid w:val="00B67248"/>
    <w:rsid w:val="00B67277"/>
    <w:rsid w:val="00B673C0"/>
    <w:rsid w:val="00B674A0"/>
    <w:rsid w:val="00B674D4"/>
    <w:rsid w:val="00B675D1"/>
    <w:rsid w:val="00B677DE"/>
    <w:rsid w:val="00B6780C"/>
    <w:rsid w:val="00B67A9C"/>
    <w:rsid w:val="00B67B68"/>
    <w:rsid w:val="00B67B87"/>
    <w:rsid w:val="00B67BA4"/>
    <w:rsid w:val="00B67C89"/>
    <w:rsid w:val="00B67CBD"/>
    <w:rsid w:val="00B67ECE"/>
    <w:rsid w:val="00B67F6A"/>
    <w:rsid w:val="00B7029E"/>
    <w:rsid w:val="00B702C9"/>
    <w:rsid w:val="00B703A4"/>
    <w:rsid w:val="00B704A2"/>
    <w:rsid w:val="00B7062B"/>
    <w:rsid w:val="00B7090F"/>
    <w:rsid w:val="00B70B4F"/>
    <w:rsid w:val="00B70C8C"/>
    <w:rsid w:val="00B70CDA"/>
    <w:rsid w:val="00B70D82"/>
    <w:rsid w:val="00B70DC4"/>
    <w:rsid w:val="00B70DFE"/>
    <w:rsid w:val="00B710A9"/>
    <w:rsid w:val="00B712F2"/>
    <w:rsid w:val="00B714FE"/>
    <w:rsid w:val="00B71536"/>
    <w:rsid w:val="00B716D3"/>
    <w:rsid w:val="00B7170E"/>
    <w:rsid w:val="00B717BA"/>
    <w:rsid w:val="00B71AA7"/>
    <w:rsid w:val="00B71B6E"/>
    <w:rsid w:val="00B71CE0"/>
    <w:rsid w:val="00B71F3A"/>
    <w:rsid w:val="00B721BB"/>
    <w:rsid w:val="00B72485"/>
    <w:rsid w:val="00B72522"/>
    <w:rsid w:val="00B726D9"/>
    <w:rsid w:val="00B7270F"/>
    <w:rsid w:val="00B72714"/>
    <w:rsid w:val="00B7271B"/>
    <w:rsid w:val="00B72895"/>
    <w:rsid w:val="00B7296B"/>
    <w:rsid w:val="00B72A06"/>
    <w:rsid w:val="00B72B09"/>
    <w:rsid w:val="00B72B8A"/>
    <w:rsid w:val="00B72EBE"/>
    <w:rsid w:val="00B730AC"/>
    <w:rsid w:val="00B73140"/>
    <w:rsid w:val="00B73208"/>
    <w:rsid w:val="00B733F3"/>
    <w:rsid w:val="00B736AC"/>
    <w:rsid w:val="00B736F9"/>
    <w:rsid w:val="00B737E6"/>
    <w:rsid w:val="00B73B33"/>
    <w:rsid w:val="00B73C73"/>
    <w:rsid w:val="00B73D50"/>
    <w:rsid w:val="00B73FE6"/>
    <w:rsid w:val="00B744FE"/>
    <w:rsid w:val="00B7461A"/>
    <w:rsid w:val="00B74632"/>
    <w:rsid w:val="00B74636"/>
    <w:rsid w:val="00B7485C"/>
    <w:rsid w:val="00B74A05"/>
    <w:rsid w:val="00B74A58"/>
    <w:rsid w:val="00B74B04"/>
    <w:rsid w:val="00B74BE2"/>
    <w:rsid w:val="00B74C56"/>
    <w:rsid w:val="00B74CA0"/>
    <w:rsid w:val="00B74EDE"/>
    <w:rsid w:val="00B74F27"/>
    <w:rsid w:val="00B74FC2"/>
    <w:rsid w:val="00B750C9"/>
    <w:rsid w:val="00B75267"/>
    <w:rsid w:val="00B754B1"/>
    <w:rsid w:val="00B75503"/>
    <w:rsid w:val="00B75509"/>
    <w:rsid w:val="00B7558A"/>
    <w:rsid w:val="00B756EA"/>
    <w:rsid w:val="00B756EE"/>
    <w:rsid w:val="00B75786"/>
    <w:rsid w:val="00B75864"/>
    <w:rsid w:val="00B75897"/>
    <w:rsid w:val="00B75904"/>
    <w:rsid w:val="00B75A3D"/>
    <w:rsid w:val="00B75C24"/>
    <w:rsid w:val="00B75D30"/>
    <w:rsid w:val="00B75D7B"/>
    <w:rsid w:val="00B75E73"/>
    <w:rsid w:val="00B76095"/>
    <w:rsid w:val="00B7611E"/>
    <w:rsid w:val="00B762A6"/>
    <w:rsid w:val="00B765A0"/>
    <w:rsid w:val="00B765A6"/>
    <w:rsid w:val="00B766E5"/>
    <w:rsid w:val="00B7671C"/>
    <w:rsid w:val="00B76750"/>
    <w:rsid w:val="00B76790"/>
    <w:rsid w:val="00B7686E"/>
    <w:rsid w:val="00B768AF"/>
    <w:rsid w:val="00B76B33"/>
    <w:rsid w:val="00B76C53"/>
    <w:rsid w:val="00B772A0"/>
    <w:rsid w:val="00B772F1"/>
    <w:rsid w:val="00B77518"/>
    <w:rsid w:val="00B776B9"/>
    <w:rsid w:val="00B776CA"/>
    <w:rsid w:val="00B776EF"/>
    <w:rsid w:val="00B7772E"/>
    <w:rsid w:val="00B77749"/>
    <w:rsid w:val="00B77776"/>
    <w:rsid w:val="00B77837"/>
    <w:rsid w:val="00B778AE"/>
    <w:rsid w:val="00B77A52"/>
    <w:rsid w:val="00B77CA6"/>
    <w:rsid w:val="00B77D5C"/>
    <w:rsid w:val="00B77E18"/>
    <w:rsid w:val="00B77EB3"/>
    <w:rsid w:val="00B80066"/>
    <w:rsid w:val="00B80272"/>
    <w:rsid w:val="00B803D4"/>
    <w:rsid w:val="00B8056B"/>
    <w:rsid w:val="00B807C5"/>
    <w:rsid w:val="00B80942"/>
    <w:rsid w:val="00B80980"/>
    <w:rsid w:val="00B80BC2"/>
    <w:rsid w:val="00B80BD7"/>
    <w:rsid w:val="00B80EF8"/>
    <w:rsid w:val="00B80FD2"/>
    <w:rsid w:val="00B8111B"/>
    <w:rsid w:val="00B8120D"/>
    <w:rsid w:val="00B81229"/>
    <w:rsid w:val="00B8139F"/>
    <w:rsid w:val="00B81497"/>
    <w:rsid w:val="00B8159D"/>
    <w:rsid w:val="00B81685"/>
    <w:rsid w:val="00B81781"/>
    <w:rsid w:val="00B817AF"/>
    <w:rsid w:val="00B81A30"/>
    <w:rsid w:val="00B81ACE"/>
    <w:rsid w:val="00B81AF6"/>
    <w:rsid w:val="00B81CEC"/>
    <w:rsid w:val="00B81D1F"/>
    <w:rsid w:val="00B81D91"/>
    <w:rsid w:val="00B81E71"/>
    <w:rsid w:val="00B81E9A"/>
    <w:rsid w:val="00B81FD7"/>
    <w:rsid w:val="00B820B3"/>
    <w:rsid w:val="00B82106"/>
    <w:rsid w:val="00B8220E"/>
    <w:rsid w:val="00B822B8"/>
    <w:rsid w:val="00B82338"/>
    <w:rsid w:val="00B82446"/>
    <w:rsid w:val="00B824A8"/>
    <w:rsid w:val="00B824C9"/>
    <w:rsid w:val="00B82612"/>
    <w:rsid w:val="00B82807"/>
    <w:rsid w:val="00B828AC"/>
    <w:rsid w:val="00B829FB"/>
    <w:rsid w:val="00B82AB2"/>
    <w:rsid w:val="00B82B18"/>
    <w:rsid w:val="00B82B61"/>
    <w:rsid w:val="00B82BA4"/>
    <w:rsid w:val="00B82C02"/>
    <w:rsid w:val="00B82D7D"/>
    <w:rsid w:val="00B82DDE"/>
    <w:rsid w:val="00B82F1C"/>
    <w:rsid w:val="00B82FB5"/>
    <w:rsid w:val="00B831E4"/>
    <w:rsid w:val="00B831E8"/>
    <w:rsid w:val="00B83235"/>
    <w:rsid w:val="00B833A3"/>
    <w:rsid w:val="00B8341A"/>
    <w:rsid w:val="00B83472"/>
    <w:rsid w:val="00B8357E"/>
    <w:rsid w:val="00B836F2"/>
    <w:rsid w:val="00B837CA"/>
    <w:rsid w:val="00B83935"/>
    <w:rsid w:val="00B839D4"/>
    <w:rsid w:val="00B83B2B"/>
    <w:rsid w:val="00B83C8E"/>
    <w:rsid w:val="00B84007"/>
    <w:rsid w:val="00B8400B"/>
    <w:rsid w:val="00B840BF"/>
    <w:rsid w:val="00B8451C"/>
    <w:rsid w:val="00B8458F"/>
    <w:rsid w:val="00B847DA"/>
    <w:rsid w:val="00B847DF"/>
    <w:rsid w:val="00B84812"/>
    <w:rsid w:val="00B8489C"/>
    <w:rsid w:val="00B8489D"/>
    <w:rsid w:val="00B84991"/>
    <w:rsid w:val="00B84ADB"/>
    <w:rsid w:val="00B84B06"/>
    <w:rsid w:val="00B84CBA"/>
    <w:rsid w:val="00B84CC9"/>
    <w:rsid w:val="00B84D62"/>
    <w:rsid w:val="00B84E7A"/>
    <w:rsid w:val="00B84FA3"/>
    <w:rsid w:val="00B85052"/>
    <w:rsid w:val="00B85101"/>
    <w:rsid w:val="00B85144"/>
    <w:rsid w:val="00B8514A"/>
    <w:rsid w:val="00B851F1"/>
    <w:rsid w:val="00B8528B"/>
    <w:rsid w:val="00B855A5"/>
    <w:rsid w:val="00B855A9"/>
    <w:rsid w:val="00B855B6"/>
    <w:rsid w:val="00B8599B"/>
    <w:rsid w:val="00B85AE6"/>
    <w:rsid w:val="00B85AED"/>
    <w:rsid w:val="00B85B27"/>
    <w:rsid w:val="00B85BAF"/>
    <w:rsid w:val="00B85C0E"/>
    <w:rsid w:val="00B85CAB"/>
    <w:rsid w:val="00B85CC0"/>
    <w:rsid w:val="00B85CF1"/>
    <w:rsid w:val="00B85D7B"/>
    <w:rsid w:val="00B85DB9"/>
    <w:rsid w:val="00B85DD7"/>
    <w:rsid w:val="00B85E94"/>
    <w:rsid w:val="00B85EB6"/>
    <w:rsid w:val="00B85EEC"/>
    <w:rsid w:val="00B85F40"/>
    <w:rsid w:val="00B860CE"/>
    <w:rsid w:val="00B86175"/>
    <w:rsid w:val="00B861AC"/>
    <w:rsid w:val="00B86271"/>
    <w:rsid w:val="00B862A1"/>
    <w:rsid w:val="00B86399"/>
    <w:rsid w:val="00B864BE"/>
    <w:rsid w:val="00B864F4"/>
    <w:rsid w:val="00B865C0"/>
    <w:rsid w:val="00B86611"/>
    <w:rsid w:val="00B86847"/>
    <w:rsid w:val="00B8684A"/>
    <w:rsid w:val="00B868F2"/>
    <w:rsid w:val="00B869D8"/>
    <w:rsid w:val="00B86C4D"/>
    <w:rsid w:val="00B86C95"/>
    <w:rsid w:val="00B86DB3"/>
    <w:rsid w:val="00B86E32"/>
    <w:rsid w:val="00B86F59"/>
    <w:rsid w:val="00B86FCB"/>
    <w:rsid w:val="00B87292"/>
    <w:rsid w:val="00B873D3"/>
    <w:rsid w:val="00B87605"/>
    <w:rsid w:val="00B8763E"/>
    <w:rsid w:val="00B877D1"/>
    <w:rsid w:val="00B8784A"/>
    <w:rsid w:val="00B87993"/>
    <w:rsid w:val="00B87EBA"/>
    <w:rsid w:val="00B87EBC"/>
    <w:rsid w:val="00B87F3F"/>
    <w:rsid w:val="00B87F84"/>
    <w:rsid w:val="00B87FCF"/>
    <w:rsid w:val="00B9014C"/>
    <w:rsid w:val="00B90173"/>
    <w:rsid w:val="00B9088B"/>
    <w:rsid w:val="00B90906"/>
    <w:rsid w:val="00B90ADC"/>
    <w:rsid w:val="00B90BDF"/>
    <w:rsid w:val="00B90CEB"/>
    <w:rsid w:val="00B90D4C"/>
    <w:rsid w:val="00B91035"/>
    <w:rsid w:val="00B910EE"/>
    <w:rsid w:val="00B9113B"/>
    <w:rsid w:val="00B9117B"/>
    <w:rsid w:val="00B91205"/>
    <w:rsid w:val="00B91289"/>
    <w:rsid w:val="00B91419"/>
    <w:rsid w:val="00B91479"/>
    <w:rsid w:val="00B9152B"/>
    <w:rsid w:val="00B915B0"/>
    <w:rsid w:val="00B9189A"/>
    <w:rsid w:val="00B9193F"/>
    <w:rsid w:val="00B91A63"/>
    <w:rsid w:val="00B91AC8"/>
    <w:rsid w:val="00B91D49"/>
    <w:rsid w:val="00B91E41"/>
    <w:rsid w:val="00B9204A"/>
    <w:rsid w:val="00B9208B"/>
    <w:rsid w:val="00B92130"/>
    <w:rsid w:val="00B92303"/>
    <w:rsid w:val="00B92343"/>
    <w:rsid w:val="00B92559"/>
    <w:rsid w:val="00B927A1"/>
    <w:rsid w:val="00B9286A"/>
    <w:rsid w:val="00B929BD"/>
    <w:rsid w:val="00B929C8"/>
    <w:rsid w:val="00B92B97"/>
    <w:rsid w:val="00B92BA0"/>
    <w:rsid w:val="00B92C1A"/>
    <w:rsid w:val="00B92E6D"/>
    <w:rsid w:val="00B92F59"/>
    <w:rsid w:val="00B92FA9"/>
    <w:rsid w:val="00B9301D"/>
    <w:rsid w:val="00B9328D"/>
    <w:rsid w:val="00B933DD"/>
    <w:rsid w:val="00B936CC"/>
    <w:rsid w:val="00B9375D"/>
    <w:rsid w:val="00B937AC"/>
    <w:rsid w:val="00B938EC"/>
    <w:rsid w:val="00B9394D"/>
    <w:rsid w:val="00B93961"/>
    <w:rsid w:val="00B93A91"/>
    <w:rsid w:val="00B93AFD"/>
    <w:rsid w:val="00B93C19"/>
    <w:rsid w:val="00B93E3A"/>
    <w:rsid w:val="00B94068"/>
    <w:rsid w:val="00B9438C"/>
    <w:rsid w:val="00B943C4"/>
    <w:rsid w:val="00B94408"/>
    <w:rsid w:val="00B944E0"/>
    <w:rsid w:val="00B9454C"/>
    <w:rsid w:val="00B9485F"/>
    <w:rsid w:val="00B94AF0"/>
    <w:rsid w:val="00B94CE4"/>
    <w:rsid w:val="00B94D13"/>
    <w:rsid w:val="00B94E0C"/>
    <w:rsid w:val="00B94E32"/>
    <w:rsid w:val="00B95130"/>
    <w:rsid w:val="00B951DB"/>
    <w:rsid w:val="00B95272"/>
    <w:rsid w:val="00B952FC"/>
    <w:rsid w:val="00B95358"/>
    <w:rsid w:val="00B95412"/>
    <w:rsid w:val="00B9574E"/>
    <w:rsid w:val="00B9577A"/>
    <w:rsid w:val="00B95874"/>
    <w:rsid w:val="00B958A3"/>
    <w:rsid w:val="00B95AAE"/>
    <w:rsid w:val="00B95BB9"/>
    <w:rsid w:val="00B95C5D"/>
    <w:rsid w:val="00B95FD2"/>
    <w:rsid w:val="00B95FD8"/>
    <w:rsid w:val="00B95FFE"/>
    <w:rsid w:val="00B961CF"/>
    <w:rsid w:val="00B96500"/>
    <w:rsid w:val="00B9651D"/>
    <w:rsid w:val="00B965A1"/>
    <w:rsid w:val="00B965FC"/>
    <w:rsid w:val="00B96609"/>
    <w:rsid w:val="00B967D5"/>
    <w:rsid w:val="00B968A2"/>
    <w:rsid w:val="00B96978"/>
    <w:rsid w:val="00B96A60"/>
    <w:rsid w:val="00B96A94"/>
    <w:rsid w:val="00B96C8C"/>
    <w:rsid w:val="00B96DEB"/>
    <w:rsid w:val="00B96EA1"/>
    <w:rsid w:val="00B96F18"/>
    <w:rsid w:val="00B96F67"/>
    <w:rsid w:val="00B970BE"/>
    <w:rsid w:val="00B9719D"/>
    <w:rsid w:val="00B971FF"/>
    <w:rsid w:val="00B973CD"/>
    <w:rsid w:val="00B9746B"/>
    <w:rsid w:val="00B97588"/>
    <w:rsid w:val="00B976C8"/>
    <w:rsid w:val="00B978EC"/>
    <w:rsid w:val="00B97ACC"/>
    <w:rsid w:val="00B97BA1"/>
    <w:rsid w:val="00B97CB7"/>
    <w:rsid w:val="00BA013C"/>
    <w:rsid w:val="00BA01C6"/>
    <w:rsid w:val="00BA021B"/>
    <w:rsid w:val="00BA0222"/>
    <w:rsid w:val="00BA02B7"/>
    <w:rsid w:val="00BA03F1"/>
    <w:rsid w:val="00BA0549"/>
    <w:rsid w:val="00BA0672"/>
    <w:rsid w:val="00BA07C3"/>
    <w:rsid w:val="00BA0849"/>
    <w:rsid w:val="00BA084C"/>
    <w:rsid w:val="00BA08CB"/>
    <w:rsid w:val="00BA093D"/>
    <w:rsid w:val="00BA0943"/>
    <w:rsid w:val="00BA094A"/>
    <w:rsid w:val="00BA0A75"/>
    <w:rsid w:val="00BA0C05"/>
    <w:rsid w:val="00BA0C5B"/>
    <w:rsid w:val="00BA1235"/>
    <w:rsid w:val="00BA1305"/>
    <w:rsid w:val="00BA1485"/>
    <w:rsid w:val="00BA149F"/>
    <w:rsid w:val="00BA1592"/>
    <w:rsid w:val="00BA1750"/>
    <w:rsid w:val="00BA1957"/>
    <w:rsid w:val="00BA1961"/>
    <w:rsid w:val="00BA196B"/>
    <w:rsid w:val="00BA1F24"/>
    <w:rsid w:val="00BA1FB6"/>
    <w:rsid w:val="00BA2138"/>
    <w:rsid w:val="00BA217B"/>
    <w:rsid w:val="00BA21C0"/>
    <w:rsid w:val="00BA220C"/>
    <w:rsid w:val="00BA22F6"/>
    <w:rsid w:val="00BA25FF"/>
    <w:rsid w:val="00BA26D2"/>
    <w:rsid w:val="00BA2892"/>
    <w:rsid w:val="00BA2897"/>
    <w:rsid w:val="00BA29EC"/>
    <w:rsid w:val="00BA2B8A"/>
    <w:rsid w:val="00BA2BA8"/>
    <w:rsid w:val="00BA2C3F"/>
    <w:rsid w:val="00BA2C71"/>
    <w:rsid w:val="00BA2FE0"/>
    <w:rsid w:val="00BA3165"/>
    <w:rsid w:val="00BA31FA"/>
    <w:rsid w:val="00BA32C4"/>
    <w:rsid w:val="00BA332E"/>
    <w:rsid w:val="00BA3395"/>
    <w:rsid w:val="00BA3578"/>
    <w:rsid w:val="00BA3589"/>
    <w:rsid w:val="00BA35C1"/>
    <w:rsid w:val="00BA36A9"/>
    <w:rsid w:val="00BA376C"/>
    <w:rsid w:val="00BA3A36"/>
    <w:rsid w:val="00BA3B70"/>
    <w:rsid w:val="00BA3D0D"/>
    <w:rsid w:val="00BA3D62"/>
    <w:rsid w:val="00BA3E63"/>
    <w:rsid w:val="00BA3F7C"/>
    <w:rsid w:val="00BA3FB6"/>
    <w:rsid w:val="00BA41C8"/>
    <w:rsid w:val="00BA43E4"/>
    <w:rsid w:val="00BA47AC"/>
    <w:rsid w:val="00BA4911"/>
    <w:rsid w:val="00BA4984"/>
    <w:rsid w:val="00BA4B19"/>
    <w:rsid w:val="00BA4B58"/>
    <w:rsid w:val="00BA4BEE"/>
    <w:rsid w:val="00BA4C6A"/>
    <w:rsid w:val="00BA4CFD"/>
    <w:rsid w:val="00BA4D17"/>
    <w:rsid w:val="00BA4D3F"/>
    <w:rsid w:val="00BA4E11"/>
    <w:rsid w:val="00BA4E61"/>
    <w:rsid w:val="00BA4E8A"/>
    <w:rsid w:val="00BA4ECD"/>
    <w:rsid w:val="00BA4F67"/>
    <w:rsid w:val="00BA50BB"/>
    <w:rsid w:val="00BA5210"/>
    <w:rsid w:val="00BA55CF"/>
    <w:rsid w:val="00BA5616"/>
    <w:rsid w:val="00BA58FA"/>
    <w:rsid w:val="00BA5C8A"/>
    <w:rsid w:val="00BA5CDB"/>
    <w:rsid w:val="00BA5DF2"/>
    <w:rsid w:val="00BA5EA4"/>
    <w:rsid w:val="00BA6046"/>
    <w:rsid w:val="00BA606D"/>
    <w:rsid w:val="00BA6078"/>
    <w:rsid w:val="00BA610B"/>
    <w:rsid w:val="00BA62C8"/>
    <w:rsid w:val="00BA63F3"/>
    <w:rsid w:val="00BA6440"/>
    <w:rsid w:val="00BA6484"/>
    <w:rsid w:val="00BA64F9"/>
    <w:rsid w:val="00BA6527"/>
    <w:rsid w:val="00BA661A"/>
    <w:rsid w:val="00BA678A"/>
    <w:rsid w:val="00BA6825"/>
    <w:rsid w:val="00BA6889"/>
    <w:rsid w:val="00BA694B"/>
    <w:rsid w:val="00BA69A3"/>
    <w:rsid w:val="00BA6B5D"/>
    <w:rsid w:val="00BA6C5B"/>
    <w:rsid w:val="00BA6CC4"/>
    <w:rsid w:val="00BA7317"/>
    <w:rsid w:val="00BA741D"/>
    <w:rsid w:val="00BA7606"/>
    <w:rsid w:val="00BA7704"/>
    <w:rsid w:val="00BA77F0"/>
    <w:rsid w:val="00BA7888"/>
    <w:rsid w:val="00BA79BB"/>
    <w:rsid w:val="00BA7BEC"/>
    <w:rsid w:val="00BA7D08"/>
    <w:rsid w:val="00BA7EA6"/>
    <w:rsid w:val="00BA7EAB"/>
    <w:rsid w:val="00BB004D"/>
    <w:rsid w:val="00BB0052"/>
    <w:rsid w:val="00BB01BF"/>
    <w:rsid w:val="00BB03E6"/>
    <w:rsid w:val="00BB0527"/>
    <w:rsid w:val="00BB071B"/>
    <w:rsid w:val="00BB0737"/>
    <w:rsid w:val="00BB08DA"/>
    <w:rsid w:val="00BB098C"/>
    <w:rsid w:val="00BB0C11"/>
    <w:rsid w:val="00BB0CBC"/>
    <w:rsid w:val="00BB0D94"/>
    <w:rsid w:val="00BB0D9E"/>
    <w:rsid w:val="00BB0DF1"/>
    <w:rsid w:val="00BB0DFE"/>
    <w:rsid w:val="00BB0F12"/>
    <w:rsid w:val="00BB10A1"/>
    <w:rsid w:val="00BB1101"/>
    <w:rsid w:val="00BB12AC"/>
    <w:rsid w:val="00BB12E9"/>
    <w:rsid w:val="00BB1337"/>
    <w:rsid w:val="00BB166B"/>
    <w:rsid w:val="00BB1A3D"/>
    <w:rsid w:val="00BB1B09"/>
    <w:rsid w:val="00BB1B92"/>
    <w:rsid w:val="00BB1EB2"/>
    <w:rsid w:val="00BB221E"/>
    <w:rsid w:val="00BB2476"/>
    <w:rsid w:val="00BB24DA"/>
    <w:rsid w:val="00BB256D"/>
    <w:rsid w:val="00BB259C"/>
    <w:rsid w:val="00BB266D"/>
    <w:rsid w:val="00BB26A4"/>
    <w:rsid w:val="00BB27D0"/>
    <w:rsid w:val="00BB29AB"/>
    <w:rsid w:val="00BB2BD1"/>
    <w:rsid w:val="00BB2C2A"/>
    <w:rsid w:val="00BB2C9E"/>
    <w:rsid w:val="00BB2EF3"/>
    <w:rsid w:val="00BB2FAD"/>
    <w:rsid w:val="00BB30F4"/>
    <w:rsid w:val="00BB32AB"/>
    <w:rsid w:val="00BB350E"/>
    <w:rsid w:val="00BB352A"/>
    <w:rsid w:val="00BB363E"/>
    <w:rsid w:val="00BB372B"/>
    <w:rsid w:val="00BB37E0"/>
    <w:rsid w:val="00BB382B"/>
    <w:rsid w:val="00BB384E"/>
    <w:rsid w:val="00BB385D"/>
    <w:rsid w:val="00BB3920"/>
    <w:rsid w:val="00BB39FF"/>
    <w:rsid w:val="00BB3A84"/>
    <w:rsid w:val="00BB3B7C"/>
    <w:rsid w:val="00BB3DCD"/>
    <w:rsid w:val="00BB3E07"/>
    <w:rsid w:val="00BB40A0"/>
    <w:rsid w:val="00BB429E"/>
    <w:rsid w:val="00BB43CA"/>
    <w:rsid w:val="00BB4419"/>
    <w:rsid w:val="00BB4489"/>
    <w:rsid w:val="00BB451A"/>
    <w:rsid w:val="00BB4571"/>
    <w:rsid w:val="00BB4631"/>
    <w:rsid w:val="00BB465A"/>
    <w:rsid w:val="00BB46FA"/>
    <w:rsid w:val="00BB498F"/>
    <w:rsid w:val="00BB49AC"/>
    <w:rsid w:val="00BB49E8"/>
    <w:rsid w:val="00BB49F0"/>
    <w:rsid w:val="00BB4CE7"/>
    <w:rsid w:val="00BB4D1E"/>
    <w:rsid w:val="00BB4EDE"/>
    <w:rsid w:val="00BB4EE2"/>
    <w:rsid w:val="00BB4F56"/>
    <w:rsid w:val="00BB50D2"/>
    <w:rsid w:val="00BB5129"/>
    <w:rsid w:val="00BB5213"/>
    <w:rsid w:val="00BB54E9"/>
    <w:rsid w:val="00BB5711"/>
    <w:rsid w:val="00BB583B"/>
    <w:rsid w:val="00BB5872"/>
    <w:rsid w:val="00BB588A"/>
    <w:rsid w:val="00BB58C2"/>
    <w:rsid w:val="00BB5989"/>
    <w:rsid w:val="00BB5B3B"/>
    <w:rsid w:val="00BB5B78"/>
    <w:rsid w:val="00BB5C60"/>
    <w:rsid w:val="00BB5CC7"/>
    <w:rsid w:val="00BB5D6A"/>
    <w:rsid w:val="00BB5D87"/>
    <w:rsid w:val="00BB5ED0"/>
    <w:rsid w:val="00BB5FF9"/>
    <w:rsid w:val="00BB606A"/>
    <w:rsid w:val="00BB625A"/>
    <w:rsid w:val="00BB629F"/>
    <w:rsid w:val="00BB6303"/>
    <w:rsid w:val="00BB63B7"/>
    <w:rsid w:val="00BB646F"/>
    <w:rsid w:val="00BB6488"/>
    <w:rsid w:val="00BB64D6"/>
    <w:rsid w:val="00BB6523"/>
    <w:rsid w:val="00BB6628"/>
    <w:rsid w:val="00BB66B8"/>
    <w:rsid w:val="00BB66D7"/>
    <w:rsid w:val="00BB675B"/>
    <w:rsid w:val="00BB6A59"/>
    <w:rsid w:val="00BB6BA4"/>
    <w:rsid w:val="00BB6C23"/>
    <w:rsid w:val="00BB6CB5"/>
    <w:rsid w:val="00BB6D19"/>
    <w:rsid w:val="00BB6DD6"/>
    <w:rsid w:val="00BB6E4F"/>
    <w:rsid w:val="00BB7120"/>
    <w:rsid w:val="00BB719D"/>
    <w:rsid w:val="00BB74AC"/>
    <w:rsid w:val="00BB750C"/>
    <w:rsid w:val="00BB75DB"/>
    <w:rsid w:val="00BB78A7"/>
    <w:rsid w:val="00BB7976"/>
    <w:rsid w:val="00BB7979"/>
    <w:rsid w:val="00BB7B00"/>
    <w:rsid w:val="00BB7C53"/>
    <w:rsid w:val="00BB7CD5"/>
    <w:rsid w:val="00BB7E88"/>
    <w:rsid w:val="00BB7EA8"/>
    <w:rsid w:val="00BC012A"/>
    <w:rsid w:val="00BC01AA"/>
    <w:rsid w:val="00BC01F1"/>
    <w:rsid w:val="00BC03BD"/>
    <w:rsid w:val="00BC03E9"/>
    <w:rsid w:val="00BC04DA"/>
    <w:rsid w:val="00BC04F0"/>
    <w:rsid w:val="00BC0518"/>
    <w:rsid w:val="00BC05D1"/>
    <w:rsid w:val="00BC0659"/>
    <w:rsid w:val="00BC08AF"/>
    <w:rsid w:val="00BC08D4"/>
    <w:rsid w:val="00BC0A54"/>
    <w:rsid w:val="00BC0AD9"/>
    <w:rsid w:val="00BC0B6F"/>
    <w:rsid w:val="00BC0CF2"/>
    <w:rsid w:val="00BC0D6E"/>
    <w:rsid w:val="00BC125B"/>
    <w:rsid w:val="00BC1364"/>
    <w:rsid w:val="00BC1453"/>
    <w:rsid w:val="00BC1658"/>
    <w:rsid w:val="00BC1832"/>
    <w:rsid w:val="00BC185C"/>
    <w:rsid w:val="00BC18F0"/>
    <w:rsid w:val="00BC1B78"/>
    <w:rsid w:val="00BC1C7C"/>
    <w:rsid w:val="00BC1D27"/>
    <w:rsid w:val="00BC1DAE"/>
    <w:rsid w:val="00BC1E20"/>
    <w:rsid w:val="00BC1E5D"/>
    <w:rsid w:val="00BC1E84"/>
    <w:rsid w:val="00BC1EAA"/>
    <w:rsid w:val="00BC1F00"/>
    <w:rsid w:val="00BC1FE9"/>
    <w:rsid w:val="00BC1FF2"/>
    <w:rsid w:val="00BC1FF6"/>
    <w:rsid w:val="00BC200A"/>
    <w:rsid w:val="00BC20D6"/>
    <w:rsid w:val="00BC20FD"/>
    <w:rsid w:val="00BC2141"/>
    <w:rsid w:val="00BC252A"/>
    <w:rsid w:val="00BC2632"/>
    <w:rsid w:val="00BC271D"/>
    <w:rsid w:val="00BC2847"/>
    <w:rsid w:val="00BC2853"/>
    <w:rsid w:val="00BC28FA"/>
    <w:rsid w:val="00BC29BD"/>
    <w:rsid w:val="00BC29D0"/>
    <w:rsid w:val="00BC2BDD"/>
    <w:rsid w:val="00BC2C76"/>
    <w:rsid w:val="00BC2D14"/>
    <w:rsid w:val="00BC2D5F"/>
    <w:rsid w:val="00BC2DA7"/>
    <w:rsid w:val="00BC2EDD"/>
    <w:rsid w:val="00BC2F07"/>
    <w:rsid w:val="00BC2F25"/>
    <w:rsid w:val="00BC2F93"/>
    <w:rsid w:val="00BC2FF8"/>
    <w:rsid w:val="00BC30FE"/>
    <w:rsid w:val="00BC3215"/>
    <w:rsid w:val="00BC3298"/>
    <w:rsid w:val="00BC3392"/>
    <w:rsid w:val="00BC339D"/>
    <w:rsid w:val="00BC36D1"/>
    <w:rsid w:val="00BC387D"/>
    <w:rsid w:val="00BC388A"/>
    <w:rsid w:val="00BC39AA"/>
    <w:rsid w:val="00BC3BC9"/>
    <w:rsid w:val="00BC3C00"/>
    <w:rsid w:val="00BC3C86"/>
    <w:rsid w:val="00BC3DE7"/>
    <w:rsid w:val="00BC3FB3"/>
    <w:rsid w:val="00BC4048"/>
    <w:rsid w:val="00BC40CC"/>
    <w:rsid w:val="00BC41B9"/>
    <w:rsid w:val="00BC421E"/>
    <w:rsid w:val="00BC4242"/>
    <w:rsid w:val="00BC4243"/>
    <w:rsid w:val="00BC453B"/>
    <w:rsid w:val="00BC4672"/>
    <w:rsid w:val="00BC467D"/>
    <w:rsid w:val="00BC4684"/>
    <w:rsid w:val="00BC4860"/>
    <w:rsid w:val="00BC49BE"/>
    <w:rsid w:val="00BC4A33"/>
    <w:rsid w:val="00BC4AFC"/>
    <w:rsid w:val="00BC4B5D"/>
    <w:rsid w:val="00BC4B5E"/>
    <w:rsid w:val="00BC4B7C"/>
    <w:rsid w:val="00BC4BB2"/>
    <w:rsid w:val="00BC4BEE"/>
    <w:rsid w:val="00BC4E05"/>
    <w:rsid w:val="00BC4ECD"/>
    <w:rsid w:val="00BC4F00"/>
    <w:rsid w:val="00BC50E5"/>
    <w:rsid w:val="00BC5116"/>
    <w:rsid w:val="00BC511C"/>
    <w:rsid w:val="00BC5135"/>
    <w:rsid w:val="00BC533B"/>
    <w:rsid w:val="00BC544A"/>
    <w:rsid w:val="00BC5560"/>
    <w:rsid w:val="00BC5591"/>
    <w:rsid w:val="00BC560E"/>
    <w:rsid w:val="00BC5653"/>
    <w:rsid w:val="00BC5733"/>
    <w:rsid w:val="00BC57A1"/>
    <w:rsid w:val="00BC57D6"/>
    <w:rsid w:val="00BC58CA"/>
    <w:rsid w:val="00BC59CF"/>
    <w:rsid w:val="00BC5B05"/>
    <w:rsid w:val="00BC5B3E"/>
    <w:rsid w:val="00BC5DF5"/>
    <w:rsid w:val="00BC5E36"/>
    <w:rsid w:val="00BC6686"/>
    <w:rsid w:val="00BC674B"/>
    <w:rsid w:val="00BC677F"/>
    <w:rsid w:val="00BC6858"/>
    <w:rsid w:val="00BC69A8"/>
    <w:rsid w:val="00BC6A76"/>
    <w:rsid w:val="00BC6DD2"/>
    <w:rsid w:val="00BC6E1C"/>
    <w:rsid w:val="00BC70B1"/>
    <w:rsid w:val="00BC70FF"/>
    <w:rsid w:val="00BC71B7"/>
    <w:rsid w:val="00BC739B"/>
    <w:rsid w:val="00BC7423"/>
    <w:rsid w:val="00BC762F"/>
    <w:rsid w:val="00BC778E"/>
    <w:rsid w:val="00BC77F5"/>
    <w:rsid w:val="00BC7810"/>
    <w:rsid w:val="00BC791A"/>
    <w:rsid w:val="00BC7AB9"/>
    <w:rsid w:val="00BC7C21"/>
    <w:rsid w:val="00BC7F65"/>
    <w:rsid w:val="00BD00CD"/>
    <w:rsid w:val="00BD0209"/>
    <w:rsid w:val="00BD022B"/>
    <w:rsid w:val="00BD04D7"/>
    <w:rsid w:val="00BD057E"/>
    <w:rsid w:val="00BD067F"/>
    <w:rsid w:val="00BD06C1"/>
    <w:rsid w:val="00BD0812"/>
    <w:rsid w:val="00BD0AB9"/>
    <w:rsid w:val="00BD0C81"/>
    <w:rsid w:val="00BD0DDF"/>
    <w:rsid w:val="00BD0F57"/>
    <w:rsid w:val="00BD1154"/>
    <w:rsid w:val="00BD1156"/>
    <w:rsid w:val="00BD118C"/>
    <w:rsid w:val="00BD11D6"/>
    <w:rsid w:val="00BD1204"/>
    <w:rsid w:val="00BD1224"/>
    <w:rsid w:val="00BD1267"/>
    <w:rsid w:val="00BD12A7"/>
    <w:rsid w:val="00BD1375"/>
    <w:rsid w:val="00BD137B"/>
    <w:rsid w:val="00BD13F0"/>
    <w:rsid w:val="00BD15B6"/>
    <w:rsid w:val="00BD1715"/>
    <w:rsid w:val="00BD1780"/>
    <w:rsid w:val="00BD17C2"/>
    <w:rsid w:val="00BD17CF"/>
    <w:rsid w:val="00BD1978"/>
    <w:rsid w:val="00BD1A41"/>
    <w:rsid w:val="00BD1AFB"/>
    <w:rsid w:val="00BD1DD0"/>
    <w:rsid w:val="00BD1E4C"/>
    <w:rsid w:val="00BD1F03"/>
    <w:rsid w:val="00BD205B"/>
    <w:rsid w:val="00BD2178"/>
    <w:rsid w:val="00BD2567"/>
    <w:rsid w:val="00BD277A"/>
    <w:rsid w:val="00BD285B"/>
    <w:rsid w:val="00BD28F4"/>
    <w:rsid w:val="00BD2945"/>
    <w:rsid w:val="00BD2A26"/>
    <w:rsid w:val="00BD2B19"/>
    <w:rsid w:val="00BD2B1C"/>
    <w:rsid w:val="00BD2B4B"/>
    <w:rsid w:val="00BD2B56"/>
    <w:rsid w:val="00BD2BA7"/>
    <w:rsid w:val="00BD2BAB"/>
    <w:rsid w:val="00BD2C38"/>
    <w:rsid w:val="00BD2E1D"/>
    <w:rsid w:val="00BD2EE8"/>
    <w:rsid w:val="00BD2FBB"/>
    <w:rsid w:val="00BD2FFF"/>
    <w:rsid w:val="00BD30C6"/>
    <w:rsid w:val="00BD30D5"/>
    <w:rsid w:val="00BD31B7"/>
    <w:rsid w:val="00BD34A4"/>
    <w:rsid w:val="00BD35DC"/>
    <w:rsid w:val="00BD36C6"/>
    <w:rsid w:val="00BD386A"/>
    <w:rsid w:val="00BD38C9"/>
    <w:rsid w:val="00BD38E5"/>
    <w:rsid w:val="00BD38E8"/>
    <w:rsid w:val="00BD3A78"/>
    <w:rsid w:val="00BD3C20"/>
    <w:rsid w:val="00BD3D98"/>
    <w:rsid w:val="00BD3E9F"/>
    <w:rsid w:val="00BD3F0C"/>
    <w:rsid w:val="00BD3F10"/>
    <w:rsid w:val="00BD40A6"/>
    <w:rsid w:val="00BD4119"/>
    <w:rsid w:val="00BD427F"/>
    <w:rsid w:val="00BD43C5"/>
    <w:rsid w:val="00BD4581"/>
    <w:rsid w:val="00BD47B6"/>
    <w:rsid w:val="00BD497B"/>
    <w:rsid w:val="00BD49C3"/>
    <w:rsid w:val="00BD49E7"/>
    <w:rsid w:val="00BD4B0A"/>
    <w:rsid w:val="00BD4BD7"/>
    <w:rsid w:val="00BD4BE9"/>
    <w:rsid w:val="00BD4CEC"/>
    <w:rsid w:val="00BD4D68"/>
    <w:rsid w:val="00BD4DD8"/>
    <w:rsid w:val="00BD4E29"/>
    <w:rsid w:val="00BD4FE8"/>
    <w:rsid w:val="00BD4FFB"/>
    <w:rsid w:val="00BD504B"/>
    <w:rsid w:val="00BD5258"/>
    <w:rsid w:val="00BD5469"/>
    <w:rsid w:val="00BD54D0"/>
    <w:rsid w:val="00BD559D"/>
    <w:rsid w:val="00BD56A8"/>
    <w:rsid w:val="00BD5744"/>
    <w:rsid w:val="00BD588F"/>
    <w:rsid w:val="00BD5A7F"/>
    <w:rsid w:val="00BD5ACA"/>
    <w:rsid w:val="00BD5C1E"/>
    <w:rsid w:val="00BD5C86"/>
    <w:rsid w:val="00BD5C89"/>
    <w:rsid w:val="00BD5DAF"/>
    <w:rsid w:val="00BD5EBD"/>
    <w:rsid w:val="00BD6120"/>
    <w:rsid w:val="00BD6353"/>
    <w:rsid w:val="00BD63B6"/>
    <w:rsid w:val="00BD64C1"/>
    <w:rsid w:val="00BD652D"/>
    <w:rsid w:val="00BD65EA"/>
    <w:rsid w:val="00BD6849"/>
    <w:rsid w:val="00BD6B0E"/>
    <w:rsid w:val="00BD6C8E"/>
    <w:rsid w:val="00BD6CA3"/>
    <w:rsid w:val="00BD6CD5"/>
    <w:rsid w:val="00BD6EC8"/>
    <w:rsid w:val="00BD6FD6"/>
    <w:rsid w:val="00BD71BB"/>
    <w:rsid w:val="00BD740A"/>
    <w:rsid w:val="00BD754B"/>
    <w:rsid w:val="00BD758C"/>
    <w:rsid w:val="00BD774D"/>
    <w:rsid w:val="00BD7818"/>
    <w:rsid w:val="00BD7934"/>
    <w:rsid w:val="00BD7988"/>
    <w:rsid w:val="00BD7A5F"/>
    <w:rsid w:val="00BD7B7D"/>
    <w:rsid w:val="00BD7CD9"/>
    <w:rsid w:val="00BD7EF7"/>
    <w:rsid w:val="00BE0014"/>
    <w:rsid w:val="00BE01CE"/>
    <w:rsid w:val="00BE0218"/>
    <w:rsid w:val="00BE021B"/>
    <w:rsid w:val="00BE0253"/>
    <w:rsid w:val="00BE02B5"/>
    <w:rsid w:val="00BE042F"/>
    <w:rsid w:val="00BE04CD"/>
    <w:rsid w:val="00BE08B9"/>
    <w:rsid w:val="00BE0A94"/>
    <w:rsid w:val="00BE0AE7"/>
    <w:rsid w:val="00BE0B96"/>
    <w:rsid w:val="00BE0BC7"/>
    <w:rsid w:val="00BE0C8B"/>
    <w:rsid w:val="00BE1074"/>
    <w:rsid w:val="00BE1127"/>
    <w:rsid w:val="00BE117E"/>
    <w:rsid w:val="00BE145A"/>
    <w:rsid w:val="00BE1545"/>
    <w:rsid w:val="00BE15EE"/>
    <w:rsid w:val="00BE1607"/>
    <w:rsid w:val="00BE1705"/>
    <w:rsid w:val="00BE1732"/>
    <w:rsid w:val="00BE1752"/>
    <w:rsid w:val="00BE17F0"/>
    <w:rsid w:val="00BE18A0"/>
    <w:rsid w:val="00BE19FA"/>
    <w:rsid w:val="00BE1AAD"/>
    <w:rsid w:val="00BE1AEF"/>
    <w:rsid w:val="00BE1CA1"/>
    <w:rsid w:val="00BE1D25"/>
    <w:rsid w:val="00BE1F7C"/>
    <w:rsid w:val="00BE204A"/>
    <w:rsid w:val="00BE21B3"/>
    <w:rsid w:val="00BE22A6"/>
    <w:rsid w:val="00BE2325"/>
    <w:rsid w:val="00BE2339"/>
    <w:rsid w:val="00BE2341"/>
    <w:rsid w:val="00BE241E"/>
    <w:rsid w:val="00BE2475"/>
    <w:rsid w:val="00BE24C3"/>
    <w:rsid w:val="00BE2561"/>
    <w:rsid w:val="00BE2618"/>
    <w:rsid w:val="00BE2648"/>
    <w:rsid w:val="00BE26C5"/>
    <w:rsid w:val="00BE271E"/>
    <w:rsid w:val="00BE2791"/>
    <w:rsid w:val="00BE27BD"/>
    <w:rsid w:val="00BE282C"/>
    <w:rsid w:val="00BE2A1C"/>
    <w:rsid w:val="00BE2CEC"/>
    <w:rsid w:val="00BE2DFB"/>
    <w:rsid w:val="00BE2EA2"/>
    <w:rsid w:val="00BE2EF9"/>
    <w:rsid w:val="00BE2FE3"/>
    <w:rsid w:val="00BE30FB"/>
    <w:rsid w:val="00BE31AA"/>
    <w:rsid w:val="00BE31E7"/>
    <w:rsid w:val="00BE32B6"/>
    <w:rsid w:val="00BE32D7"/>
    <w:rsid w:val="00BE32E8"/>
    <w:rsid w:val="00BE3448"/>
    <w:rsid w:val="00BE3484"/>
    <w:rsid w:val="00BE35CB"/>
    <w:rsid w:val="00BE36C2"/>
    <w:rsid w:val="00BE370F"/>
    <w:rsid w:val="00BE3754"/>
    <w:rsid w:val="00BE3767"/>
    <w:rsid w:val="00BE3786"/>
    <w:rsid w:val="00BE3877"/>
    <w:rsid w:val="00BE393E"/>
    <w:rsid w:val="00BE395C"/>
    <w:rsid w:val="00BE39A0"/>
    <w:rsid w:val="00BE3A4C"/>
    <w:rsid w:val="00BE3C2F"/>
    <w:rsid w:val="00BE3C45"/>
    <w:rsid w:val="00BE3DB0"/>
    <w:rsid w:val="00BE3DC3"/>
    <w:rsid w:val="00BE3F65"/>
    <w:rsid w:val="00BE3FB1"/>
    <w:rsid w:val="00BE417F"/>
    <w:rsid w:val="00BE41C9"/>
    <w:rsid w:val="00BE41EC"/>
    <w:rsid w:val="00BE4315"/>
    <w:rsid w:val="00BE4322"/>
    <w:rsid w:val="00BE457C"/>
    <w:rsid w:val="00BE46E1"/>
    <w:rsid w:val="00BE4703"/>
    <w:rsid w:val="00BE4863"/>
    <w:rsid w:val="00BE48A7"/>
    <w:rsid w:val="00BE48DA"/>
    <w:rsid w:val="00BE4A51"/>
    <w:rsid w:val="00BE4C1D"/>
    <w:rsid w:val="00BE4C84"/>
    <w:rsid w:val="00BE4CDC"/>
    <w:rsid w:val="00BE4D75"/>
    <w:rsid w:val="00BE4D80"/>
    <w:rsid w:val="00BE4E47"/>
    <w:rsid w:val="00BE4ED2"/>
    <w:rsid w:val="00BE4F1D"/>
    <w:rsid w:val="00BE50BE"/>
    <w:rsid w:val="00BE537B"/>
    <w:rsid w:val="00BE55BD"/>
    <w:rsid w:val="00BE55FF"/>
    <w:rsid w:val="00BE5727"/>
    <w:rsid w:val="00BE581A"/>
    <w:rsid w:val="00BE5970"/>
    <w:rsid w:val="00BE5A46"/>
    <w:rsid w:val="00BE5ADD"/>
    <w:rsid w:val="00BE5B26"/>
    <w:rsid w:val="00BE5BDA"/>
    <w:rsid w:val="00BE5C44"/>
    <w:rsid w:val="00BE5CC4"/>
    <w:rsid w:val="00BE5D33"/>
    <w:rsid w:val="00BE5D7B"/>
    <w:rsid w:val="00BE5DCB"/>
    <w:rsid w:val="00BE5FC5"/>
    <w:rsid w:val="00BE60B4"/>
    <w:rsid w:val="00BE60C8"/>
    <w:rsid w:val="00BE6159"/>
    <w:rsid w:val="00BE6164"/>
    <w:rsid w:val="00BE6194"/>
    <w:rsid w:val="00BE6260"/>
    <w:rsid w:val="00BE6284"/>
    <w:rsid w:val="00BE640E"/>
    <w:rsid w:val="00BE6678"/>
    <w:rsid w:val="00BE6703"/>
    <w:rsid w:val="00BE6956"/>
    <w:rsid w:val="00BE6A90"/>
    <w:rsid w:val="00BE6BBD"/>
    <w:rsid w:val="00BE6BE3"/>
    <w:rsid w:val="00BE6C14"/>
    <w:rsid w:val="00BE6E27"/>
    <w:rsid w:val="00BE7038"/>
    <w:rsid w:val="00BE7102"/>
    <w:rsid w:val="00BE71A4"/>
    <w:rsid w:val="00BE7277"/>
    <w:rsid w:val="00BE72BA"/>
    <w:rsid w:val="00BE7309"/>
    <w:rsid w:val="00BE734C"/>
    <w:rsid w:val="00BE7374"/>
    <w:rsid w:val="00BE7377"/>
    <w:rsid w:val="00BE758D"/>
    <w:rsid w:val="00BE76E3"/>
    <w:rsid w:val="00BE77BF"/>
    <w:rsid w:val="00BE7967"/>
    <w:rsid w:val="00BE7A84"/>
    <w:rsid w:val="00BE7AC6"/>
    <w:rsid w:val="00BE7BB5"/>
    <w:rsid w:val="00BE7C1B"/>
    <w:rsid w:val="00BE7CCC"/>
    <w:rsid w:val="00BE7D1A"/>
    <w:rsid w:val="00BE7D7D"/>
    <w:rsid w:val="00BE7F1A"/>
    <w:rsid w:val="00BE7F31"/>
    <w:rsid w:val="00BEA5C7"/>
    <w:rsid w:val="00BF003C"/>
    <w:rsid w:val="00BF0180"/>
    <w:rsid w:val="00BF0187"/>
    <w:rsid w:val="00BF02DE"/>
    <w:rsid w:val="00BF035A"/>
    <w:rsid w:val="00BF06BD"/>
    <w:rsid w:val="00BF0815"/>
    <w:rsid w:val="00BF08F7"/>
    <w:rsid w:val="00BF091E"/>
    <w:rsid w:val="00BF0AA6"/>
    <w:rsid w:val="00BF0AAD"/>
    <w:rsid w:val="00BF0AD1"/>
    <w:rsid w:val="00BF0B92"/>
    <w:rsid w:val="00BF0CA5"/>
    <w:rsid w:val="00BF0CAE"/>
    <w:rsid w:val="00BF10A8"/>
    <w:rsid w:val="00BF10F1"/>
    <w:rsid w:val="00BF11EC"/>
    <w:rsid w:val="00BF1311"/>
    <w:rsid w:val="00BF1447"/>
    <w:rsid w:val="00BF14B1"/>
    <w:rsid w:val="00BF17CD"/>
    <w:rsid w:val="00BF1A06"/>
    <w:rsid w:val="00BF1AF3"/>
    <w:rsid w:val="00BF1CC4"/>
    <w:rsid w:val="00BF1FB5"/>
    <w:rsid w:val="00BF2426"/>
    <w:rsid w:val="00BF24C8"/>
    <w:rsid w:val="00BF26CE"/>
    <w:rsid w:val="00BF27B5"/>
    <w:rsid w:val="00BF28E9"/>
    <w:rsid w:val="00BF2961"/>
    <w:rsid w:val="00BF2D30"/>
    <w:rsid w:val="00BF2D8E"/>
    <w:rsid w:val="00BF2EC4"/>
    <w:rsid w:val="00BF30C3"/>
    <w:rsid w:val="00BF325A"/>
    <w:rsid w:val="00BF3332"/>
    <w:rsid w:val="00BF357A"/>
    <w:rsid w:val="00BF3797"/>
    <w:rsid w:val="00BF386F"/>
    <w:rsid w:val="00BF3DF2"/>
    <w:rsid w:val="00BF3E1B"/>
    <w:rsid w:val="00BF3E24"/>
    <w:rsid w:val="00BF3F60"/>
    <w:rsid w:val="00BF4213"/>
    <w:rsid w:val="00BF45FF"/>
    <w:rsid w:val="00BF4669"/>
    <w:rsid w:val="00BF469F"/>
    <w:rsid w:val="00BF46BD"/>
    <w:rsid w:val="00BF477B"/>
    <w:rsid w:val="00BF47FF"/>
    <w:rsid w:val="00BF4B11"/>
    <w:rsid w:val="00BF4DE9"/>
    <w:rsid w:val="00BF4F79"/>
    <w:rsid w:val="00BF4F9C"/>
    <w:rsid w:val="00BF5019"/>
    <w:rsid w:val="00BF5065"/>
    <w:rsid w:val="00BF50ED"/>
    <w:rsid w:val="00BF5288"/>
    <w:rsid w:val="00BF5487"/>
    <w:rsid w:val="00BF54F5"/>
    <w:rsid w:val="00BF5595"/>
    <w:rsid w:val="00BF5671"/>
    <w:rsid w:val="00BF579F"/>
    <w:rsid w:val="00BF57A3"/>
    <w:rsid w:val="00BF57C7"/>
    <w:rsid w:val="00BF587F"/>
    <w:rsid w:val="00BF5A23"/>
    <w:rsid w:val="00BF5ABB"/>
    <w:rsid w:val="00BF5B96"/>
    <w:rsid w:val="00BF5C10"/>
    <w:rsid w:val="00BF5C71"/>
    <w:rsid w:val="00BF5E2C"/>
    <w:rsid w:val="00BF5E83"/>
    <w:rsid w:val="00BF5EBD"/>
    <w:rsid w:val="00BF5FF1"/>
    <w:rsid w:val="00BF6042"/>
    <w:rsid w:val="00BF63F7"/>
    <w:rsid w:val="00BF65A5"/>
    <w:rsid w:val="00BF65CF"/>
    <w:rsid w:val="00BF65E0"/>
    <w:rsid w:val="00BF65F9"/>
    <w:rsid w:val="00BF67B1"/>
    <w:rsid w:val="00BF68BA"/>
    <w:rsid w:val="00BF68CE"/>
    <w:rsid w:val="00BF6C70"/>
    <w:rsid w:val="00BF6E24"/>
    <w:rsid w:val="00BF6E8E"/>
    <w:rsid w:val="00BF6EA1"/>
    <w:rsid w:val="00BF6FE6"/>
    <w:rsid w:val="00BF71B4"/>
    <w:rsid w:val="00BF7354"/>
    <w:rsid w:val="00BF7376"/>
    <w:rsid w:val="00BF73F1"/>
    <w:rsid w:val="00BF741E"/>
    <w:rsid w:val="00BF75BC"/>
    <w:rsid w:val="00BF76CD"/>
    <w:rsid w:val="00BF78E3"/>
    <w:rsid w:val="00BF79BF"/>
    <w:rsid w:val="00BF7C66"/>
    <w:rsid w:val="00BF7D6F"/>
    <w:rsid w:val="00BF7E7F"/>
    <w:rsid w:val="00BF7F99"/>
    <w:rsid w:val="00C000BB"/>
    <w:rsid w:val="00C0015C"/>
    <w:rsid w:val="00C005ED"/>
    <w:rsid w:val="00C00678"/>
    <w:rsid w:val="00C006A5"/>
    <w:rsid w:val="00C007E9"/>
    <w:rsid w:val="00C00A68"/>
    <w:rsid w:val="00C00AA5"/>
    <w:rsid w:val="00C00AB7"/>
    <w:rsid w:val="00C00C1F"/>
    <w:rsid w:val="00C01255"/>
    <w:rsid w:val="00C0133D"/>
    <w:rsid w:val="00C01351"/>
    <w:rsid w:val="00C01377"/>
    <w:rsid w:val="00C0140F"/>
    <w:rsid w:val="00C01446"/>
    <w:rsid w:val="00C015BA"/>
    <w:rsid w:val="00C015F2"/>
    <w:rsid w:val="00C016E1"/>
    <w:rsid w:val="00C016ED"/>
    <w:rsid w:val="00C017E8"/>
    <w:rsid w:val="00C01862"/>
    <w:rsid w:val="00C01985"/>
    <w:rsid w:val="00C01A6C"/>
    <w:rsid w:val="00C01B3C"/>
    <w:rsid w:val="00C01BCC"/>
    <w:rsid w:val="00C01C07"/>
    <w:rsid w:val="00C01D67"/>
    <w:rsid w:val="00C01E1D"/>
    <w:rsid w:val="00C01F82"/>
    <w:rsid w:val="00C021FA"/>
    <w:rsid w:val="00C02296"/>
    <w:rsid w:val="00C022D0"/>
    <w:rsid w:val="00C02314"/>
    <w:rsid w:val="00C023AC"/>
    <w:rsid w:val="00C02547"/>
    <w:rsid w:val="00C0258A"/>
    <w:rsid w:val="00C025EE"/>
    <w:rsid w:val="00C02763"/>
    <w:rsid w:val="00C02B23"/>
    <w:rsid w:val="00C02E35"/>
    <w:rsid w:val="00C02E45"/>
    <w:rsid w:val="00C02FE2"/>
    <w:rsid w:val="00C0307D"/>
    <w:rsid w:val="00C0322C"/>
    <w:rsid w:val="00C0325A"/>
    <w:rsid w:val="00C03277"/>
    <w:rsid w:val="00C03538"/>
    <w:rsid w:val="00C036B3"/>
    <w:rsid w:val="00C03894"/>
    <w:rsid w:val="00C038DC"/>
    <w:rsid w:val="00C03975"/>
    <w:rsid w:val="00C039DF"/>
    <w:rsid w:val="00C039FF"/>
    <w:rsid w:val="00C03B4F"/>
    <w:rsid w:val="00C03E4A"/>
    <w:rsid w:val="00C03F61"/>
    <w:rsid w:val="00C03F68"/>
    <w:rsid w:val="00C03FA0"/>
    <w:rsid w:val="00C04079"/>
    <w:rsid w:val="00C04101"/>
    <w:rsid w:val="00C04163"/>
    <w:rsid w:val="00C04217"/>
    <w:rsid w:val="00C043BA"/>
    <w:rsid w:val="00C043DD"/>
    <w:rsid w:val="00C04416"/>
    <w:rsid w:val="00C04559"/>
    <w:rsid w:val="00C04569"/>
    <w:rsid w:val="00C0457F"/>
    <w:rsid w:val="00C046EE"/>
    <w:rsid w:val="00C04944"/>
    <w:rsid w:val="00C04A76"/>
    <w:rsid w:val="00C04B32"/>
    <w:rsid w:val="00C04CFE"/>
    <w:rsid w:val="00C04D37"/>
    <w:rsid w:val="00C04D45"/>
    <w:rsid w:val="00C04D7E"/>
    <w:rsid w:val="00C04DF8"/>
    <w:rsid w:val="00C04E05"/>
    <w:rsid w:val="00C04E97"/>
    <w:rsid w:val="00C051B1"/>
    <w:rsid w:val="00C05217"/>
    <w:rsid w:val="00C0521C"/>
    <w:rsid w:val="00C054BE"/>
    <w:rsid w:val="00C05594"/>
    <w:rsid w:val="00C05632"/>
    <w:rsid w:val="00C056CF"/>
    <w:rsid w:val="00C05783"/>
    <w:rsid w:val="00C05784"/>
    <w:rsid w:val="00C057BD"/>
    <w:rsid w:val="00C05901"/>
    <w:rsid w:val="00C0593E"/>
    <w:rsid w:val="00C05BBC"/>
    <w:rsid w:val="00C05C88"/>
    <w:rsid w:val="00C05DFB"/>
    <w:rsid w:val="00C05E85"/>
    <w:rsid w:val="00C05EBC"/>
    <w:rsid w:val="00C05FE1"/>
    <w:rsid w:val="00C060A6"/>
    <w:rsid w:val="00C060AB"/>
    <w:rsid w:val="00C06177"/>
    <w:rsid w:val="00C06290"/>
    <w:rsid w:val="00C062AE"/>
    <w:rsid w:val="00C0665A"/>
    <w:rsid w:val="00C067FD"/>
    <w:rsid w:val="00C06809"/>
    <w:rsid w:val="00C068B1"/>
    <w:rsid w:val="00C068B3"/>
    <w:rsid w:val="00C068C6"/>
    <w:rsid w:val="00C069BF"/>
    <w:rsid w:val="00C06AE7"/>
    <w:rsid w:val="00C06B9A"/>
    <w:rsid w:val="00C06D0F"/>
    <w:rsid w:val="00C06DDA"/>
    <w:rsid w:val="00C06F5B"/>
    <w:rsid w:val="00C07045"/>
    <w:rsid w:val="00C0731C"/>
    <w:rsid w:val="00C0764F"/>
    <w:rsid w:val="00C076B0"/>
    <w:rsid w:val="00C076F6"/>
    <w:rsid w:val="00C0789F"/>
    <w:rsid w:val="00C07956"/>
    <w:rsid w:val="00C0795A"/>
    <w:rsid w:val="00C07BE5"/>
    <w:rsid w:val="00C07C3E"/>
    <w:rsid w:val="00C07FB8"/>
    <w:rsid w:val="00C07FF6"/>
    <w:rsid w:val="00C10056"/>
    <w:rsid w:val="00C10077"/>
    <w:rsid w:val="00C101E8"/>
    <w:rsid w:val="00C1026E"/>
    <w:rsid w:val="00C102C7"/>
    <w:rsid w:val="00C1045F"/>
    <w:rsid w:val="00C106F3"/>
    <w:rsid w:val="00C10844"/>
    <w:rsid w:val="00C10B94"/>
    <w:rsid w:val="00C10C6D"/>
    <w:rsid w:val="00C10C80"/>
    <w:rsid w:val="00C10CA3"/>
    <w:rsid w:val="00C10D06"/>
    <w:rsid w:val="00C10D89"/>
    <w:rsid w:val="00C10E86"/>
    <w:rsid w:val="00C10F11"/>
    <w:rsid w:val="00C110FF"/>
    <w:rsid w:val="00C112CA"/>
    <w:rsid w:val="00C11306"/>
    <w:rsid w:val="00C11421"/>
    <w:rsid w:val="00C11520"/>
    <w:rsid w:val="00C115D2"/>
    <w:rsid w:val="00C116D2"/>
    <w:rsid w:val="00C11707"/>
    <w:rsid w:val="00C117EF"/>
    <w:rsid w:val="00C1196A"/>
    <w:rsid w:val="00C11A8A"/>
    <w:rsid w:val="00C11ABB"/>
    <w:rsid w:val="00C11B9C"/>
    <w:rsid w:val="00C11C09"/>
    <w:rsid w:val="00C11D35"/>
    <w:rsid w:val="00C11D8B"/>
    <w:rsid w:val="00C11D97"/>
    <w:rsid w:val="00C11E64"/>
    <w:rsid w:val="00C11FCF"/>
    <w:rsid w:val="00C121C3"/>
    <w:rsid w:val="00C12219"/>
    <w:rsid w:val="00C12226"/>
    <w:rsid w:val="00C123E8"/>
    <w:rsid w:val="00C12436"/>
    <w:rsid w:val="00C12482"/>
    <w:rsid w:val="00C12817"/>
    <w:rsid w:val="00C12ABF"/>
    <w:rsid w:val="00C12B3D"/>
    <w:rsid w:val="00C12B81"/>
    <w:rsid w:val="00C130B1"/>
    <w:rsid w:val="00C13126"/>
    <w:rsid w:val="00C131E7"/>
    <w:rsid w:val="00C13474"/>
    <w:rsid w:val="00C13489"/>
    <w:rsid w:val="00C134D7"/>
    <w:rsid w:val="00C13515"/>
    <w:rsid w:val="00C1375D"/>
    <w:rsid w:val="00C13762"/>
    <w:rsid w:val="00C13883"/>
    <w:rsid w:val="00C13A1E"/>
    <w:rsid w:val="00C13A5F"/>
    <w:rsid w:val="00C13A8E"/>
    <w:rsid w:val="00C13A91"/>
    <w:rsid w:val="00C13CD9"/>
    <w:rsid w:val="00C13D9A"/>
    <w:rsid w:val="00C13E74"/>
    <w:rsid w:val="00C13EDC"/>
    <w:rsid w:val="00C13FFD"/>
    <w:rsid w:val="00C14064"/>
    <w:rsid w:val="00C14142"/>
    <w:rsid w:val="00C141A7"/>
    <w:rsid w:val="00C143A1"/>
    <w:rsid w:val="00C143FF"/>
    <w:rsid w:val="00C144E0"/>
    <w:rsid w:val="00C14601"/>
    <w:rsid w:val="00C14628"/>
    <w:rsid w:val="00C14943"/>
    <w:rsid w:val="00C14D84"/>
    <w:rsid w:val="00C14E4D"/>
    <w:rsid w:val="00C14F90"/>
    <w:rsid w:val="00C1502A"/>
    <w:rsid w:val="00C1507F"/>
    <w:rsid w:val="00C150CF"/>
    <w:rsid w:val="00C150DA"/>
    <w:rsid w:val="00C151FC"/>
    <w:rsid w:val="00C15206"/>
    <w:rsid w:val="00C15225"/>
    <w:rsid w:val="00C1525F"/>
    <w:rsid w:val="00C154E4"/>
    <w:rsid w:val="00C154EF"/>
    <w:rsid w:val="00C15579"/>
    <w:rsid w:val="00C15592"/>
    <w:rsid w:val="00C155AE"/>
    <w:rsid w:val="00C155CF"/>
    <w:rsid w:val="00C156A4"/>
    <w:rsid w:val="00C15816"/>
    <w:rsid w:val="00C15AFE"/>
    <w:rsid w:val="00C15B0C"/>
    <w:rsid w:val="00C15D68"/>
    <w:rsid w:val="00C15DEB"/>
    <w:rsid w:val="00C15F3F"/>
    <w:rsid w:val="00C15FD1"/>
    <w:rsid w:val="00C160A2"/>
    <w:rsid w:val="00C16250"/>
    <w:rsid w:val="00C164B7"/>
    <w:rsid w:val="00C165AE"/>
    <w:rsid w:val="00C16615"/>
    <w:rsid w:val="00C1676B"/>
    <w:rsid w:val="00C167BB"/>
    <w:rsid w:val="00C168B9"/>
    <w:rsid w:val="00C168FE"/>
    <w:rsid w:val="00C16999"/>
    <w:rsid w:val="00C16A01"/>
    <w:rsid w:val="00C16C6D"/>
    <w:rsid w:val="00C16C7D"/>
    <w:rsid w:val="00C16C9D"/>
    <w:rsid w:val="00C16CE7"/>
    <w:rsid w:val="00C16D11"/>
    <w:rsid w:val="00C16D43"/>
    <w:rsid w:val="00C16E86"/>
    <w:rsid w:val="00C16EAD"/>
    <w:rsid w:val="00C16F31"/>
    <w:rsid w:val="00C17265"/>
    <w:rsid w:val="00C172C4"/>
    <w:rsid w:val="00C17313"/>
    <w:rsid w:val="00C1764C"/>
    <w:rsid w:val="00C176CB"/>
    <w:rsid w:val="00C176EC"/>
    <w:rsid w:val="00C177F4"/>
    <w:rsid w:val="00C17825"/>
    <w:rsid w:val="00C17836"/>
    <w:rsid w:val="00C17852"/>
    <w:rsid w:val="00C179CD"/>
    <w:rsid w:val="00C17C2B"/>
    <w:rsid w:val="00C17DE6"/>
    <w:rsid w:val="00C17E6B"/>
    <w:rsid w:val="00C17F8E"/>
    <w:rsid w:val="00C19D40"/>
    <w:rsid w:val="00C203B7"/>
    <w:rsid w:val="00C2042E"/>
    <w:rsid w:val="00C20644"/>
    <w:rsid w:val="00C2080C"/>
    <w:rsid w:val="00C20865"/>
    <w:rsid w:val="00C20997"/>
    <w:rsid w:val="00C209F7"/>
    <w:rsid w:val="00C20A3F"/>
    <w:rsid w:val="00C20B29"/>
    <w:rsid w:val="00C20F44"/>
    <w:rsid w:val="00C211A5"/>
    <w:rsid w:val="00C21226"/>
    <w:rsid w:val="00C2138A"/>
    <w:rsid w:val="00C2144C"/>
    <w:rsid w:val="00C21480"/>
    <w:rsid w:val="00C215DC"/>
    <w:rsid w:val="00C216EF"/>
    <w:rsid w:val="00C219B8"/>
    <w:rsid w:val="00C21B80"/>
    <w:rsid w:val="00C21B91"/>
    <w:rsid w:val="00C21C5E"/>
    <w:rsid w:val="00C22167"/>
    <w:rsid w:val="00C2217F"/>
    <w:rsid w:val="00C221F3"/>
    <w:rsid w:val="00C22328"/>
    <w:rsid w:val="00C22464"/>
    <w:rsid w:val="00C224C1"/>
    <w:rsid w:val="00C225E3"/>
    <w:rsid w:val="00C226F4"/>
    <w:rsid w:val="00C227F9"/>
    <w:rsid w:val="00C22888"/>
    <w:rsid w:val="00C22897"/>
    <w:rsid w:val="00C2292D"/>
    <w:rsid w:val="00C22A57"/>
    <w:rsid w:val="00C22A76"/>
    <w:rsid w:val="00C22AD3"/>
    <w:rsid w:val="00C22B65"/>
    <w:rsid w:val="00C22BE2"/>
    <w:rsid w:val="00C22C10"/>
    <w:rsid w:val="00C22C3C"/>
    <w:rsid w:val="00C22CF1"/>
    <w:rsid w:val="00C22CF7"/>
    <w:rsid w:val="00C22DEF"/>
    <w:rsid w:val="00C2304E"/>
    <w:rsid w:val="00C2307E"/>
    <w:rsid w:val="00C230A4"/>
    <w:rsid w:val="00C23143"/>
    <w:rsid w:val="00C231E8"/>
    <w:rsid w:val="00C23241"/>
    <w:rsid w:val="00C23306"/>
    <w:rsid w:val="00C23417"/>
    <w:rsid w:val="00C23531"/>
    <w:rsid w:val="00C2362D"/>
    <w:rsid w:val="00C23636"/>
    <w:rsid w:val="00C23B89"/>
    <w:rsid w:val="00C23BBB"/>
    <w:rsid w:val="00C23CFA"/>
    <w:rsid w:val="00C23D1C"/>
    <w:rsid w:val="00C23D2D"/>
    <w:rsid w:val="00C23E30"/>
    <w:rsid w:val="00C23F16"/>
    <w:rsid w:val="00C24498"/>
    <w:rsid w:val="00C2452B"/>
    <w:rsid w:val="00C245BD"/>
    <w:rsid w:val="00C245F2"/>
    <w:rsid w:val="00C24B5A"/>
    <w:rsid w:val="00C24F55"/>
    <w:rsid w:val="00C25134"/>
    <w:rsid w:val="00C251E9"/>
    <w:rsid w:val="00C251F4"/>
    <w:rsid w:val="00C2556F"/>
    <w:rsid w:val="00C25618"/>
    <w:rsid w:val="00C2569E"/>
    <w:rsid w:val="00C256BC"/>
    <w:rsid w:val="00C256F1"/>
    <w:rsid w:val="00C2582D"/>
    <w:rsid w:val="00C25A10"/>
    <w:rsid w:val="00C25BA3"/>
    <w:rsid w:val="00C25D3D"/>
    <w:rsid w:val="00C25FB2"/>
    <w:rsid w:val="00C26213"/>
    <w:rsid w:val="00C26223"/>
    <w:rsid w:val="00C2632D"/>
    <w:rsid w:val="00C26340"/>
    <w:rsid w:val="00C2635E"/>
    <w:rsid w:val="00C26410"/>
    <w:rsid w:val="00C264B4"/>
    <w:rsid w:val="00C2670C"/>
    <w:rsid w:val="00C26774"/>
    <w:rsid w:val="00C267B1"/>
    <w:rsid w:val="00C26896"/>
    <w:rsid w:val="00C269B4"/>
    <w:rsid w:val="00C269E4"/>
    <w:rsid w:val="00C26BE9"/>
    <w:rsid w:val="00C26C76"/>
    <w:rsid w:val="00C26C95"/>
    <w:rsid w:val="00C26CA2"/>
    <w:rsid w:val="00C26CE5"/>
    <w:rsid w:val="00C26CFB"/>
    <w:rsid w:val="00C26D55"/>
    <w:rsid w:val="00C26DE0"/>
    <w:rsid w:val="00C26FE1"/>
    <w:rsid w:val="00C2708E"/>
    <w:rsid w:val="00C27253"/>
    <w:rsid w:val="00C273C5"/>
    <w:rsid w:val="00C273D7"/>
    <w:rsid w:val="00C27475"/>
    <w:rsid w:val="00C276D5"/>
    <w:rsid w:val="00C27733"/>
    <w:rsid w:val="00C277C9"/>
    <w:rsid w:val="00C278EF"/>
    <w:rsid w:val="00C278FD"/>
    <w:rsid w:val="00C2799C"/>
    <w:rsid w:val="00C27A74"/>
    <w:rsid w:val="00C27A88"/>
    <w:rsid w:val="00C27AEA"/>
    <w:rsid w:val="00C27C1F"/>
    <w:rsid w:val="00C27D09"/>
    <w:rsid w:val="00C27EFE"/>
    <w:rsid w:val="00C300E6"/>
    <w:rsid w:val="00C301EE"/>
    <w:rsid w:val="00C3021E"/>
    <w:rsid w:val="00C30313"/>
    <w:rsid w:val="00C30405"/>
    <w:rsid w:val="00C30441"/>
    <w:rsid w:val="00C306F7"/>
    <w:rsid w:val="00C30784"/>
    <w:rsid w:val="00C308B8"/>
    <w:rsid w:val="00C30BFF"/>
    <w:rsid w:val="00C31001"/>
    <w:rsid w:val="00C310B1"/>
    <w:rsid w:val="00C3129C"/>
    <w:rsid w:val="00C313EC"/>
    <w:rsid w:val="00C31490"/>
    <w:rsid w:val="00C3169F"/>
    <w:rsid w:val="00C3175F"/>
    <w:rsid w:val="00C31893"/>
    <w:rsid w:val="00C318C7"/>
    <w:rsid w:val="00C319C3"/>
    <w:rsid w:val="00C31BBF"/>
    <w:rsid w:val="00C31E08"/>
    <w:rsid w:val="00C31EA8"/>
    <w:rsid w:val="00C31EBF"/>
    <w:rsid w:val="00C32019"/>
    <w:rsid w:val="00C3217E"/>
    <w:rsid w:val="00C32357"/>
    <w:rsid w:val="00C32913"/>
    <w:rsid w:val="00C329A3"/>
    <w:rsid w:val="00C329B3"/>
    <w:rsid w:val="00C32AB5"/>
    <w:rsid w:val="00C32AE7"/>
    <w:rsid w:val="00C32BFA"/>
    <w:rsid w:val="00C32C43"/>
    <w:rsid w:val="00C32CA9"/>
    <w:rsid w:val="00C32CD2"/>
    <w:rsid w:val="00C32D34"/>
    <w:rsid w:val="00C32D85"/>
    <w:rsid w:val="00C32DC8"/>
    <w:rsid w:val="00C32DD0"/>
    <w:rsid w:val="00C32EB4"/>
    <w:rsid w:val="00C32FA5"/>
    <w:rsid w:val="00C33165"/>
    <w:rsid w:val="00C33202"/>
    <w:rsid w:val="00C3320F"/>
    <w:rsid w:val="00C33483"/>
    <w:rsid w:val="00C33636"/>
    <w:rsid w:val="00C33668"/>
    <w:rsid w:val="00C3388C"/>
    <w:rsid w:val="00C338FD"/>
    <w:rsid w:val="00C33A61"/>
    <w:rsid w:val="00C33AED"/>
    <w:rsid w:val="00C33B88"/>
    <w:rsid w:val="00C33C2B"/>
    <w:rsid w:val="00C33CF0"/>
    <w:rsid w:val="00C33DEB"/>
    <w:rsid w:val="00C33E46"/>
    <w:rsid w:val="00C33F00"/>
    <w:rsid w:val="00C3406E"/>
    <w:rsid w:val="00C3415B"/>
    <w:rsid w:val="00C341F7"/>
    <w:rsid w:val="00C3421F"/>
    <w:rsid w:val="00C3428F"/>
    <w:rsid w:val="00C34656"/>
    <w:rsid w:val="00C34731"/>
    <w:rsid w:val="00C347CF"/>
    <w:rsid w:val="00C34847"/>
    <w:rsid w:val="00C348BC"/>
    <w:rsid w:val="00C34A66"/>
    <w:rsid w:val="00C34CC4"/>
    <w:rsid w:val="00C34D85"/>
    <w:rsid w:val="00C34EA1"/>
    <w:rsid w:val="00C34EAD"/>
    <w:rsid w:val="00C3517E"/>
    <w:rsid w:val="00C35265"/>
    <w:rsid w:val="00C355CD"/>
    <w:rsid w:val="00C35617"/>
    <w:rsid w:val="00C3568E"/>
    <w:rsid w:val="00C3573B"/>
    <w:rsid w:val="00C357DC"/>
    <w:rsid w:val="00C35887"/>
    <w:rsid w:val="00C35891"/>
    <w:rsid w:val="00C359F1"/>
    <w:rsid w:val="00C359FF"/>
    <w:rsid w:val="00C35A0A"/>
    <w:rsid w:val="00C35AC3"/>
    <w:rsid w:val="00C35C62"/>
    <w:rsid w:val="00C35D03"/>
    <w:rsid w:val="00C35D90"/>
    <w:rsid w:val="00C35F4C"/>
    <w:rsid w:val="00C36086"/>
    <w:rsid w:val="00C3617C"/>
    <w:rsid w:val="00C362D7"/>
    <w:rsid w:val="00C36389"/>
    <w:rsid w:val="00C36393"/>
    <w:rsid w:val="00C366A9"/>
    <w:rsid w:val="00C367BC"/>
    <w:rsid w:val="00C36815"/>
    <w:rsid w:val="00C368A3"/>
    <w:rsid w:val="00C36956"/>
    <w:rsid w:val="00C3699D"/>
    <w:rsid w:val="00C36A4C"/>
    <w:rsid w:val="00C36AB0"/>
    <w:rsid w:val="00C36BDB"/>
    <w:rsid w:val="00C36D72"/>
    <w:rsid w:val="00C36DC1"/>
    <w:rsid w:val="00C36F42"/>
    <w:rsid w:val="00C36FEF"/>
    <w:rsid w:val="00C370E0"/>
    <w:rsid w:val="00C370EC"/>
    <w:rsid w:val="00C372B2"/>
    <w:rsid w:val="00C37469"/>
    <w:rsid w:val="00C374AA"/>
    <w:rsid w:val="00C3760B"/>
    <w:rsid w:val="00C37658"/>
    <w:rsid w:val="00C37659"/>
    <w:rsid w:val="00C3770A"/>
    <w:rsid w:val="00C3776E"/>
    <w:rsid w:val="00C379CF"/>
    <w:rsid w:val="00C379FC"/>
    <w:rsid w:val="00C37B28"/>
    <w:rsid w:val="00C37BBB"/>
    <w:rsid w:val="00C37C86"/>
    <w:rsid w:val="00C37DDC"/>
    <w:rsid w:val="00C37E02"/>
    <w:rsid w:val="00C37E19"/>
    <w:rsid w:val="00C37EDB"/>
    <w:rsid w:val="00C37F48"/>
    <w:rsid w:val="00C401A3"/>
    <w:rsid w:val="00C4048D"/>
    <w:rsid w:val="00C4049C"/>
    <w:rsid w:val="00C40630"/>
    <w:rsid w:val="00C40713"/>
    <w:rsid w:val="00C408B5"/>
    <w:rsid w:val="00C40D78"/>
    <w:rsid w:val="00C40DBE"/>
    <w:rsid w:val="00C41101"/>
    <w:rsid w:val="00C411DD"/>
    <w:rsid w:val="00C41212"/>
    <w:rsid w:val="00C412C8"/>
    <w:rsid w:val="00C41340"/>
    <w:rsid w:val="00C41373"/>
    <w:rsid w:val="00C4148D"/>
    <w:rsid w:val="00C414F2"/>
    <w:rsid w:val="00C41605"/>
    <w:rsid w:val="00C418B2"/>
    <w:rsid w:val="00C419CD"/>
    <w:rsid w:val="00C419E0"/>
    <w:rsid w:val="00C41A35"/>
    <w:rsid w:val="00C41A3B"/>
    <w:rsid w:val="00C41CE1"/>
    <w:rsid w:val="00C41CE4"/>
    <w:rsid w:val="00C41E0D"/>
    <w:rsid w:val="00C41ECC"/>
    <w:rsid w:val="00C41FB6"/>
    <w:rsid w:val="00C42144"/>
    <w:rsid w:val="00C42148"/>
    <w:rsid w:val="00C422D5"/>
    <w:rsid w:val="00C4236C"/>
    <w:rsid w:val="00C423F0"/>
    <w:rsid w:val="00C424BE"/>
    <w:rsid w:val="00C424C0"/>
    <w:rsid w:val="00C42549"/>
    <w:rsid w:val="00C427A2"/>
    <w:rsid w:val="00C427B0"/>
    <w:rsid w:val="00C427EA"/>
    <w:rsid w:val="00C42928"/>
    <w:rsid w:val="00C42A4E"/>
    <w:rsid w:val="00C42A8B"/>
    <w:rsid w:val="00C42B1A"/>
    <w:rsid w:val="00C42E26"/>
    <w:rsid w:val="00C42EB2"/>
    <w:rsid w:val="00C42F0A"/>
    <w:rsid w:val="00C4328E"/>
    <w:rsid w:val="00C43346"/>
    <w:rsid w:val="00C4365A"/>
    <w:rsid w:val="00C436BA"/>
    <w:rsid w:val="00C437F1"/>
    <w:rsid w:val="00C43B66"/>
    <w:rsid w:val="00C44153"/>
    <w:rsid w:val="00C44161"/>
    <w:rsid w:val="00C4438D"/>
    <w:rsid w:val="00C4438E"/>
    <w:rsid w:val="00C4445C"/>
    <w:rsid w:val="00C4449F"/>
    <w:rsid w:val="00C44566"/>
    <w:rsid w:val="00C445A8"/>
    <w:rsid w:val="00C44770"/>
    <w:rsid w:val="00C4479D"/>
    <w:rsid w:val="00C447F6"/>
    <w:rsid w:val="00C44807"/>
    <w:rsid w:val="00C44886"/>
    <w:rsid w:val="00C449A5"/>
    <w:rsid w:val="00C44C0A"/>
    <w:rsid w:val="00C44C52"/>
    <w:rsid w:val="00C44CD9"/>
    <w:rsid w:val="00C44EC4"/>
    <w:rsid w:val="00C44F57"/>
    <w:rsid w:val="00C44F9B"/>
    <w:rsid w:val="00C44FA4"/>
    <w:rsid w:val="00C4505E"/>
    <w:rsid w:val="00C45089"/>
    <w:rsid w:val="00C45112"/>
    <w:rsid w:val="00C4511F"/>
    <w:rsid w:val="00C452AE"/>
    <w:rsid w:val="00C452B9"/>
    <w:rsid w:val="00C452EF"/>
    <w:rsid w:val="00C452F6"/>
    <w:rsid w:val="00C452FA"/>
    <w:rsid w:val="00C455A7"/>
    <w:rsid w:val="00C45622"/>
    <w:rsid w:val="00C45655"/>
    <w:rsid w:val="00C456EE"/>
    <w:rsid w:val="00C45770"/>
    <w:rsid w:val="00C457BF"/>
    <w:rsid w:val="00C45B2C"/>
    <w:rsid w:val="00C45C46"/>
    <w:rsid w:val="00C45C94"/>
    <w:rsid w:val="00C45D25"/>
    <w:rsid w:val="00C45E47"/>
    <w:rsid w:val="00C45F0E"/>
    <w:rsid w:val="00C460B1"/>
    <w:rsid w:val="00C46195"/>
    <w:rsid w:val="00C46229"/>
    <w:rsid w:val="00C46363"/>
    <w:rsid w:val="00C46490"/>
    <w:rsid w:val="00C465A4"/>
    <w:rsid w:val="00C46646"/>
    <w:rsid w:val="00C46835"/>
    <w:rsid w:val="00C469DA"/>
    <w:rsid w:val="00C469EC"/>
    <w:rsid w:val="00C46C59"/>
    <w:rsid w:val="00C46D59"/>
    <w:rsid w:val="00C46DF4"/>
    <w:rsid w:val="00C46E4F"/>
    <w:rsid w:val="00C46E84"/>
    <w:rsid w:val="00C46F06"/>
    <w:rsid w:val="00C46F61"/>
    <w:rsid w:val="00C47060"/>
    <w:rsid w:val="00C472CF"/>
    <w:rsid w:val="00C4733A"/>
    <w:rsid w:val="00C475AF"/>
    <w:rsid w:val="00C475CD"/>
    <w:rsid w:val="00C47857"/>
    <w:rsid w:val="00C47880"/>
    <w:rsid w:val="00C47BB4"/>
    <w:rsid w:val="00C47D9D"/>
    <w:rsid w:val="00C47ECE"/>
    <w:rsid w:val="00C47F29"/>
    <w:rsid w:val="00C47F41"/>
    <w:rsid w:val="00C47FB4"/>
    <w:rsid w:val="00C502FA"/>
    <w:rsid w:val="00C50315"/>
    <w:rsid w:val="00C503AD"/>
    <w:rsid w:val="00C50430"/>
    <w:rsid w:val="00C5062C"/>
    <w:rsid w:val="00C506C2"/>
    <w:rsid w:val="00C506F4"/>
    <w:rsid w:val="00C50930"/>
    <w:rsid w:val="00C50AE7"/>
    <w:rsid w:val="00C50AF7"/>
    <w:rsid w:val="00C50B4E"/>
    <w:rsid w:val="00C50B87"/>
    <w:rsid w:val="00C50B8D"/>
    <w:rsid w:val="00C50B93"/>
    <w:rsid w:val="00C50C0B"/>
    <w:rsid w:val="00C50D45"/>
    <w:rsid w:val="00C50E81"/>
    <w:rsid w:val="00C50F59"/>
    <w:rsid w:val="00C50FA3"/>
    <w:rsid w:val="00C51085"/>
    <w:rsid w:val="00C510F7"/>
    <w:rsid w:val="00C512B0"/>
    <w:rsid w:val="00C51375"/>
    <w:rsid w:val="00C513B4"/>
    <w:rsid w:val="00C519F3"/>
    <w:rsid w:val="00C51ABA"/>
    <w:rsid w:val="00C51B89"/>
    <w:rsid w:val="00C51CFF"/>
    <w:rsid w:val="00C51DBD"/>
    <w:rsid w:val="00C51DE4"/>
    <w:rsid w:val="00C51F62"/>
    <w:rsid w:val="00C52016"/>
    <w:rsid w:val="00C5204E"/>
    <w:rsid w:val="00C520A4"/>
    <w:rsid w:val="00C52362"/>
    <w:rsid w:val="00C5239C"/>
    <w:rsid w:val="00C52553"/>
    <w:rsid w:val="00C52697"/>
    <w:rsid w:val="00C52708"/>
    <w:rsid w:val="00C5288F"/>
    <w:rsid w:val="00C52A3C"/>
    <w:rsid w:val="00C52B08"/>
    <w:rsid w:val="00C52BBE"/>
    <w:rsid w:val="00C52BC7"/>
    <w:rsid w:val="00C52C1F"/>
    <w:rsid w:val="00C52C79"/>
    <w:rsid w:val="00C52CE2"/>
    <w:rsid w:val="00C52D1A"/>
    <w:rsid w:val="00C52DD8"/>
    <w:rsid w:val="00C52EE1"/>
    <w:rsid w:val="00C52F00"/>
    <w:rsid w:val="00C52F87"/>
    <w:rsid w:val="00C53022"/>
    <w:rsid w:val="00C5345A"/>
    <w:rsid w:val="00C534DF"/>
    <w:rsid w:val="00C5377A"/>
    <w:rsid w:val="00C5383A"/>
    <w:rsid w:val="00C5386F"/>
    <w:rsid w:val="00C538A2"/>
    <w:rsid w:val="00C53A56"/>
    <w:rsid w:val="00C53B4E"/>
    <w:rsid w:val="00C53F01"/>
    <w:rsid w:val="00C53F25"/>
    <w:rsid w:val="00C53FCA"/>
    <w:rsid w:val="00C54212"/>
    <w:rsid w:val="00C5424C"/>
    <w:rsid w:val="00C5432C"/>
    <w:rsid w:val="00C5473E"/>
    <w:rsid w:val="00C54829"/>
    <w:rsid w:val="00C548AA"/>
    <w:rsid w:val="00C54D50"/>
    <w:rsid w:val="00C54F1B"/>
    <w:rsid w:val="00C54FE6"/>
    <w:rsid w:val="00C5502C"/>
    <w:rsid w:val="00C551CB"/>
    <w:rsid w:val="00C5520E"/>
    <w:rsid w:val="00C5534E"/>
    <w:rsid w:val="00C5535C"/>
    <w:rsid w:val="00C553DA"/>
    <w:rsid w:val="00C554D7"/>
    <w:rsid w:val="00C5559E"/>
    <w:rsid w:val="00C556A0"/>
    <w:rsid w:val="00C55775"/>
    <w:rsid w:val="00C55887"/>
    <w:rsid w:val="00C55963"/>
    <w:rsid w:val="00C55A16"/>
    <w:rsid w:val="00C55A39"/>
    <w:rsid w:val="00C55AFA"/>
    <w:rsid w:val="00C55B37"/>
    <w:rsid w:val="00C55BD8"/>
    <w:rsid w:val="00C55C06"/>
    <w:rsid w:val="00C55C5E"/>
    <w:rsid w:val="00C55CDF"/>
    <w:rsid w:val="00C55E50"/>
    <w:rsid w:val="00C55E7C"/>
    <w:rsid w:val="00C55EFC"/>
    <w:rsid w:val="00C55F13"/>
    <w:rsid w:val="00C56076"/>
    <w:rsid w:val="00C56228"/>
    <w:rsid w:val="00C562C0"/>
    <w:rsid w:val="00C563B7"/>
    <w:rsid w:val="00C5645E"/>
    <w:rsid w:val="00C564A7"/>
    <w:rsid w:val="00C568F1"/>
    <w:rsid w:val="00C56922"/>
    <w:rsid w:val="00C56A5C"/>
    <w:rsid w:val="00C56A97"/>
    <w:rsid w:val="00C56B09"/>
    <w:rsid w:val="00C56BD9"/>
    <w:rsid w:val="00C56D40"/>
    <w:rsid w:val="00C56DFE"/>
    <w:rsid w:val="00C56F14"/>
    <w:rsid w:val="00C57062"/>
    <w:rsid w:val="00C570C9"/>
    <w:rsid w:val="00C57154"/>
    <w:rsid w:val="00C57159"/>
    <w:rsid w:val="00C571CB"/>
    <w:rsid w:val="00C572E8"/>
    <w:rsid w:val="00C5733D"/>
    <w:rsid w:val="00C57389"/>
    <w:rsid w:val="00C573D5"/>
    <w:rsid w:val="00C574FB"/>
    <w:rsid w:val="00C575B4"/>
    <w:rsid w:val="00C575F6"/>
    <w:rsid w:val="00C576E2"/>
    <w:rsid w:val="00C57700"/>
    <w:rsid w:val="00C57A6C"/>
    <w:rsid w:val="00C57A7E"/>
    <w:rsid w:val="00C57AED"/>
    <w:rsid w:val="00C57C2C"/>
    <w:rsid w:val="00C57C71"/>
    <w:rsid w:val="00C57C72"/>
    <w:rsid w:val="00C57DDF"/>
    <w:rsid w:val="00C57F1C"/>
    <w:rsid w:val="00C57FC7"/>
    <w:rsid w:val="00C5BC2E"/>
    <w:rsid w:val="00C602D5"/>
    <w:rsid w:val="00C6067E"/>
    <w:rsid w:val="00C60778"/>
    <w:rsid w:val="00C6085C"/>
    <w:rsid w:val="00C60869"/>
    <w:rsid w:val="00C6088A"/>
    <w:rsid w:val="00C60BA0"/>
    <w:rsid w:val="00C60BCA"/>
    <w:rsid w:val="00C60E1B"/>
    <w:rsid w:val="00C60F0B"/>
    <w:rsid w:val="00C60F4E"/>
    <w:rsid w:val="00C60F80"/>
    <w:rsid w:val="00C6109B"/>
    <w:rsid w:val="00C61149"/>
    <w:rsid w:val="00C6115E"/>
    <w:rsid w:val="00C61206"/>
    <w:rsid w:val="00C6151D"/>
    <w:rsid w:val="00C615B7"/>
    <w:rsid w:val="00C615DD"/>
    <w:rsid w:val="00C61621"/>
    <w:rsid w:val="00C61979"/>
    <w:rsid w:val="00C61A04"/>
    <w:rsid w:val="00C61A86"/>
    <w:rsid w:val="00C61AA7"/>
    <w:rsid w:val="00C61C77"/>
    <w:rsid w:val="00C61CB0"/>
    <w:rsid w:val="00C61DBB"/>
    <w:rsid w:val="00C61EFA"/>
    <w:rsid w:val="00C61FE0"/>
    <w:rsid w:val="00C62009"/>
    <w:rsid w:val="00C620B1"/>
    <w:rsid w:val="00C620D9"/>
    <w:rsid w:val="00C622BC"/>
    <w:rsid w:val="00C62330"/>
    <w:rsid w:val="00C624E3"/>
    <w:rsid w:val="00C6255B"/>
    <w:rsid w:val="00C62775"/>
    <w:rsid w:val="00C627C5"/>
    <w:rsid w:val="00C62934"/>
    <w:rsid w:val="00C62949"/>
    <w:rsid w:val="00C629F5"/>
    <w:rsid w:val="00C62A2F"/>
    <w:rsid w:val="00C62A4F"/>
    <w:rsid w:val="00C62AD1"/>
    <w:rsid w:val="00C62FBF"/>
    <w:rsid w:val="00C630C7"/>
    <w:rsid w:val="00C6310B"/>
    <w:rsid w:val="00C63155"/>
    <w:rsid w:val="00C633CE"/>
    <w:rsid w:val="00C634BD"/>
    <w:rsid w:val="00C634C8"/>
    <w:rsid w:val="00C635AC"/>
    <w:rsid w:val="00C63855"/>
    <w:rsid w:val="00C63874"/>
    <w:rsid w:val="00C6391D"/>
    <w:rsid w:val="00C63C37"/>
    <w:rsid w:val="00C63D40"/>
    <w:rsid w:val="00C640FB"/>
    <w:rsid w:val="00C6420C"/>
    <w:rsid w:val="00C64611"/>
    <w:rsid w:val="00C647B5"/>
    <w:rsid w:val="00C647DE"/>
    <w:rsid w:val="00C64A32"/>
    <w:rsid w:val="00C64D0F"/>
    <w:rsid w:val="00C64D8F"/>
    <w:rsid w:val="00C64D9D"/>
    <w:rsid w:val="00C64ECE"/>
    <w:rsid w:val="00C650ED"/>
    <w:rsid w:val="00C651A7"/>
    <w:rsid w:val="00C65223"/>
    <w:rsid w:val="00C65238"/>
    <w:rsid w:val="00C6534F"/>
    <w:rsid w:val="00C65400"/>
    <w:rsid w:val="00C654F9"/>
    <w:rsid w:val="00C65524"/>
    <w:rsid w:val="00C656E0"/>
    <w:rsid w:val="00C6572C"/>
    <w:rsid w:val="00C65776"/>
    <w:rsid w:val="00C65791"/>
    <w:rsid w:val="00C65816"/>
    <w:rsid w:val="00C6586C"/>
    <w:rsid w:val="00C658A3"/>
    <w:rsid w:val="00C6596E"/>
    <w:rsid w:val="00C65972"/>
    <w:rsid w:val="00C65C9B"/>
    <w:rsid w:val="00C65E35"/>
    <w:rsid w:val="00C65E71"/>
    <w:rsid w:val="00C65EDB"/>
    <w:rsid w:val="00C66034"/>
    <w:rsid w:val="00C6613D"/>
    <w:rsid w:val="00C6628D"/>
    <w:rsid w:val="00C662E9"/>
    <w:rsid w:val="00C66387"/>
    <w:rsid w:val="00C664EA"/>
    <w:rsid w:val="00C6653D"/>
    <w:rsid w:val="00C667BE"/>
    <w:rsid w:val="00C669D5"/>
    <w:rsid w:val="00C66A1D"/>
    <w:rsid w:val="00C66C76"/>
    <w:rsid w:val="00C66E69"/>
    <w:rsid w:val="00C66EA2"/>
    <w:rsid w:val="00C66FDA"/>
    <w:rsid w:val="00C670C9"/>
    <w:rsid w:val="00C671A5"/>
    <w:rsid w:val="00C6736A"/>
    <w:rsid w:val="00C674F0"/>
    <w:rsid w:val="00C677CA"/>
    <w:rsid w:val="00C677EB"/>
    <w:rsid w:val="00C678F2"/>
    <w:rsid w:val="00C679B6"/>
    <w:rsid w:val="00C67A9F"/>
    <w:rsid w:val="00C67B12"/>
    <w:rsid w:val="00C67B2F"/>
    <w:rsid w:val="00C67D34"/>
    <w:rsid w:val="00C67E98"/>
    <w:rsid w:val="00C701F8"/>
    <w:rsid w:val="00C7020E"/>
    <w:rsid w:val="00C702BE"/>
    <w:rsid w:val="00C702C3"/>
    <w:rsid w:val="00C7033F"/>
    <w:rsid w:val="00C703E3"/>
    <w:rsid w:val="00C7055E"/>
    <w:rsid w:val="00C70586"/>
    <w:rsid w:val="00C70633"/>
    <w:rsid w:val="00C7064B"/>
    <w:rsid w:val="00C70655"/>
    <w:rsid w:val="00C70772"/>
    <w:rsid w:val="00C70784"/>
    <w:rsid w:val="00C70987"/>
    <w:rsid w:val="00C70BC5"/>
    <w:rsid w:val="00C70BFF"/>
    <w:rsid w:val="00C70EFB"/>
    <w:rsid w:val="00C710D7"/>
    <w:rsid w:val="00C710E2"/>
    <w:rsid w:val="00C71145"/>
    <w:rsid w:val="00C71448"/>
    <w:rsid w:val="00C714EE"/>
    <w:rsid w:val="00C71595"/>
    <w:rsid w:val="00C716D2"/>
    <w:rsid w:val="00C718E9"/>
    <w:rsid w:val="00C71A2C"/>
    <w:rsid w:val="00C71B26"/>
    <w:rsid w:val="00C71B36"/>
    <w:rsid w:val="00C71DEE"/>
    <w:rsid w:val="00C71E99"/>
    <w:rsid w:val="00C71EC2"/>
    <w:rsid w:val="00C71F3A"/>
    <w:rsid w:val="00C71F70"/>
    <w:rsid w:val="00C71F77"/>
    <w:rsid w:val="00C721AA"/>
    <w:rsid w:val="00C72459"/>
    <w:rsid w:val="00C724BE"/>
    <w:rsid w:val="00C72515"/>
    <w:rsid w:val="00C72593"/>
    <w:rsid w:val="00C725BC"/>
    <w:rsid w:val="00C72660"/>
    <w:rsid w:val="00C72733"/>
    <w:rsid w:val="00C7273F"/>
    <w:rsid w:val="00C728CF"/>
    <w:rsid w:val="00C72AD7"/>
    <w:rsid w:val="00C72CE3"/>
    <w:rsid w:val="00C72E2E"/>
    <w:rsid w:val="00C72ED4"/>
    <w:rsid w:val="00C72F5C"/>
    <w:rsid w:val="00C72FBC"/>
    <w:rsid w:val="00C730F4"/>
    <w:rsid w:val="00C73152"/>
    <w:rsid w:val="00C7322D"/>
    <w:rsid w:val="00C732FB"/>
    <w:rsid w:val="00C734AE"/>
    <w:rsid w:val="00C7350C"/>
    <w:rsid w:val="00C735C1"/>
    <w:rsid w:val="00C7364B"/>
    <w:rsid w:val="00C73652"/>
    <w:rsid w:val="00C73802"/>
    <w:rsid w:val="00C7388B"/>
    <w:rsid w:val="00C7393D"/>
    <w:rsid w:val="00C73C8F"/>
    <w:rsid w:val="00C73D13"/>
    <w:rsid w:val="00C73FB1"/>
    <w:rsid w:val="00C74189"/>
    <w:rsid w:val="00C7428C"/>
    <w:rsid w:val="00C742EF"/>
    <w:rsid w:val="00C74359"/>
    <w:rsid w:val="00C7487F"/>
    <w:rsid w:val="00C74A13"/>
    <w:rsid w:val="00C74A96"/>
    <w:rsid w:val="00C74AC7"/>
    <w:rsid w:val="00C74B02"/>
    <w:rsid w:val="00C74B46"/>
    <w:rsid w:val="00C74C11"/>
    <w:rsid w:val="00C74C44"/>
    <w:rsid w:val="00C74EC6"/>
    <w:rsid w:val="00C75304"/>
    <w:rsid w:val="00C75332"/>
    <w:rsid w:val="00C75373"/>
    <w:rsid w:val="00C753C5"/>
    <w:rsid w:val="00C753D5"/>
    <w:rsid w:val="00C7555D"/>
    <w:rsid w:val="00C757A6"/>
    <w:rsid w:val="00C758A8"/>
    <w:rsid w:val="00C75A26"/>
    <w:rsid w:val="00C75B16"/>
    <w:rsid w:val="00C75BCB"/>
    <w:rsid w:val="00C75BD2"/>
    <w:rsid w:val="00C75C28"/>
    <w:rsid w:val="00C75D89"/>
    <w:rsid w:val="00C75DFC"/>
    <w:rsid w:val="00C75F1B"/>
    <w:rsid w:val="00C76397"/>
    <w:rsid w:val="00C764EC"/>
    <w:rsid w:val="00C765FB"/>
    <w:rsid w:val="00C7663A"/>
    <w:rsid w:val="00C766E8"/>
    <w:rsid w:val="00C767AA"/>
    <w:rsid w:val="00C76924"/>
    <w:rsid w:val="00C7696D"/>
    <w:rsid w:val="00C769EA"/>
    <w:rsid w:val="00C76D07"/>
    <w:rsid w:val="00C76D9E"/>
    <w:rsid w:val="00C76E32"/>
    <w:rsid w:val="00C76F44"/>
    <w:rsid w:val="00C76F50"/>
    <w:rsid w:val="00C76FF4"/>
    <w:rsid w:val="00C7705A"/>
    <w:rsid w:val="00C771CC"/>
    <w:rsid w:val="00C774CF"/>
    <w:rsid w:val="00C77598"/>
    <w:rsid w:val="00C77845"/>
    <w:rsid w:val="00C77977"/>
    <w:rsid w:val="00C77B42"/>
    <w:rsid w:val="00C77B57"/>
    <w:rsid w:val="00C77BCF"/>
    <w:rsid w:val="00C77C20"/>
    <w:rsid w:val="00C77D58"/>
    <w:rsid w:val="00C77D98"/>
    <w:rsid w:val="00C77DE7"/>
    <w:rsid w:val="00C77E1A"/>
    <w:rsid w:val="00C8006B"/>
    <w:rsid w:val="00C80094"/>
    <w:rsid w:val="00C80127"/>
    <w:rsid w:val="00C80179"/>
    <w:rsid w:val="00C802E2"/>
    <w:rsid w:val="00C8043C"/>
    <w:rsid w:val="00C804AF"/>
    <w:rsid w:val="00C8059B"/>
    <w:rsid w:val="00C806D1"/>
    <w:rsid w:val="00C806FC"/>
    <w:rsid w:val="00C807A7"/>
    <w:rsid w:val="00C80828"/>
    <w:rsid w:val="00C80AC7"/>
    <w:rsid w:val="00C80D1B"/>
    <w:rsid w:val="00C80DCB"/>
    <w:rsid w:val="00C80FB4"/>
    <w:rsid w:val="00C8103A"/>
    <w:rsid w:val="00C8116A"/>
    <w:rsid w:val="00C815F8"/>
    <w:rsid w:val="00C81716"/>
    <w:rsid w:val="00C81733"/>
    <w:rsid w:val="00C81749"/>
    <w:rsid w:val="00C81868"/>
    <w:rsid w:val="00C818DF"/>
    <w:rsid w:val="00C819EF"/>
    <w:rsid w:val="00C81A58"/>
    <w:rsid w:val="00C81ABB"/>
    <w:rsid w:val="00C81C7C"/>
    <w:rsid w:val="00C81EBE"/>
    <w:rsid w:val="00C81FD8"/>
    <w:rsid w:val="00C82310"/>
    <w:rsid w:val="00C8254A"/>
    <w:rsid w:val="00C82588"/>
    <w:rsid w:val="00C82622"/>
    <w:rsid w:val="00C828D0"/>
    <w:rsid w:val="00C8291E"/>
    <w:rsid w:val="00C82A64"/>
    <w:rsid w:val="00C82B5D"/>
    <w:rsid w:val="00C82D22"/>
    <w:rsid w:val="00C82E6D"/>
    <w:rsid w:val="00C82EB3"/>
    <w:rsid w:val="00C83009"/>
    <w:rsid w:val="00C8304D"/>
    <w:rsid w:val="00C830C8"/>
    <w:rsid w:val="00C831FA"/>
    <w:rsid w:val="00C833DF"/>
    <w:rsid w:val="00C83547"/>
    <w:rsid w:val="00C83549"/>
    <w:rsid w:val="00C836BA"/>
    <w:rsid w:val="00C83779"/>
    <w:rsid w:val="00C837D3"/>
    <w:rsid w:val="00C8393B"/>
    <w:rsid w:val="00C83956"/>
    <w:rsid w:val="00C83982"/>
    <w:rsid w:val="00C83A2A"/>
    <w:rsid w:val="00C83CB8"/>
    <w:rsid w:val="00C83D19"/>
    <w:rsid w:val="00C83FE1"/>
    <w:rsid w:val="00C8400D"/>
    <w:rsid w:val="00C84052"/>
    <w:rsid w:val="00C84094"/>
    <w:rsid w:val="00C840AD"/>
    <w:rsid w:val="00C84139"/>
    <w:rsid w:val="00C84389"/>
    <w:rsid w:val="00C84577"/>
    <w:rsid w:val="00C8459A"/>
    <w:rsid w:val="00C84689"/>
    <w:rsid w:val="00C848CF"/>
    <w:rsid w:val="00C84CE3"/>
    <w:rsid w:val="00C85123"/>
    <w:rsid w:val="00C85145"/>
    <w:rsid w:val="00C85184"/>
    <w:rsid w:val="00C8518D"/>
    <w:rsid w:val="00C851B4"/>
    <w:rsid w:val="00C85236"/>
    <w:rsid w:val="00C8531B"/>
    <w:rsid w:val="00C85413"/>
    <w:rsid w:val="00C85433"/>
    <w:rsid w:val="00C854A4"/>
    <w:rsid w:val="00C855E1"/>
    <w:rsid w:val="00C85722"/>
    <w:rsid w:val="00C857E3"/>
    <w:rsid w:val="00C85839"/>
    <w:rsid w:val="00C8599D"/>
    <w:rsid w:val="00C859C4"/>
    <w:rsid w:val="00C85A8C"/>
    <w:rsid w:val="00C85BC0"/>
    <w:rsid w:val="00C85EB9"/>
    <w:rsid w:val="00C85ED0"/>
    <w:rsid w:val="00C85EEB"/>
    <w:rsid w:val="00C8603D"/>
    <w:rsid w:val="00C86222"/>
    <w:rsid w:val="00C86320"/>
    <w:rsid w:val="00C8645A"/>
    <w:rsid w:val="00C8679F"/>
    <w:rsid w:val="00C868F6"/>
    <w:rsid w:val="00C86A2B"/>
    <w:rsid w:val="00C86A91"/>
    <w:rsid w:val="00C86AE2"/>
    <w:rsid w:val="00C86D04"/>
    <w:rsid w:val="00C86D93"/>
    <w:rsid w:val="00C86E16"/>
    <w:rsid w:val="00C86F10"/>
    <w:rsid w:val="00C8713A"/>
    <w:rsid w:val="00C872CD"/>
    <w:rsid w:val="00C875A6"/>
    <w:rsid w:val="00C87681"/>
    <w:rsid w:val="00C87691"/>
    <w:rsid w:val="00C8785D"/>
    <w:rsid w:val="00C878DC"/>
    <w:rsid w:val="00C87B2B"/>
    <w:rsid w:val="00C87B54"/>
    <w:rsid w:val="00C87C0C"/>
    <w:rsid w:val="00C87CFF"/>
    <w:rsid w:val="00C87D0E"/>
    <w:rsid w:val="00C87D42"/>
    <w:rsid w:val="00C87D8F"/>
    <w:rsid w:val="00C9010A"/>
    <w:rsid w:val="00C9019E"/>
    <w:rsid w:val="00C901B8"/>
    <w:rsid w:val="00C90260"/>
    <w:rsid w:val="00C90360"/>
    <w:rsid w:val="00C904CE"/>
    <w:rsid w:val="00C906F2"/>
    <w:rsid w:val="00C9072C"/>
    <w:rsid w:val="00C9081C"/>
    <w:rsid w:val="00C90969"/>
    <w:rsid w:val="00C90979"/>
    <w:rsid w:val="00C90CAD"/>
    <w:rsid w:val="00C90E9F"/>
    <w:rsid w:val="00C9102D"/>
    <w:rsid w:val="00C911A2"/>
    <w:rsid w:val="00C91342"/>
    <w:rsid w:val="00C91401"/>
    <w:rsid w:val="00C91466"/>
    <w:rsid w:val="00C91582"/>
    <w:rsid w:val="00C91796"/>
    <w:rsid w:val="00C91845"/>
    <w:rsid w:val="00C919AD"/>
    <w:rsid w:val="00C919E4"/>
    <w:rsid w:val="00C91B25"/>
    <w:rsid w:val="00C91B36"/>
    <w:rsid w:val="00C91E85"/>
    <w:rsid w:val="00C9208A"/>
    <w:rsid w:val="00C92125"/>
    <w:rsid w:val="00C921A5"/>
    <w:rsid w:val="00C9222F"/>
    <w:rsid w:val="00C92267"/>
    <w:rsid w:val="00C92329"/>
    <w:rsid w:val="00C92403"/>
    <w:rsid w:val="00C92429"/>
    <w:rsid w:val="00C924A7"/>
    <w:rsid w:val="00C9258B"/>
    <w:rsid w:val="00C92593"/>
    <w:rsid w:val="00C925CE"/>
    <w:rsid w:val="00C92639"/>
    <w:rsid w:val="00C92656"/>
    <w:rsid w:val="00C927A5"/>
    <w:rsid w:val="00C927BF"/>
    <w:rsid w:val="00C92828"/>
    <w:rsid w:val="00C9283F"/>
    <w:rsid w:val="00C92899"/>
    <w:rsid w:val="00C92C40"/>
    <w:rsid w:val="00C92DB8"/>
    <w:rsid w:val="00C92F7C"/>
    <w:rsid w:val="00C93465"/>
    <w:rsid w:val="00C93610"/>
    <w:rsid w:val="00C93727"/>
    <w:rsid w:val="00C9372B"/>
    <w:rsid w:val="00C9376A"/>
    <w:rsid w:val="00C9376F"/>
    <w:rsid w:val="00C93808"/>
    <w:rsid w:val="00C938E6"/>
    <w:rsid w:val="00C93AB3"/>
    <w:rsid w:val="00C93ABF"/>
    <w:rsid w:val="00C93DD9"/>
    <w:rsid w:val="00C93DF3"/>
    <w:rsid w:val="00C93DFE"/>
    <w:rsid w:val="00C93ED0"/>
    <w:rsid w:val="00C93F88"/>
    <w:rsid w:val="00C94052"/>
    <w:rsid w:val="00C9412A"/>
    <w:rsid w:val="00C9417B"/>
    <w:rsid w:val="00C94255"/>
    <w:rsid w:val="00C94410"/>
    <w:rsid w:val="00C9449D"/>
    <w:rsid w:val="00C9474C"/>
    <w:rsid w:val="00C9476B"/>
    <w:rsid w:val="00C9482F"/>
    <w:rsid w:val="00C94851"/>
    <w:rsid w:val="00C948D0"/>
    <w:rsid w:val="00C94937"/>
    <w:rsid w:val="00C94C78"/>
    <w:rsid w:val="00C94D30"/>
    <w:rsid w:val="00C94E83"/>
    <w:rsid w:val="00C94F2B"/>
    <w:rsid w:val="00C95004"/>
    <w:rsid w:val="00C95121"/>
    <w:rsid w:val="00C951E8"/>
    <w:rsid w:val="00C954D8"/>
    <w:rsid w:val="00C95559"/>
    <w:rsid w:val="00C955B7"/>
    <w:rsid w:val="00C95826"/>
    <w:rsid w:val="00C9596F"/>
    <w:rsid w:val="00C95ADA"/>
    <w:rsid w:val="00C95B64"/>
    <w:rsid w:val="00C95C92"/>
    <w:rsid w:val="00C95ED7"/>
    <w:rsid w:val="00C960B6"/>
    <w:rsid w:val="00C9610A"/>
    <w:rsid w:val="00C961E8"/>
    <w:rsid w:val="00C964C5"/>
    <w:rsid w:val="00C9651C"/>
    <w:rsid w:val="00C96538"/>
    <w:rsid w:val="00C96596"/>
    <w:rsid w:val="00C968F4"/>
    <w:rsid w:val="00C96A52"/>
    <w:rsid w:val="00C96B8E"/>
    <w:rsid w:val="00C96EDD"/>
    <w:rsid w:val="00C96F6F"/>
    <w:rsid w:val="00C9711D"/>
    <w:rsid w:val="00C9712C"/>
    <w:rsid w:val="00C971C2"/>
    <w:rsid w:val="00C971F5"/>
    <w:rsid w:val="00C9729E"/>
    <w:rsid w:val="00C97341"/>
    <w:rsid w:val="00C97372"/>
    <w:rsid w:val="00C9739B"/>
    <w:rsid w:val="00C9743C"/>
    <w:rsid w:val="00C974B6"/>
    <w:rsid w:val="00C97597"/>
    <w:rsid w:val="00C978AC"/>
    <w:rsid w:val="00C978E8"/>
    <w:rsid w:val="00C979EC"/>
    <w:rsid w:val="00C97A5A"/>
    <w:rsid w:val="00C97B82"/>
    <w:rsid w:val="00C97BCC"/>
    <w:rsid w:val="00C97CE9"/>
    <w:rsid w:val="00C97E94"/>
    <w:rsid w:val="00C97FF0"/>
    <w:rsid w:val="00C97FF2"/>
    <w:rsid w:val="00CA001F"/>
    <w:rsid w:val="00CA01F8"/>
    <w:rsid w:val="00CA031F"/>
    <w:rsid w:val="00CA03F1"/>
    <w:rsid w:val="00CA0779"/>
    <w:rsid w:val="00CA0818"/>
    <w:rsid w:val="00CA088C"/>
    <w:rsid w:val="00CA0893"/>
    <w:rsid w:val="00CA0A5C"/>
    <w:rsid w:val="00CA0B02"/>
    <w:rsid w:val="00CA0B34"/>
    <w:rsid w:val="00CA0BFA"/>
    <w:rsid w:val="00CA0C7B"/>
    <w:rsid w:val="00CA0CDA"/>
    <w:rsid w:val="00CA0DD7"/>
    <w:rsid w:val="00CA0FB2"/>
    <w:rsid w:val="00CA1238"/>
    <w:rsid w:val="00CA128C"/>
    <w:rsid w:val="00CA1474"/>
    <w:rsid w:val="00CA14ED"/>
    <w:rsid w:val="00CA1800"/>
    <w:rsid w:val="00CA1A48"/>
    <w:rsid w:val="00CA1BD3"/>
    <w:rsid w:val="00CA1C34"/>
    <w:rsid w:val="00CA1C61"/>
    <w:rsid w:val="00CA1E2A"/>
    <w:rsid w:val="00CA1F23"/>
    <w:rsid w:val="00CA20B4"/>
    <w:rsid w:val="00CA2115"/>
    <w:rsid w:val="00CA222B"/>
    <w:rsid w:val="00CA224D"/>
    <w:rsid w:val="00CA2282"/>
    <w:rsid w:val="00CA2375"/>
    <w:rsid w:val="00CA241F"/>
    <w:rsid w:val="00CA25A1"/>
    <w:rsid w:val="00CA27E3"/>
    <w:rsid w:val="00CA2819"/>
    <w:rsid w:val="00CA28C4"/>
    <w:rsid w:val="00CA29C3"/>
    <w:rsid w:val="00CA2A39"/>
    <w:rsid w:val="00CA2A9F"/>
    <w:rsid w:val="00CA2CC0"/>
    <w:rsid w:val="00CA312C"/>
    <w:rsid w:val="00CA3173"/>
    <w:rsid w:val="00CA3238"/>
    <w:rsid w:val="00CA3421"/>
    <w:rsid w:val="00CA360C"/>
    <w:rsid w:val="00CA366E"/>
    <w:rsid w:val="00CA3798"/>
    <w:rsid w:val="00CA37A2"/>
    <w:rsid w:val="00CA3851"/>
    <w:rsid w:val="00CA38FB"/>
    <w:rsid w:val="00CA3A38"/>
    <w:rsid w:val="00CA3B51"/>
    <w:rsid w:val="00CA3BB0"/>
    <w:rsid w:val="00CA3C8D"/>
    <w:rsid w:val="00CA3CC6"/>
    <w:rsid w:val="00CA406C"/>
    <w:rsid w:val="00CA40D4"/>
    <w:rsid w:val="00CA41A8"/>
    <w:rsid w:val="00CA4224"/>
    <w:rsid w:val="00CA4273"/>
    <w:rsid w:val="00CA433D"/>
    <w:rsid w:val="00CA458E"/>
    <w:rsid w:val="00CA46A1"/>
    <w:rsid w:val="00CA4A47"/>
    <w:rsid w:val="00CA4B3F"/>
    <w:rsid w:val="00CA4C43"/>
    <w:rsid w:val="00CA4C51"/>
    <w:rsid w:val="00CA4F3B"/>
    <w:rsid w:val="00CA502A"/>
    <w:rsid w:val="00CA50D5"/>
    <w:rsid w:val="00CA5184"/>
    <w:rsid w:val="00CA5341"/>
    <w:rsid w:val="00CA5378"/>
    <w:rsid w:val="00CA53AA"/>
    <w:rsid w:val="00CA5489"/>
    <w:rsid w:val="00CA5490"/>
    <w:rsid w:val="00CA55F4"/>
    <w:rsid w:val="00CA5699"/>
    <w:rsid w:val="00CA57B8"/>
    <w:rsid w:val="00CA5948"/>
    <w:rsid w:val="00CA5BC7"/>
    <w:rsid w:val="00CA5CA7"/>
    <w:rsid w:val="00CA5CAA"/>
    <w:rsid w:val="00CA5DB5"/>
    <w:rsid w:val="00CA5FFE"/>
    <w:rsid w:val="00CA60B4"/>
    <w:rsid w:val="00CA60B5"/>
    <w:rsid w:val="00CA612F"/>
    <w:rsid w:val="00CA61DF"/>
    <w:rsid w:val="00CA6233"/>
    <w:rsid w:val="00CA65BF"/>
    <w:rsid w:val="00CA6699"/>
    <w:rsid w:val="00CA6762"/>
    <w:rsid w:val="00CA68E7"/>
    <w:rsid w:val="00CA6BB3"/>
    <w:rsid w:val="00CA6CFD"/>
    <w:rsid w:val="00CA7020"/>
    <w:rsid w:val="00CA70D6"/>
    <w:rsid w:val="00CA71C7"/>
    <w:rsid w:val="00CA72B7"/>
    <w:rsid w:val="00CA765D"/>
    <w:rsid w:val="00CA76F3"/>
    <w:rsid w:val="00CA7784"/>
    <w:rsid w:val="00CA77EA"/>
    <w:rsid w:val="00CA7808"/>
    <w:rsid w:val="00CA7827"/>
    <w:rsid w:val="00CA782B"/>
    <w:rsid w:val="00CA787D"/>
    <w:rsid w:val="00CA79C3"/>
    <w:rsid w:val="00CA79F9"/>
    <w:rsid w:val="00CA7A85"/>
    <w:rsid w:val="00CA7AAD"/>
    <w:rsid w:val="00CA7B54"/>
    <w:rsid w:val="00CA7C15"/>
    <w:rsid w:val="00CA7C57"/>
    <w:rsid w:val="00CA7F1D"/>
    <w:rsid w:val="00CB0170"/>
    <w:rsid w:val="00CB022E"/>
    <w:rsid w:val="00CB050D"/>
    <w:rsid w:val="00CB059C"/>
    <w:rsid w:val="00CB05F3"/>
    <w:rsid w:val="00CB068C"/>
    <w:rsid w:val="00CB0864"/>
    <w:rsid w:val="00CB09EF"/>
    <w:rsid w:val="00CB0B86"/>
    <w:rsid w:val="00CB0B89"/>
    <w:rsid w:val="00CB0E55"/>
    <w:rsid w:val="00CB0F3D"/>
    <w:rsid w:val="00CB0F3F"/>
    <w:rsid w:val="00CB0FEA"/>
    <w:rsid w:val="00CB1007"/>
    <w:rsid w:val="00CB1135"/>
    <w:rsid w:val="00CB1198"/>
    <w:rsid w:val="00CB1408"/>
    <w:rsid w:val="00CB1462"/>
    <w:rsid w:val="00CB151F"/>
    <w:rsid w:val="00CB153D"/>
    <w:rsid w:val="00CB174D"/>
    <w:rsid w:val="00CB17A9"/>
    <w:rsid w:val="00CB1826"/>
    <w:rsid w:val="00CB18EB"/>
    <w:rsid w:val="00CB1939"/>
    <w:rsid w:val="00CB1A10"/>
    <w:rsid w:val="00CB1B15"/>
    <w:rsid w:val="00CB1C2F"/>
    <w:rsid w:val="00CB1C52"/>
    <w:rsid w:val="00CB1DD2"/>
    <w:rsid w:val="00CB1E36"/>
    <w:rsid w:val="00CB1E44"/>
    <w:rsid w:val="00CB1E5E"/>
    <w:rsid w:val="00CB1FBD"/>
    <w:rsid w:val="00CB2020"/>
    <w:rsid w:val="00CB2109"/>
    <w:rsid w:val="00CB2283"/>
    <w:rsid w:val="00CB2294"/>
    <w:rsid w:val="00CB2671"/>
    <w:rsid w:val="00CB2702"/>
    <w:rsid w:val="00CB290D"/>
    <w:rsid w:val="00CB2A07"/>
    <w:rsid w:val="00CB2A2F"/>
    <w:rsid w:val="00CB2BD2"/>
    <w:rsid w:val="00CB2CA5"/>
    <w:rsid w:val="00CB2F32"/>
    <w:rsid w:val="00CB2F90"/>
    <w:rsid w:val="00CB2FC2"/>
    <w:rsid w:val="00CB3015"/>
    <w:rsid w:val="00CB30D2"/>
    <w:rsid w:val="00CB3167"/>
    <w:rsid w:val="00CB32F5"/>
    <w:rsid w:val="00CB3310"/>
    <w:rsid w:val="00CB33B0"/>
    <w:rsid w:val="00CB33F3"/>
    <w:rsid w:val="00CB343C"/>
    <w:rsid w:val="00CB364D"/>
    <w:rsid w:val="00CB36EA"/>
    <w:rsid w:val="00CB3804"/>
    <w:rsid w:val="00CB3855"/>
    <w:rsid w:val="00CB3A66"/>
    <w:rsid w:val="00CB3C4F"/>
    <w:rsid w:val="00CB3D89"/>
    <w:rsid w:val="00CB3E4D"/>
    <w:rsid w:val="00CB3E57"/>
    <w:rsid w:val="00CB41C2"/>
    <w:rsid w:val="00CB41C9"/>
    <w:rsid w:val="00CB4301"/>
    <w:rsid w:val="00CB431A"/>
    <w:rsid w:val="00CB43AC"/>
    <w:rsid w:val="00CB453B"/>
    <w:rsid w:val="00CB4558"/>
    <w:rsid w:val="00CB462D"/>
    <w:rsid w:val="00CB46EC"/>
    <w:rsid w:val="00CB49AA"/>
    <w:rsid w:val="00CB4A99"/>
    <w:rsid w:val="00CB4CB9"/>
    <w:rsid w:val="00CB4D34"/>
    <w:rsid w:val="00CB4D48"/>
    <w:rsid w:val="00CB4DC2"/>
    <w:rsid w:val="00CB4F34"/>
    <w:rsid w:val="00CB5027"/>
    <w:rsid w:val="00CB52CE"/>
    <w:rsid w:val="00CB5514"/>
    <w:rsid w:val="00CB55EB"/>
    <w:rsid w:val="00CB56D5"/>
    <w:rsid w:val="00CB5790"/>
    <w:rsid w:val="00CB5908"/>
    <w:rsid w:val="00CB59D6"/>
    <w:rsid w:val="00CB5A38"/>
    <w:rsid w:val="00CB5A70"/>
    <w:rsid w:val="00CB5A84"/>
    <w:rsid w:val="00CB5B4A"/>
    <w:rsid w:val="00CB5CDE"/>
    <w:rsid w:val="00CB5EA2"/>
    <w:rsid w:val="00CB5EE4"/>
    <w:rsid w:val="00CB60E0"/>
    <w:rsid w:val="00CB60F3"/>
    <w:rsid w:val="00CB6177"/>
    <w:rsid w:val="00CB652C"/>
    <w:rsid w:val="00CB6698"/>
    <w:rsid w:val="00CB6862"/>
    <w:rsid w:val="00CB689F"/>
    <w:rsid w:val="00CB6A48"/>
    <w:rsid w:val="00CB6A56"/>
    <w:rsid w:val="00CB6AAA"/>
    <w:rsid w:val="00CB6E93"/>
    <w:rsid w:val="00CB6F32"/>
    <w:rsid w:val="00CB6FD0"/>
    <w:rsid w:val="00CB6FD7"/>
    <w:rsid w:val="00CB7038"/>
    <w:rsid w:val="00CB70D0"/>
    <w:rsid w:val="00CB71D0"/>
    <w:rsid w:val="00CB7260"/>
    <w:rsid w:val="00CB72FC"/>
    <w:rsid w:val="00CB73EF"/>
    <w:rsid w:val="00CB7449"/>
    <w:rsid w:val="00CB766E"/>
    <w:rsid w:val="00CB76CF"/>
    <w:rsid w:val="00CB772B"/>
    <w:rsid w:val="00CB7758"/>
    <w:rsid w:val="00CB7851"/>
    <w:rsid w:val="00CB7929"/>
    <w:rsid w:val="00CB7AF1"/>
    <w:rsid w:val="00CB7C50"/>
    <w:rsid w:val="00CB7C72"/>
    <w:rsid w:val="00CB7DCD"/>
    <w:rsid w:val="00CB7ED4"/>
    <w:rsid w:val="00CB7FDD"/>
    <w:rsid w:val="00CBB4FA"/>
    <w:rsid w:val="00CC007C"/>
    <w:rsid w:val="00CC015F"/>
    <w:rsid w:val="00CC01A0"/>
    <w:rsid w:val="00CC035C"/>
    <w:rsid w:val="00CC03D2"/>
    <w:rsid w:val="00CC0434"/>
    <w:rsid w:val="00CC04BC"/>
    <w:rsid w:val="00CC0668"/>
    <w:rsid w:val="00CC0727"/>
    <w:rsid w:val="00CC08E0"/>
    <w:rsid w:val="00CC09C8"/>
    <w:rsid w:val="00CC09D8"/>
    <w:rsid w:val="00CC0A2F"/>
    <w:rsid w:val="00CC0A40"/>
    <w:rsid w:val="00CC0C19"/>
    <w:rsid w:val="00CC0CC7"/>
    <w:rsid w:val="00CC0DC4"/>
    <w:rsid w:val="00CC0F07"/>
    <w:rsid w:val="00CC0F3D"/>
    <w:rsid w:val="00CC126B"/>
    <w:rsid w:val="00CC13A4"/>
    <w:rsid w:val="00CC1485"/>
    <w:rsid w:val="00CC15CC"/>
    <w:rsid w:val="00CC1728"/>
    <w:rsid w:val="00CC1765"/>
    <w:rsid w:val="00CC1839"/>
    <w:rsid w:val="00CC1848"/>
    <w:rsid w:val="00CC1959"/>
    <w:rsid w:val="00CC1B19"/>
    <w:rsid w:val="00CC1B7C"/>
    <w:rsid w:val="00CC1C4A"/>
    <w:rsid w:val="00CC1CFD"/>
    <w:rsid w:val="00CC1DCA"/>
    <w:rsid w:val="00CC1DEC"/>
    <w:rsid w:val="00CC1E34"/>
    <w:rsid w:val="00CC1E52"/>
    <w:rsid w:val="00CC1FD0"/>
    <w:rsid w:val="00CC20FC"/>
    <w:rsid w:val="00CC229A"/>
    <w:rsid w:val="00CC2342"/>
    <w:rsid w:val="00CC24D8"/>
    <w:rsid w:val="00CC2587"/>
    <w:rsid w:val="00CC26B2"/>
    <w:rsid w:val="00CC270E"/>
    <w:rsid w:val="00CC28B0"/>
    <w:rsid w:val="00CC2A74"/>
    <w:rsid w:val="00CC2B41"/>
    <w:rsid w:val="00CC2B69"/>
    <w:rsid w:val="00CC2B71"/>
    <w:rsid w:val="00CC2BA5"/>
    <w:rsid w:val="00CC2BBF"/>
    <w:rsid w:val="00CC2FFA"/>
    <w:rsid w:val="00CC2FFF"/>
    <w:rsid w:val="00CC33D3"/>
    <w:rsid w:val="00CC34BC"/>
    <w:rsid w:val="00CC35B9"/>
    <w:rsid w:val="00CC366D"/>
    <w:rsid w:val="00CC3744"/>
    <w:rsid w:val="00CC378C"/>
    <w:rsid w:val="00CC3876"/>
    <w:rsid w:val="00CC3959"/>
    <w:rsid w:val="00CC3A67"/>
    <w:rsid w:val="00CC3A85"/>
    <w:rsid w:val="00CC3AB4"/>
    <w:rsid w:val="00CC3AE7"/>
    <w:rsid w:val="00CC3E49"/>
    <w:rsid w:val="00CC4076"/>
    <w:rsid w:val="00CC4135"/>
    <w:rsid w:val="00CC418C"/>
    <w:rsid w:val="00CC41E9"/>
    <w:rsid w:val="00CC434A"/>
    <w:rsid w:val="00CC434C"/>
    <w:rsid w:val="00CC4369"/>
    <w:rsid w:val="00CC43E5"/>
    <w:rsid w:val="00CC449D"/>
    <w:rsid w:val="00CC44C0"/>
    <w:rsid w:val="00CC44FF"/>
    <w:rsid w:val="00CC4583"/>
    <w:rsid w:val="00CC45C8"/>
    <w:rsid w:val="00CC45E2"/>
    <w:rsid w:val="00CC46AF"/>
    <w:rsid w:val="00CC4733"/>
    <w:rsid w:val="00CC48A2"/>
    <w:rsid w:val="00CC4AEE"/>
    <w:rsid w:val="00CC4BF1"/>
    <w:rsid w:val="00CC4C8D"/>
    <w:rsid w:val="00CC4CC2"/>
    <w:rsid w:val="00CC4CDF"/>
    <w:rsid w:val="00CC4F57"/>
    <w:rsid w:val="00CC4FAC"/>
    <w:rsid w:val="00CC51C1"/>
    <w:rsid w:val="00CC51D2"/>
    <w:rsid w:val="00CC53B2"/>
    <w:rsid w:val="00CC5957"/>
    <w:rsid w:val="00CC59C0"/>
    <w:rsid w:val="00CC5ABC"/>
    <w:rsid w:val="00CC5B16"/>
    <w:rsid w:val="00CC5F2F"/>
    <w:rsid w:val="00CC607B"/>
    <w:rsid w:val="00CC6470"/>
    <w:rsid w:val="00CC64B8"/>
    <w:rsid w:val="00CC654B"/>
    <w:rsid w:val="00CC67F4"/>
    <w:rsid w:val="00CC6AEE"/>
    <w:rsid w:val="00CC6C2B"/>
    <w:rsid w:val="00CC6CA2"/>
    <w:rsid w:val="00CC6E48"/>
    <w:rsid w:val="00CC6E75"/>
    <w:rsid w:val="00CC7001"/>
    <w:rsid w:val="00CC70FF"/>
    <w:rsid w:val="00CC71DF"/>
    <w:rsid w:val="00CC7365"/>
    <w:rsid w:val="00CC73F0"/>
    <w:rsid w:val="00CC7606"/>
    <w:rsid w:val="00CC7653"/>
    <w:rsid w:val="00CC7755"/>
    <w:rsid w:val="00CC7A93"/>
    <w:rsid w:val="00CC7B21"/>
    <w:rsid w:val="00CC7B6F"/>
    <w:rsid w:val="00CC7C0A"/>
    <w:rsid w:val="00CC7CBB"/>
    <w:rsid w:val="00CC7D05"/>
    <w:rsid w:val="00CC7D7D"/>
    <w:rsid w:val="00CC7F9B"/>
    <w:rsid w:val="00CD0110"/>
    <w:rsid w:val="00CD012B"/>
    <w:rsid w:val="00CD02EE"/>
    <w:rsid w:val="00CD0304"/>
    <w:rsid w:val="00CD05F0"/>
    <w:rsid w:val="00CD0697"/>
    <w:rsid w:val="00CD0784"/>
    <w:rsid w:val="00CD080B"/>
    <w:rsid w:val="00CD0A1F"/>
    <w:rsid w:val="00CD0AB3"/>
    <w:rsid w:val="00CD0B2D"/>
    <w:rsid w:val="00CD0B32"/>
    <w:rsid w:val="00CD0D0A"/>
    <w:rsid w:val="00CD0F98"/>
    <w:rsid w:val="00CD10F5"/>
    <w:rsid w:val="00CD138B"/>
    <w:rsid w:val="00CD13F5"/>
    <w:rsid w:val="00CD14BA"/>
    <w:rsid w:val="00CD166A"/>
    <w:rsid w:val="00CD17E2"/>
    <w:rsid w:val="00CD17F4"/>
    <w:rsid w:val="00CD18B2"/>
    <w:rsid w:val="00CD19B7"/>
    <w:rsid w:val="00CD1BB4"/>
    <w:rsid w:val="00CD1CDF"/>
    <w:rsid w:val="00CD1D04"/>
    <w:rsid w:val="00CD1D67"/>
    <w:rsid w:val="00CD1ED6"/>
    <w:rsid w:val="00CD1EFE"/>
    <w:rsid w:val="00CD2071"/>
    <w:rsid w:val="00CD23C0"/>
    <w:rsid w:val="00CD23F7"/>
    <w:rsid w:val="00CD2425"/>
    <w:rsid w:val="00CD2451"/>
    <w:rsid w:val="00CD25B9"/>
    <w:rsid w:val="00CD267A"/>
    <w:rsid w:val="00CD28BB"/>
    <w:rsid w:val="00CD2928"/>
    <w:rsid w:val="00CD2A36"/>
    <w:rsid w:val="00CD2A82"/>
    <w:rsid w:val="00CD2B5A"/>
    <w:rsid w:val="00CD2C3E"/>
    <w:rsid w:val="00CD2D4B"/>
    <w:rsid w:val="00CD2E39"/>
    <w:rsid w:val="00CD3154"/>
    <w:rsid w:val="00CD3174"/>
    <w:rsid w:val="00CD31EE"/>
    <w:rsid w:val="00CD327A"/>
    <w:rsid w:val="00CD33C4"/>
    <w:rsid w:val="00CD33E4"/>
    <w:rsid w:val="00CD34EE"/>
    <w:rsid w:val="00CD356F"/>
    <w:rsid w:val="00CD3883"/>
    <w:rsid w:val="00CD3916"/>
    <w:rsid w:val="00CD3A1A"/>
    <w:rsid w:val="00CD3C11"/>
    <w:rsid w:val="00CD3DCF"/>
    <w:rsid w:val="00CD3E30"/>
    <w:rsid w:val="00CD3F0C"/>
    <w:rsid w:val="00CD3F30"/>
    <w:rsid w:val="00CD3FEC"/>
    <w:rsid w:val="00CD4040"/>
    <w:rsid w:val="00CD416D"/>
    <w:rsid w:val="00CD428D"/>
    <w:rsid w:val="00CD429E"/>
    <w:rsid w:val="00CD43A8"/>
    <w:rsid w:val="00CD4535"/>
    <w:rsid w:val="00CD455C"/>
    <w:rsid w:val="00CD4638"/>
    <w:rsid w:val="00CD4707"/>
    <w:rsid w:val="00CD4A1A"/>
    <w:rsid w:val="00CD4B42"/>
    <w:rsid w:val="00CD4B61"/>
    <w:rsid w:val="00CD4BDA"/>
    <w:rsid w:val="00CD4DBD"/>
    <w:rsid w:val="00CD4E3A"/>
    <w:rsid w:val="00CD4E92"/>
    <w:rsid w:val="00CD50ED"/>
    <w:rsid w:val="00CD524C"/>
    <w:rsid w:val="00CD53DC"/>
    <w:rsid w:val="00CD54F4"/>
    <w:rsid w:val="00CD5583"/>
    <w:rsid w:val="00CD57BE"/>
    <w:rsid w:val="00CD59CE"/>
    <w:rsid w:val="00CD5A83"/>
    <w:rsid w:val="00CD5AFF"/>
    <w:rsid w:val="00CD5D54"/>
    <w:rsid w:val="00CD624D"/>
    <w:rsid w:val="00CD6520"/>
    <w:rsid w:val="00CD652C"/>
    <w:rsid w:val="00CD6534"/>
    <w:rsid w:val="00CD6581"/>
    <w:rsid w:val="00CD6595"/>
    <w:rsid w:val="00CD65EA"/>
    <w:rsid w:val="00CD6616"/>
    <w:rsid w:val="00CD6648"/>
    <w:rsid w:val="00CD67B5"/>
    <w:rsid w:val="00CD680E"/>
    <w:rsid w:val="00CD6848"/>
    <w:rsid w:val="00CD6878"/>
    <w:rsid w:val="00CD691A"/>
    <w:rsid w:val="00CD6A62"/>
    <w:rsid w:val="00CD6C76"/>
    <w:rsid w:val="00CD6DB7"/>
    <w:rsid w:val="00CD6E6D"/>
    <w:rsid w:val="00CD7019"/>
    <w:rsid w:val="00CD70A7"/>
    <w:rsid w:val="00CD72AC"/>
    <w:rsid w:val="00CD7300"/>
    <w:rsid w:val="00CD7362"/>
    <w:rsid w:val="00CD73F2"/>
    <w:rsid w:val="00CD746F"/>
    <w:rsid w:val="00CD7480"/>
    <w:rsid w:val="00CD7898"/>
    <w:rsid w:val="00CD7900"/>
    <w:rsid w:val="00CD7A1C"/>
    <w:rsid w:val="00CD7BD6"/>
    <w:rsid w:val="00CD7D12"/>
    <w:rsid w:val="00CD7E73"/>
    <w:rsid w:val="00CD7E80"/>
    <w:rsid w:val="00CE00D0"/>
    <w:rsid w:val="00CE024A"/>
    <w:rsid w:val="00CE02E1"/>
    <w:rsid w:val="00CE0351"/>
    <w:rsid w:val="00CE0603"/>
    <w:rsid w:val="00CE080B"/>
    <w:rsid w:val="00CE085E"/>
    <w:rsid w:val="00CE096A"/>
    <w:rsid w:val="00CE09EC"/>
    <w:rsid w:val="00CE0A06"/>
    <w:rsid w:val="00CE0A5E"/>
    <w:rsid w:val="00CE0B7C"/>
    <w:rsid w:val="00CE0BEE"/>
    <w:rsid w:val="00CE0C09"/>
    <w:rsid w:val="00CE0D4E"/>
    <w:rsid w:val="00CE0D72"/>
    <w:rsid w:val="00CE111C"/>
    <w:rsid w:val="00CE130B"/>
    <w:rsid w:val="00CE1362"/>
    <w:rsid w:val="00CE13B7"/>
    <w:rsid w:val="00CE13DE"/>
    <w:rsid w:val="00CE14C9"/>
    <w:rsid w:val="00CE153A"/>
    <w:rsid w:val="00CE15CC"/>
    <w:rsid w:val="00CE15D8"/>
    <w:rsid w:val="00CE17E5"/>
    <w:rsid w:val="00CE1837"/>
    <w:rsid w:val="00CE1968"/>
    <w:rsid w:val="00CE19D3"/>
    <w:rsid w:val="00CE1B36"/>
    <w:rsid w:val="00CE1E98"/>
    <w:rsid w:val="00CE1F03"/>
    <w:rsid w:val="00CE2077"/>
    <w:rsid w:val="00CE2114"/>
    <w:rsid w:val="00CE21DE"/>
    <w:rsid w:val="00CE24EC"/>
    <w:rsid w:val="00CE2549"/>
    <w:rsid w:val="00CE254F"/>
    <w:rsid w:val="00CE26E8"/>
    <w:rsid w:val="00CE298E"/>
    <w:rsid w:val="00CE29CD"/>
    <w:rsid w:val="00CE2A2B"/>
    <w:rsid w:val="00CE2AE5"/>
    <w:rsid w:val="00CE2DA6"/>
    <w:rsid w:val="00CE2ED3"/>
    <w:rsid w:val="00CE309F"/>
    <w:rsid w:val="00CE3353"/>
    <w:rsid w:val="00CE359A"/>
    <w:rsid w:val="00CE35AA"/>
    <w:rsid w:val="00CE3709"/>
    <w:rsid w:val="00CE3777"/>
    <w:rsid w:val="00CE37E1"/>
    <w:rsid w:val="00CE391C"/>
    <w:rsid w:val="00CE395E"/>
    <w:rsid w:val="00CE3993"/>
    <w:rsid w:val="00CE3A91"/>
    <w:rsid w:val="00CE3B51"/>
    <w:rsid w:val="00CE3D91"/>
    <w:rsid w:val="00CE3DF9"/>
    <w:rsid w:val="00CE3F4E"/>
    <w:rsid w:val="00CE407C"/>
    <w:rsid w:val="00CE42B4"/>
    <w:rsid w:val="00CE42E4"/>
    <w:rsid w:val="00CE45D8"/>
    <w:rsid w:val="00CE45FC"/>
    <w:rsid w:val="00CE4624"/>
    <w:rsid w:val="00CE4673"/>
    <w:rsid w:val="00CE4674"/>
    <w:rsid w:val="00CE4A4C"/>
    <w:rsid w:val="00CE4A83"/>
    <w:rsid w:val="00CE4CBC"/>
    <w:rsid w:val="00CE5053"/>
    <w:rsid w:val="00CE512D"/>
    <w:rsid w:val="00CE5143"/>
    <w:rsid w:val="00CE5180"/>
    <w:rsid w:val="00CE51DE"/>
    <w:rsid w:val="00CE53A6"/>
    <w:rsid w:val="00CE53B1"/>
    <w:rsid w:val="00CE5412"/>
    <w:rsid w:val="00CE56AF"/>
    <w:rsid w:val="00CE5A21"/>
    <w:rsid w:val="00CE5A6F"/>
    <w:rsid w:val="00CE5CF2"/>
    <w:rsid w:val="00CE5D72"/>
    <w:rsid w:val="00CE5DBC"/>
    <w:rsid w:val="00CE5ECE"/>
    <w:rsid w:val="00CE5EDC"/>
    <w:rsid w:val="00CE60A2"/>
    <w:rsid w:val="00CE60A3"/>
    <w:rsid w:val="00CE6157"/>
    <w:rsid w:val="00CE61A7"/>
    <w:rsid w:val="00CE6356"/>
    <w:rsid w:val="00CE6383"/>
    <w:rsid w:val="00CE6690"/>
    <w:rsid w:val="00CE66C2"/>
    <w:rsid w:val="00CE6761"/>
    <w:rsid w:val="00CE69EE"/>
    <w:rsid w:val="00CE6A37"/>
    <w:rsid w:val="00CE6A4E"/>
    <w:rsid w:val="00CE6A70"/>
    <w:rsid w:val="00CE6AD7"/>
    <w:rsid w:val="00CE6B0B"/>
    <w:rsid w:val="00CE6C19"/>
    <w:rsid w:val="00CE6D40"/>
    <w:rsid w:val="00CE6FFC"/>
    <w:rsid w:val="00CE7021"/>
    <w:rsid w:val="00CE70D6"/>
    <w:rsid w:val="00CE746B"/>
    <w:rsid w:val="00CE75C7"/>
    <w:rsid w:val="00CE7611"/>
    <w:rsid w:val="00CE773F"/>
    <w:rsid w:val="00CE79CF"/>
    <w:rsid w:val="00CE7C00"/>
    <w:rsid w:val="00CE7C98"/>
    <w:rsid w:val="00CE7C9C"/>
    <w:rsid w:val="00CE7DA3"/>
    <w:rsid w:val="00CE7F6F"/>
    <w:rsid w:val="00CF000D"/>
    <w:rsid w:val="00CF0041"/>
    <w:rsid w:val="00CF0137"/>
    <w:rsid w:val="00CF0194"/>
    <w:rsid w:val="00CF0349"/>
    <w:rsid w:val="00CF03EC"/>
    <w:rsid w:val="00CF05BC"/>
    <w:rsid w:val="00CF079A"/>
    <w:rsid w:val="00CF0924"/>
    <w:rsid w:val="00CF0B15"/>
    <w:rsid w:val="00CF0B6B"/>
    <w:rsid w:val="00CF0C05"/>
    <w:rsid w:val="00CF0C3D"/>
    <w:rsid w:val="00CF0C77"/>
    <w:rsid w:val="00CF0CDC"/>
    <w:rsid w:val="00CF0D75"/>
    <w:rsid w:val="00CF0DA4"/>
    <w:rsid w:val="00CF0DFB"/>
    <w:rsid w:val="00CF10C9"/>
    <w:rsid w:val="00CF1209"/>
    <w:rsid w:val="00CF12FF"/>
    <w:rsid w:val="00CF1418"/>
    <w:rsid w:val="00CF1500"/>
    <w:rsid w:val="00CF150F"/>
    <w:rsid w:val="00CF1696"/>
    <w:rsid w:val="00CF16CE"/>
    <w:rsid w:val="00CF17BE"/>
    <w:rsid w:val="00CF17DA"/>
    <w:rsid w:val="00CF190C"/>
    <w:rsid w:val="00CF1CCA"/>
    <w:rsid w:val="00CF1D84"/>
    <w:rsid w:val="00CF1EBF"/>
    <w:rsid w:val="00CF1F00"/>
    <w:rsid w:val="00CF1FFC"/>
    <w:rsid w:val="00CF2127"/>
    <w:rsid w:val="00CF2402"/>
    <w:rsid w:val="00CF24C3"/>
    <w:rsid w:val="00CF2548"/>
    <w:rsid w:val="00CF25D5"/>
    <w:rsid w:val="00CF2723"/>
    <w:rsid w:val="00CF2756"/>
    <w:rsid w:val="00CF27B4"/>
    <w:rsid w:val="00CF294C"/>
    <w:rsid w:val="00CF2AE4"/>
    <w:rsid w:val="00CF2B66"/>
    <w:rsid w:val="00CF2C88"/>
    <w:rsid w:val="00CF2CA6"/>
    <w:rsid w:val="00CF2DC1"/>
    <w:rsid w:val="00CF2E44"/>
    <w:rsid w:val="00CF2FF3"/>
    <w:rsid w:val="00CF30F0"/>
    <w:rsid w:val="00CF315C"/>
    <w:rsid w:val="00CF316B"/>
    <w:rsid w:val="00CF35B7"/>
    <w:rsid w:val="00CF35C0"/>
    <w:rsid w:val="00CF38AF"/>
    <w:rsid w:val="00CF38E6"/>
    <w:rsid w:val="00CF3A7B"/>
    <w:rsid w:val="00CF3B07"/>
    <w:rsid w:val="00CF3B89"/>
    <w:rsid w:val="00CF3D53"/>
    <w:rsid w:val="00CF3D73"/>
    <w:rsid w:val="00CF3D9A"/>
    <w:rsid w:val="00CF3E47"/>
    <w:rsid w:val="00CF3F34"/>
    <w:rsid w:val="00CF3FEE"/>
    <w:rsid w:val="00CF4198"/>
    <w:rsid w:val="00CF44C5"/>
    <w:rsid w:val="00CF44C6"/>
    <w:rsid w:val="00CF466F"/>
    <w:rsid w:val="00CF4705"/>
    <w:rsid w:val="00CF4753"/>
    <w:rsid w:val="00CF4763"/>
    <w:rsid w:val="00CF483D"/>
    <w:rsid w:val="00CF4902"/>
    <w:rsid w:val="00CF4A85"/>
    <w:rsid w:val="00CF4ABC"/>
    <w:rsid w:val="00CF4B6E"/>
    <w:rsid w:val="00CF4BA7"/>
    <w:rsid w:val="00CF4C81"/>
    <w:rsid w:val="00CF4C86"/>
    <w:rsid w:val="00CF4C87"/>
    <w:rsid w:val="00CF4CEF"/>
    <w:rsid w:val="00CF4D5C"/>
    <w:rsid w:val="00CF4D9F"/>
    <w:rsid w:val="00CF4FC6"/>
    <w:rsid w:val="00CF5038"/>
    <w:rsid w:val="00CF51EE"/>
    <w:rsid w:val="00CF5214"/>
    <w:rsid w:val="00CF52A5"/>
    <w:rsid w:val="00CF5393"/>
    <w:rsid w:val="00CF54FD"/>
    <w:rsid w:val="00CF553C"/>
    <w:rsid w:val="00CF55C6"/>
    <w:rsid w:val="00CF568B"/>
    <w:rsid w:val="00CF5707"/>
    <w:rsid w:val="00CF5A5C"/>
    <w:rsid w:val="00CF5B73"/>
    <w:rsid w:val="00CF5B85"/>
    <w:rsid w:val="00CF5CDC"/>
    <w:rsid w:val="00CF5D62"/>
    <w:rsid w:val="00CF5F04"/>
    <w:rsid w:val="00CF5F3A"/>
    <w:rsid w:val="00CF5FEF"/>
    <w:rsid w:val="00CF6249"/>
    <w:rsid w:val="00CF6388"/>
    <w:rsid w:val="00CF63DB"/>
    <w:rsid w:val="00CF658B"/>
    <w:rsid w:val="00CF65CC"/>
    <w:rsid w:val="00CF662B"/>
    <w:rsid w:val="00CF6718"/>
    <w:rsid w:val="00CF673D"/>
    <w:rsid w:val="00CF677C"/>
    <w:rsid w:val="00CF689F"/>
    <w:rsid w:val="00CF69B8"/>
    <w:rsid w:val="00CF6B16"/>
    <w:rsid w:val="00CF6D9C"/>
    <w:rsid w:val="00CF6DCD"/>
    <w:rsid w:val="00CF6F23"/>
    <w:rsid w:val="00CF726D"/>
    <w:rsid w:val="00CF731E"/>
    <w:rsid w:val="00CF7353"/>
    <w:rsid w:val="00CF736E"/>
    <w:rsid w:val="00CF748C"/>
    <w:rsid w:val="00CF74A1"/>
    <w:rsid w:val="00CF74F0"/>
    <w:rsid w:val="00CF751F"/>
    <w:rsid w:val="00CF7A0C"/>
    <w:rsid w:val="00CF7B42"/>
    <w:rsid w:val="00CF7E08"/>
    <w:rsid w:val="00CF7F2C"/>
    <w:rsid w:val="00D000D9"/>
    <w:rsid w:val="00D00218"/>
    <w:rsid w:val="00D0022A"/>
    <w:rsid w:val="00D00399"/>
    <w:rsid w:val="00D003BD"/>
    <w:rsid w:val="00D003BF"/>
    <w:rsid w:val="00D00496"/>
    <w:rsid w:val="00D004A6"/>
    <w:rsid w:val="00D005D0"/>
    <w:rsid w:val="00D006D1"/>
    <w:rsid w:val="00D00710"/>
    <w:rsid w:val="00D008CA"/>
    <w:rsid w:val="00D00A43"/>
    <w:rsid w:val="00D00DE3"/>
    <w:rsid w:val="00D00E35"/>
    <w:rsid w:val="00D00E51"/>
    <w:rsid w:val="00D00F4C"/>
    <w:rsid w:val="00D00F8D"/>
    <w:rsid w:val="00D01068"/>
    <w:rsid w:val="00D01175"/>
    <w:rsid w:val="00D0124D"/>
    <w:rsid w:val="00D01264"/>
    <w:rsid w:val="00D01300"/>
    <w:rsid w:val="00D01420"/>
    <w:rsid w:val="00D01447"/>
    <w:rsid w:val="00D0168E"/>
    <w:rsid w:val="00D01729"/>
    <w:rsid w:val="00D017FA"/>
    <w:rsid w:val="00D018E2"/>
    <w:rsid w:val="00D0197A"/>
    <w:rsid w:val="00D01D8C"/>
    <w:rsid w:val="00D01DA6"/>
    <w:rsid w:val="00D01DED"/>
    <w:rsid w:val="00D01E3F"/>
    <w:rsid w:val="00D01E6C"/>
    <w:rsid w:val="00D01F5E"/>
    <w:rsid w:val="00D021A3"/>
    <w:rsid w:val="00D02237"/>
    <w:rsid w:val="00D026B1"/>
    <w:rsid w:val="00D026CA"/>
    <w:rsid w:val="00D027DD"/>
    <w:rsid w:val="00D02825"/>
    <w:rsid w:val="00D02A10"/>
    <w:rsid w:val="00D02A19"/>
    <w:rsid w:val="00D02B3C"/>
    <w:rsid w:val="00D02BE3"/>
    <w:rsid w:val="00D02D1D"/>
    <w:rsid w:val="00D02D8C"/>
    <w:rsid w:val="00D02EDE"/>
    <w:rsid w:val="00D02EEA"/>
    <w:rsid w:val="00D03020"/>
    <w:rsid w:val="00D03022"/>
    <w:rsid w:val="00D03140"/>
    <w:rsid w:val="00D03185"/>
    <w:rsid w:val="00D03291"/>
    <w:rsid w:val="00D03316"/>
    <w:rsid w:val="00D03321"/>
    <w:rsid w:val="00D03353"/>
    <w:rsid w:val="00D033D9"/>
    <w:rsid w:val="00D034FB"/>
    <w:rsid w:val="00D03508"/>
    <w:rsid w:val="00D0352D"/>
    <w:rsid w:val="00D035A4"/>
    <w:rsid w:val="00D036A3"/>
    <w:rsid w:val="00D03710"/>
    <w:rsid w:val="00D038A3"/>
    <w:rsid w:val="00D0393B"/>
    <w:rsid w:val="00D03967"/>
    <w:rsid w:val="00D03A5F"/>
    <w:rsid w:val="00D03A8C"/>
    <w:rsid w:val="00D04186"/>
    <w:rsid w:val="00D04203"/>
    <w:rsid w:val="00D04399"/>
    <w:rsid w:val="00D043CC"/>
    <w:rsid w:val="00D0440B"/>
    <w:rsid w:val="00D04415"/>
    <w:rsid w:val="00D04486"/>
    <w:rsid w:val="00D044E4"/>
    <w:rsid w:val="00D044E6"/>
    <w:rsid w:val="00D045DD"/>
    <w:rsid w:val="00D04657"/>
    <w:rsid w:val="00D04717"/>
    <w:rsid w:val="00D0473C"/>
    <w:rsid w:val="00D047F8"/>
    <w:rsid w:val="00D04871"/>
    <w:rsid w:val="00D04881"/>
    <w:rsid w:val="00D04936"/>
    <w:rsid w:val="00D04B16"/>
    <w:rsid w:val="00D04B95"/>
    <w:rsid w:val="00D0503D"/>
    <w:rsid w:val="00D05051"/>
    <w:rsid w:val="00D05079"/>
    <w:rsid w:val="00D05144"/>
    <w:rsid w:val="00D051BC"/>
    <w:rsid w:val="00D05266"/>
    <w:rsid w:val="00D05314"/>
    <w:rsid w:val="00D0548C"/>
    <w:rsid w:val="00D055B1"/>
    <w:rsid w:val="00D055CF"/>
    <w:rsid w:val="00D055F5"/>
    <w:rsid w:val="00D0587D"/>
    <w:rsid w:val="00D058D3"/>
    <w:rsid w:val="00D05B6C"/>
    <w:rsid w:val="00D05B9E"/>
    <w:rsid w:val="00D05BB7"/>
    <w:rsid w:val="00D05D0C"/>
    <w:rsid w:val="00D05D7B"/>
    <w:rsid w:val="00D05E6F"/>
    <w:rsid w:val="00D05E8A"/>
    <w:rsid w:val="00D05EC0"/>
    <w:rsid w:val="00D05FDD"/>
    <w:rsid w:val="00D062E7"/>
    <w:rsid w:val="00D06354"/>
    <w:rsid w:val="00D063F8"/>
    <w:rsid w:val="00D066D6"/>
    <w:rsid w:val="00D067BD"/>
    <w:rsid w:val="00D0691C"/>
    <w:rsid w:val="00D06B11"/>
    <w:rsid w:val="00D06BCC"/>
    <w:rsid w:val="00D06E1C"/>
    <w:rsid w:val="00D06F51"/>
    <w:rsid w:val="00D07296"/>
    <w:rsid w:val="00D072E5"/>
    <w:rsid w:val="00D0750F"/>
    <w:rsid w:val="00D07517"/>
    <w:rsid w:val="00D075AA"/>
    <w:rsid w:val="00D07752"/>
    <w:rsid w:val="00D077DD"/>
    <w:rsid w:val="00D077DF"/>
    <w:rsid w:val="00D079AB"/>
    <w:rsid w:val="00D07D3F"/>
    <w:rsid w:val="00D07DA4"/>
    <w:rsid w:val="00D07DC0"/>
    <w:rsid w:val="00D07ECE"/>
    <w:rsid w:val="00D07EEE"/>
    <w:rsid w:val="00D07F98"/>
    <w:rsid w:val="00D100A3"/>
    <w:rsid w:val="00D10167"/>
    <w:rsid w:val="00D102BB"/>
    <w:rsid w:val="00D103E2"/>
    <w:rsid w:val="00D104E0"/>
    <w:rsid w:val="00D106BB"/>
    <w:rsid w:val="00D1072A"/>
    <w:rsid w:val="00D107B1"/>
    <w:rsid w:val="00D10841"/>
    <w:rsid w:val="00D108BC"/>
    <w:rsid w:val="00D109A9"/>
    <w:rsid w:val="00D10A8A"/>
    <w:rsid w:val="00D10ABF"/>
    <w:rsid w:val="00D10B53"/>
    <w:rsid w:val="00D10D93"/>
    <w:rsid w:val="00D10E64"/>
    <w:rsid w:val="00D10E95"/>
    <w:rsid w:val="00D10FDF"/>
    <w:rsid w:val="00D11088"/>
    <w:rsid w:val="00D11156"/>
    <w:rsid w:val="00D111A6"/>
    <w:rsid w:val="00D111E2"/>
    <w:rsid w:val="00D111F1"/>
    <w:rsid w:val="00D11339"/>
    <w:rsid w:val="00D1135F"/>
    <w:rsid w:val="00D11491"/>
    <w:rsid w:val="00D114A3"/>
    <w:rsid w:val="00D117E4"/>
    <w:rsid w:val="00D11810"/>
    <w:rsid w:val="00D11A5F"/>
    <w:rsid w:val="00D11A97"/>
    <w:rsid w:val="00D11AA5"/>
    <w:rsid w:val="00D11ADB"/>
    <w:rsid w:val="00D11B0D"/>
    <w:rsid w:val="00D11BBD"/>
    <w:rsid w:val="00D11BFB"/>
    <w:rsid w:val="00D11CEB"/>
    <w:rsid w:val="00D11DC1"/>
    <w:rsid w:val="00D11DD4"/>
    <w:rsid w:val="00D11FB2"/>
    <w:rsid w:val="00D12017"/>
    <w:rsid w:val="00D1206F"/>
    <w:rsid w:val="00D121AD"/>
    <w:rsid w:val="00D1223A"/>
    <w:rsid w:val="00D12272"/>
    <w:rsid w:val="00D122A5"/>
    <w:rsid w:val="00D1232B"/>
    <w:rsid w:val="00D123E2"/>
    <w:rsid w:val="00D1240B"/>
    <w:rsid w:val="00D12659"/>
    <w:rsid w:val="00D12661"/>
    <w:rsid w:val="00D12751"/>
    <w:rsid w:val="00D1295E"/>
    <w:rsid w:val="00D129E2"/>
    <w:rsid w:val="00D12A34"/>
    <w:rsid w:val="00D12B30"/>
    <w:rsid w:val="00D12B5F"/>
    <w:rsid w:val="00D12D8C"/>
    <w:rsid w:val="00D12D96"/>
    <w:rsid w:val="00D12E36"/>
    <w:rsid w:val="00D12E96"/>
    <w:rsid w:val="00D12F2E"/>
    <w:rsid w:val="00D12F40"/>
    <w:rsid w:val="00D12FA9"/>
    <w:rsid w:val="00D130B1"/>
    <w:rsid w:val="00D13150"/>
    <w:rsid w:val="00D1329E"/>
    <w:rsid w:val="00D133C9"/>
    <w:rsid w:val="00D13564"/>
    <w:rsid w:val="00D135E6"/>
    <w:rsid w:val="00D13672"/>
    <w:rsid w:val="00D13758"/>
    <w:rsid w:val="00D13AF4"/>
    <w:rsid w:val="00D13FE2"/>
    <w:rsid w:val="00D1400F"/>
    <w:rsid w:val="00D1404A"/>
    <w:rsid w:val="00D140CD"/>
    <w:rsid w:val="00D141CF"/>
    <w:rsid w:val="00D14213"/>
    <w:rsid w:val="00D1445E"/>
    <w:rsid w:val="00D144AA"/>
    <w:rsid w:val="00D14597"/>
    <w:rsid w:val="00D146FC"/>
    <w:rsid w:val="00D1484C"/>
    <w:rsid w:val="00D14898"/>
    <w:rsid w:val="00D14991"/>
    <w:rsid w:val="00D149BA"/>
    <w:rsid w:val="00D14A86"/>
    <w:rsid w:val="00D14BBE"/>
    <w:rsid w:val="00D14C84"/>
    <w:rsid w:val="00D14CAB"/>
    <w:rsid w:val="00D14D79"/>
    <w:rsid w:val="00D14E9B"/>
    <w:rsid w:val="00D14F6D"/>
    <w:rsid w:val="00D15054"/>
    <w:rsid w:val="00D150F1"/>
    <w:rsid w:val="00D1513B"/>
    <w:rsid w:val="00D151FC"/>
    <w:rsid w:val="00D1522A"/>
    <w:rsid w:val="00D152B7"/>
    <w:rsid w:val="00D1530D"/>
    <w:rsid w:val="00D153B0"/>
    <w:rsid w:val="00D15532"/>
    <w:rsid w:val="00D15970"/>
    <w:rsid w:val="00D15B4E"/>
    <w:rsid w:val="00D15BD5"/>
    <w:rsid w:val="00D15DE5"/>
    <w:rsid w:val="00D15EE7"/>
    <w:rsid w:val="00D15F82"/>
    <w:rsid w:val="00D1602C"/>
    <w:rsid w:val="00D160B0"/>
    <w:rsid w:val="00D16223"/>
    <w:rsid w:val="00D1630D"/>
    <w:rsid w:val="00D163B2"/>
    <w:rsid w:val="00D1643F"/>
    <w:rsid w:val="00D165D0"/>
    <w:rsid w:val="00D165D9"/>
    <w:rsid w:val="00D16A93"/>
    <w:rsid w:val="00D16AFF"/>
    <w:rsid w:val="00D16DDD"/>
    <w:rsid w:val="00D16E48"/>
    <w:rsid w:val="00D16ECA"/>
    <w:rsid w:val="00D16FCB"/>
    <w:rsid w:val="00D170FB"/>
    <w:rsid w:val="00D172AB"/>
    <w:rsid w:val="00D1731B"/>
    <w:rsid w:val="00D1752D"/>
    <w:rsid w:val="00D17551"/>
    <w:rsid w:val="00D1755A"/>
    <w:rsid w:val="00D1777E"/>
    <w:rsid w:val="00D1787E"/>
    <w:rsid w:val="00D1796E"/>
    <w:rsid w:val="00D17979"/>
    <w:rsid w:val="00D17A23"/>
    <w:rsid w:val="00D17B96"/>
    <w:rsid w:val="00D17E08"/>
    <w:rsid w:val="00D17E4E"/>
    <w:rsid w:val="00D17EED"/>
    <w:rsid w:val="00D17F29"/>
    <w:rsid w:val="00D17F94"/>
    <w:rsid w:val="00D2001B"/>
    <w:rsid w:val="00D20038"/>
    <w:rsid w:val="00D2007D"/>
    <w:rsid w:val="00D20150"/>
    <w:rsid w:val="00D20190"/>
    <w:rsid w:val="00D203EE"/>
    <w:rsid w:val="00D2055B"/>
    <w:rsid w:val="00D2058F"/>
    <w:rsid w:val="00D205A0"/>
    <w:rsid w:val="00D20603"/>
    <w:rsid w:val="00D207DB"/>
    <w:rsid w:val="00D207E0"/>
    <w:rsid w:val="00D20B61"/>
    <w:rsid w:val="00D20C14"/>
    <w:rsid w:val="00D20C58"/>
    <w:rsid w:val="00D20D4C"/>
    <w:rsid w:val="00D20D63"/>
    <w:rsid w:val="00D20DCD"/>
    <w:rsid w:val="00D20E40"/>
    <w:rsid w:val="00D20F81"/>
    <w:rsid w:val="00D20FC4"/>
    <w:rsid w:val="00D20FCE"/>
    <w:rsid w:val="00D2125B"/>
    <w:rsid w:val="00D21292"/>
    <w:rsid w:val="00D2144C"/>
    <w:rsid w:val="00D214B4"/>
    <w:rsid w:val="00D2153E"/>
    <w:rsid w:val="00D21763"/>
    <w:rsid w:val="00D21800"/>
    <w:rsid w:val="00D21821"/>
    <w:rsid w:val="00D21B31"/>
    <w:rsid w:val="00D21C87"/>
    <w:rsid w:val="00D21CE3"/>
    <w:rsid w:val="00D21D98"/>
    <w:rsid w:val="00D21E12"/>
    <w:rsid w:val="00D21E76"/>
    <w:rsid w:val="00D21E7A"/>
    <w:rsid w:val="00D21EA0"/>
    <w:rsid w:val="00D21FE5"/>
    <w:rsid w:val="00D22029"/>
    <w:rsid w:val="00D22083"/>
    <w:rsid w:val="00D223FC"/>
    <w:rsid w:val="00D22470"/>
    <w:rsid w:val="00D22659"/>
    <w:rsid w:val="00D226AB"/>
    <w:rsid w:val="00D226F3"/>
    <w:rsid w:val="00D2282F"/>
    <w:rsid w:val="00D228BA"/>
    <w:rsid w:val="00D22B74"/>
    <w:rsid w:val="00D22B90"/>
    <w:rsid w:val="00D22D2A"/>
    <w:rsid w:val="00D22ED9"/>
    <w:rsid w:val="00D22F00"/>
    <w:rsid w:val="00D22FE5"/>
    <w:rsid w:val="00D230AD"/>
    <w:rsid w:val="00D230D9"/>
    <w:rsid w:val="00D23224"/>
    <w:rsid w:val="00D2334F"/>
    <w:rsid w:val="00D2347B"/>
    <w:rsid w:val="00D235C2"/>
    <w:rsid w:val="00D23624"/>
    <w:rsid w:val="00D2367F"/>
    <w:rsid w:val="00D236E0"/>
    <w:rsid w:val="00D23703"/>
    <w:rsid w:val="00D2372C"/>
    <w:rsid w:val="00D23747"/>
    <w:rsid w:val="00D23837"/>
    <w:rsid w:val="00D23926"/>
    <w:rsid w:val="00D239F7"/>
    <w:rsid w:val="00D23A81"/>
    <w:rsid w:val="00D23A85"/>
    <w:rsid w:val="00D23AEF"/>
    <w:rsid w:val="00D23B9E"/>
    <w:rsid w:val="00D23BF4"/>
    <w:rsid w:val="00D23DD2"/>
    <w:rsid w:val="00D23E1A"/>
    <w:rsid w:val="00D24049"/>
    <w:rsid w:val="00D24203"/>
    <w:rsid w:val="00D2437E"/>
    <w:rsid w:val="00D243F7"/>
    <w:rsid w:val="00D2442B"/>
    <w:rsid w:val="00D24446"/>
    <w:rsid w:val="00D24464"/>
    <w:rsid w:val="00D2449D"/>
    <w:rsid w:val="00D24529"/>
    <w:rsid w:val="00D248F0"/>
    <w:rsid w:val="00D24B8B"/>
    <w:rsid w:val="00D24E8C"/>
    <w:rsid w:val="00D24EAF"/>
    <w:rsid w:val="00D24F7D"/>
    <w:rsid w:val="00D250C7"/>
    <w:rsid w:val="00D2512A"/>
    <w:rsid w:val="00D25242"/>
    <w:rsid w:val="00D2550E"/>
    <w:rsid w:val="00D25567"/>
    <w:rsid w:val="00D256EB"/>
    <w:rsid w:val="00D2578C"/>
    <w:rsid w:val="00D257CC"/>
    <w:rsid w:val="00D25867"/>
    <w:rsid w:val="00D25881"/>
    <w:rsid w:val="00D25B68"/>
    <w:rsid w:val="00D25BF6"/>
    <w:rsid w:val="00D25E3E"/>
    <w:rsid w:val="00D25F84"/>
    <w:rsid w:val="00D26066"/>
    <w:rsid w:val="00D26102"/>
    <w:rsid w:val="00D26251"/>
    <w:rsid w:val="00D26295"/>
    <w:rsid w:val="00D26437"/>
    <w:rsid w:val="00D26562"/>
    <w:rsid w:val="00D26607"/>
    <w:rsid w:val="00D26673"/>
    <w:rsid w:val="00D266EC"/>
    <w:rsid w:val="00D26887"/>
    <w:rsid w:val="00D26994"/>
    <w:rsid w:val="00D269A6"/>
    <w:rsid w:val="00D26D0F"/>
    <w:rsid w:val="00D26D33"/>
    <w:rsid w:val="00D26F2F"/>
    <w:rsid w:val="00D270C0"/>
    <w:rsid w:val="00D270C7"/>
    <w:rsid w:val="00D274B1"/>
    <w:rsid w:val="00D2751F"/>
    <w:rsid w:val="00D275A8"/>
    <w:rsid w:val="00D27892"/>
    <w:rsid w:val="00D27901"/>
    <w:rsid w:val="00D279BC"/>
    <w:rsid w:val="00D27A15"/>
    <w:rsid w:val="00D27BFA"/>
    <w:rsid w:val="00D27D37"/>
    <w:rsid w:val="00D27D9A"/>
    <w:rsid w:val="00D27E9F"/>
    <w:rsid w:val="00D27FA2"/>
    <w:rsid w:val="00D27FEE"/>
    <w:rsid w:val="00D2A91C"/>
    <w:rsid w:val="00D30066"/>
    <w:rsid w:val="00D3007F"/>
    <w:rsid w:val="00D3011F"/>
    <w:rsid w:val="00D3013B"/>
    <w:rsid w:val="00D30148"/>
    <w:rsid w:val="00D30269"/>
    <w:rsid w:val="00D3026E"/>
    <w:rsid w:val="00D30388"/>
    <w:rsid w:val="00D30500"/>
    <w:rsid w:val="00D3053B"/>
    <w:rsid w:val="00D30611"/>
    <w:rsid w:val="00D3077E"/>
    <w:rsid w:val="00D308BE"/>
    <w:rsid w:val="00D308C7"/>
    <w:rsid w:val="00D3095A"/>
    <w:rsid w:val="00D30A91"/>
    <w:rsid w:val="00D30B7A"/>
    <w:rsid w:val="00D30B8A"/>
    <w:rsid w:val="00D30CD7"/>
    <w:rsid w:val="00D30D46"/>
    <w:rsid w:val="00D30E6A"/>
    <w:rsid w:val="00D30E84"/>
    <w:rsid w:val="00D30FD6"/>
    <w:rsid w:val="00D3108F"/>
    <w:rsid w:val="00D3115A"/>
    <w:rsid w:val="00D3138B"/>
    <w:rsid w:val="00D3164C"/>
    <w:rsid w:val="00D317AF"/>
    <w:rsid w:val="00D318CB"/>
    <w:rsid w:val="00D31A4E"/>
    <w:rsid w:val="00D31A85"/>
    <w:rsid w:val="00D31A86"/>
    <w:rsid w:val="00D321B2"/>
    <w:rsid w:val="00D32218"/>
    <w:rsid w:val="00D32260"/>
    <w:rsid w:val="00D32377"/>
    <w:rsid w:val="00D32481"/>
    <w:rsid w:val="00D324BD"/>
    <w:rsid w:val="00D32577"/>
    <w:rsid w:val="00D326B3"/>
    <w:rsid w:val="00D327CA"/>
    <w:rsid w:val="00D3280F"/>
    <w:rsid w:val="00D3283A"/>
    <w:rsid w:val="00D328C3"/>
    <w:rsid w:val="00D32AA6"/>
    <w:rsid w:val="00D32B9D"/>
    <w:rsid w:val="00D32BBB"/>
    <w:rsid w:val="00D32C31"/>
    <w:rsid w:val="00D32CA3"/>
    <w:rsid w:val="00D32CD8"/>
    <w:rsid w:val="00D32F1B"/>
    <w:rsid w:val="00D32F2D"/>
    <w:rsid w:val="00D330D6"/>
    <w:rsid w:val="00D331F4"/>
    <w:rsid w:val="00D33237"/>
    <w:rsid w:val="00D3323A"/>
    <w:rsid w:val="00D3328B"/>
    <w:rsid w:val="00D332A1"/>
    <w:rsid w:val="00D333BF"/>
    <w:rsid w:val="00D334D2"/>
    <w:rsid w:val="00D33595"/>
    <w:rsid w:val="00D335B6"/>
    <w:rsid w:val="00D33636"/>
    <w:rsid w:val="00D336B2"/>
    <w:rsid w:val="00D3389C"/>
    <w:rsid w:val="00D3389E"/>
    <w:rsid w:val="00D33A15"/>
    <w:rsid w:val="00D33BB4"/>
    <w:rsid w:val="00D33C77"/>
    <w:rsid w:val="00D33E4E"/>
    <w:rsid w:val="00D3402E"/>
    <w:rsid w:val="00D341A9"/>
    <w:rsid w:val="00D3423D"/>
    <w:rsid w:val="00D34454"/>
    <w:rsid w:val="00D344EB"/>
    <w:rsid w:val="00D344F2"/>
    <w:rsid w:val="00D34676"/>
    <w:rsid w:val="00D34B67"/>
    <w:rsid w:val="00D34C1B"/>
    <w:rsid w:val="00D34E9E"/>
    <w:rsid w:val="00D351E5"/>
    <w:rsid w:val="00D35266"/>
    <w:rsid w:val="00D35528"/>
    <w:rsid w:val="00D35542"/>
    <w:rsid w:val="00D355CA"/>
    <w:rsid w:val="00D3566F"/>
    <w:rsid w:val="00D357DA"/>
    <w:rsid w:val="00D357EE"/>
    <w:rsid w:val="00D358A4"/>
    <w:rsid w:val="00D35971"/>
    <w:rsid w:val="00D35B28"/>
    <w:rsid w:val="00D35DC7"/>
    <w:rsid w:val="00D35F08"/>
    <w:rsid w:val="00D36131"/>
    <w:rsid w:val="00D36198"/>
    <w:rsid w:val="00D36211"/>
    <w:rsid w:val="00D36214"/>
    <w:rsid w:val="00D363A3"/>
    <w:rsid w:val="00D36519"/>
    <w:rsid w:val="00D365EC"/>
    <w:rsid w:val="00D3665A"/>
    <w:rsid w:val="00D366AC"/>
    <w:rsid w:val="00D36868"/>
    <w:rsid w:val="00D36909"/>
    <w:rsid w:val="00D369E9"/>
    <w:rsid w:val="00D36AF0"/>
    <w:rsid w:val="00D36C0D"/>
    <w:rsid w:val="00D36C22"/>
    <w:rsid w:val="00D36C8B"/>
    <w:rsid w:val="00D36D9A"/>
    <w:rsid w:val="00D36E62"/>
    <w:rsid w:val="00D36FC4"/>
    <w:rsid w:val="00D370E5"/>
    <w:rsid w:val="00D371A7"/>
    <w:rsid w:val="00D37221"/>
    <w:rsid w:val="00D37228"/>
    <w:rsid w:val="00D373B3"/>
    <w:rsid w:val="00D37558"/>
    <w:rsid w:val="00D37594"/>
    <w:rsid w:val="00D37683"/>
    <w:rsid w:val="00D3769B"/>
    <w:rsid w:val="00D377FC"/>
    <w:rsid w:val="00D37884"/>
    <w:rsid w:val="00D37929"/>
    <w:rsid w:val="00D37C6F"/>
    <w:rsid w:val="00D37D33"/>
    <w:rsid w:val="00D37DB1"/>
    <w:rsid w:val="00D37E8E"/>
    <w:rsid w:val="00D37FBD"/>
    <w:rsid w:val="00D3F04A"/>
    <w:rsid w:val="00D4018A"/>
    <w:rsid w:val="00D401F6"/>
    <w:rsid w:val="00D4023A"/>
    <w:rsid w:val="00D40269"/>
    <w:rsid w:val="00D40338"/>
    <w:rsid w:val="00D403CE"/>
    <w:rsid w:val="00D40413"/>
    <w:rsid w:val="00D405FC"/>
    <w:rsid w:val="00D40704"/>
    <w:rsid w:val="00D40AD9"/>
    <w:rsid w:val="00D40C59"/>
    <w:rsid w:val="00D40D14"/>
    <w:rsid w:val="00D40ED7"/>
    <w:rsid w:val="00D40F19"/>
    <w:rsid w:val="00D41010"/>
    <w:rsid w:val="00D41106"/>
    <w:rsid w:val="00D4148E"/>
    <w:rsid w:val="00D416BD"/>
    <w:rsid w:val="00D417D7"/>
    <w:rsid w:val="00D419A1"/>
    <w:rsid w:val="00D41ACC"/>
    <w:rsid w:val="00D41AE6"/>
    <w:rsid w:val="00D41CF8"/>
    <w:rsid w:val="00D41DBA"/>
    <w:rsid w:val="00D41DCE"/>
    <w:rsid w:val="00D41DD7"/>
    <w:rsid w:val="00D41EB2"/>
    <w:rsid w:val="00D4212C"/>
    <w:rsid w:val="00D42171"/>
    <w:rsid w:val="00D4250C"/>
    <w:rsid w:val="00D42600"/>
    <w:rsid w:val="00D426FE"/>
    <w:rsid w:val="00D428C3"/>
    <w:rsid w:val="00D428E4"/>
    <w:rsid w:val="00D429B0"/>
    <w:rsid w:val="00D429C5"/>
    <w:rsid w:val="00D42A63"/>
    <w:rsid w:val="00D42ACC"/>
    <w:rsid w:val="00D42B12"/>
    <w:rsid w:val="00D42C00"/>
    <w:rsid w:val="00D42DA9"/>
    <w:rsid w:val="00D42E23"/>
    <w:rsid w:val="00D42FA5"/>
    <w:rsid w:val="00D43141"/>
    <w:rsid w:val="00D431AB"/>
    <w:rsid w:val="00D4322C"/>
    <w:rsid w:val="00D432E7"/>
    <w:rsid w:val="00D4333D"/>
    <w:rsid w:val="00D434F8"/>
    <w:rsid w:val="00D435B6"/>
    <w:rsid w:val="00D4361F"/>
    <w:rsid w:val="00D4369E"/>
    <w:rsid w:val="00D436B5"/>
    <w:rsid w:val="00D437D3"/>
    <w:rsid w:val="00D4387E"/>
    <w:rsid w:val="00D439A9"/>
    <w:rsid w:val="00D439BF"/>
    <w:rsid w:val="00D43A85"/>
    <w:rsid w:val="00D43ACE"/>
    <w:rsid w:val="00D43EC1"/>
    <w:rsid w:val="00D43F8B"/>
    <w:rsid w:val="00D43F96"/>
    <w:rsid w:val="00D4412D"/>
    <w:rsid w:val="00D4416B"/>
    <w:rsid w:val="00D441B8"/>
    <w:rsid w:val="00D4432F"/>
    <w:rsid w:val="00D443B5"/>
    <w:rsid w:val="00D4442B"/>
    <w:rsid w:val="00D444D3"/>
    <w:rsid w:val="00D4462D"/>
    <w:rsid w:val="00D447E2"/>
    <w:rsid w:val="00D44806"/>
    <w:rsid w:val="00D44807"/>
    <w:rsid w:val="00D44817"/>
    <w:rsid w:val="00D44928"/>
    <w:rsid w:val="00D44B20"/>
    <w:rsid w:val="00D44B50"/>
    <w:rsid w:val="00D44C14"/>
    <w:rsid w:val="00D44C77"/>
    <w:rsid w:val="00D44CD8"/>
    <w:rsid w:val="00D44DA8"/>
    <w:rsid w:val="00D44DD0"/>
    <w:rsid w:val="00D44DD9"/>
    <w:rsid w:val="00D44DFE"/>
    <w:rsid w:val="00D44E86"/>
    <w:rsid w:val="00D44EC4"/>
    <w:rsid w:val="00D44EE9"/>
    <w:rsid w:val="00D44F6F"/>
    <w:rsid w:val="00D45001"/>
    <w:rsid w:val="00D45097"/>
    <w:rsid w:val="00D450DF"/>
    <w:rsid w:val="00D45108"/>
    <w:rsid w:val="00D4510D"/>
    <w:rsid w:val="00D451C4"/>
    <w:rsid w:val="00D45275"/>
    <w:rsid w:val="00D452A0"/>
    <w:rsid w:val="00D45324"/>
    <w:rsid w:val="00D45449"/>
    <w:rsid w:val="00D4562B"/>
    <w:rsid w:val="00D456FF"/>
    <w:rsid w:val="00D457CA"/>
    <w:rsid w:val="00D45858"/>
    <w:rsid w:val="00D458F2"/>
    <w:rsid w:val="00D459AE"/>
    <w:rsid w:val="00D45C58"/>
    <w:rsid w:val="00D45C5D"/>
    <w:rsid w:val="00D45DFE"/>
    <w:rsid w:val="00D45F19"/>
    <w:rsid w:val="00D45F1B"/>
    <w:rsid w:val="00D4613F"/>
    <w:rsid w:val="00D463D5"/>
    <w:rsid w:val="00D463F7"/>
    <w:rsid w:val="00D463F8"/>
    <w:rsid w:val="00D46564"/>
    <w:rsid w:val="00D4656D"/>
    <w:rsid w:val="00D4683C"/>
    <w:rsid w:val="00D4686F"/>
    <w:rsid w:val="00D468CB"/>
    <w:rsid w:val="00D469AC"/>
    <w:rsid w:val="00D469D2"/>
    <w:rsid w:val="00D46A4E"/>
    <w:rsid w:val="00D46AF3"/>
    <w:rsid w:val="00D46B71"/>
    <w:rsid w:val="00D46CB7"/>
    <w:rsid w:val="00D46D65"/>
    <w:rsid w:val="00D46DA7"/>
    <w:rsid w:val="00D4705F"/>
    <w:rsid w:val="00D47112"/>
    <w:rsid w:val="00D47202"/>
    <w:rsid w:val="00D47234"/>
    <w:rsid w:val="00D472B0"/>
    <w:rsid w:val="00D472C9"/>
    <w:rsid w:val="00D474BD"/>
    <w:rsid w:val="00D474C2"/>
    <w:rsid w:val="00D474F1"/>
    <w:rsid w:val="00D4769B"/>
    <w:rsid w:val="00D476A6"/>
    <w:rsid w:val="00D4770D"/>
    <w:rsid w:val="00D47800"/>
    <w:rsid w:val="00D47873"/>
    <w:rsid w:val="00D47973"/>
    <w:rsid w:val="00D47993"/>
    <w:rsid w:val="00D47B07"/>
    <w:rsid w:val="00D47D8C"/>
    <w:rsid w:val="00D47E71"/>
    <w:rsid w:val="00D47E77"/>
    <w:rsid w:val="00D47EC1"/>
    <w:rsid w:val="00D500E1"/>
    <w:rsid w:val="00D5033E"/>
    <w:rsid w:val="00D503D4"/>
    <w:rsid w:val="00D504B6"/>
    <w:rsid w:val="00D50551"/>
    <w:rsid w:val="00D50573"/>
    <w:rsid w:val="00D5060B"/>
    <w:rsid w:val="00D506D8"/>
    <w:rsid w:val="00D508E3"/>
    <w:rsid w:val="00D50A41"/>
    <w:rsid w:val="00D50A7E"/>
    <w:rsid w:val="00D50AB7"/>
    <w:rsid w:val="00D50CEA"/>
    <w:rsid w:val="00D50D53"/>
    <w:rsid w:val="00D50D75"/>
    <w:rsid w:val="00D50F44"/>
    <w:rsid w:val="00D51017"/>
    <w:rsid w:val="00D5107D"/>
    <w:rsid w:val="00D51106"/>
    <w:rsid w:val="00D512D5"/>
    <w:rsid w:val="00D51513"/>
    <w:rsid w:val="00D5163E"/>
    <w:rsid w:val="00D5178E"/>
    <w:rsid w:val="00D517AE"/>
    <w:rsid w:val="00D51A63"/>
    <w:rsid w:val="00D51AA1"/>
    <w:rsid w:val="00D51C2D"/>
    <w:rsid w:val="00D51C50"/>
    <w:rsid w:val="00D51D08"/>
    <w:rsid w:val="00D51E84"/>
    <w:rsid w:val="00D51F23"/>
    <w:rsid w:val="00D51F2C"/>
    <w:rsid w:val="00D51F6A"/>
    <w:rsid w:val="00D51FA1"/>
    <w:rsid w:val="00D51FE5"/>
    <w:rsid w:val="00D5207A"/>
    <w:rsid w:val="00D52175"/>
    <w:rsid w:val="00D52257"/>
    <w:rsid w:val="00D5240C"/>
    <w:rsid w:val="00D52494"/>
    <w:rsid w:val="00D52555"/>
    <w:rsid w:val="00D52687"/>
    <w:rsid w:val="00D52756"/>
    <w:rsid w:val="00D527F3"/>
    <w:rsid w:val="00D52877"/>
    <w:rsid w:val="00D52879"/>
    <w:rsid w:val="00D52A93"/>
    <w:rsid w:val="00D52AA9"/>
    <w:rsid w:val="00D52AC6"/>
    <w:rsid w:val="00D52B4E"/>
    <w:rsid w:val="00D52BF0"/>
    <w:rsid w:val="00D52C4D"/>
    <w:rsid w:val="00D52D2A"/>
    <w:rsid w:val="00D52D33"/>
    <w:rsid w:val="00D52E69"/>
    <w:rsid w:val="00D52EBE"/>
    <w:rsid w:val="00D52F0D"/>
    <w:rsid w:val="00D52FF2"/>
    <w:rsid w:val="00D53016"/>
    <w:rsid w:val="00D531C3"/>
    <w:rsid w:val="00D531DB"/>
    <w:rsid w:val="00D53238"/>
    <w:rsid w:val="00D5329D"/>
    <w:rsid w:val="00D532A6"/>
    <w:rsid w:val="00D5334D"/>
    <w:rsid w:val="00D533A9"/>
    <w:rsid w:val="00D5348A"/>
    <w:rsid w:val="00D53491"/>
    <w:rsid w:val="00D534C9"/>
    <w:rsid w:val="00D53625"/>
    <w:rsid w:val="00D5368F"/>
    <w:rsid w:val="00D536BD"/>
    <w:rsid w:val="00D53703"/>
    <w:rsid w:val="00D53751"/>
    <w:rsid w:val="00D537CE"/>
    <w:rsid w:val="00D538E3"/>
    <w:rsid w:val="00D5396B"/>
    <w:rsid w:val="00D53AB5"/>
    <w:rsid w:val="00D53C02"/>
    <w:rsid w:val="00D53DE9"/>
    <w:rsid w:val="00D53E40"/>
    <w:rsid w:val="00D53F02"/>
    <w:rsid w:val="00D54072"/>
    <w:rsid w:val="00D5413F"/>
    <w:rsid w:val="00D54292"/>
    <w:rsid w:val="00D54403"/>
    <w:rsid w:val="00D545BD"/>
    <w:rsid w:val="00D545FC"/>
    <w:rsid w:val="00D5480C"/>
    <w:rsid w:val="00D5485E"/>
    <w:rsid w:val="00D54959"/>
    <w:rsid w:val="00D54A3A"/>
    <w:rsid w:val="00D54BD0"/>
    <w:rsid w:val="00D54BE8"/>
    <w:rsid w:val="00D54C87"/>
    <w:rsid w:val="00D54CD1"/>
    <w:rsid w:val="00D54D2E"/>
    <w:rsid w:val="00D54D4A"/>
    <w:rsid w:val="00D54D8D"/>
    <w:rsid w:val="00D54E6D"/>
    <w:rsid w:val="00D55021"/>
    <w:rsid w:val="00D550B5"/>
    <w:rsid w:val="00D550FC"/>
    <w:rsid w:val="00D551BB"/>
    <w:rsid w:val="00D55397"/>
    <w:rsid w:val="00D5552E"/>
    <w:rsid w:val="00D55589"/>
    <w:rsid w:val="00D55737"/>
    <w:rsid w:val="00D5586D"/>
    <w:rsid w:val="00D558A0"/>
    <w:rsid w:val="00D55A82"/>
    <w:rsid w:val="00D55B29"/>
    <w:rsid w:val="00D55C3F"/>
    <w:rsid w:val="00D55EA4"/>
    <w:rsid w:val="00D5626A"/>
    <w:rsid w:val="00D5635E"/>
    <w:rsid w:val="00D564A8"/>
    <w:rsid w:val="00D565D3"/>
    <w:rsid w:val="00D5665E"/>
    <w:rsid w:val="00D566AF"/>
    <w:rsid w:val="00D566FC"/>
    <w:rsid w:val="00D56735"/>
    <w:rsid w:val="00D568F3"/>
    <w:rsid w:val="00D5697C"/>
    <w:rsid w:val="00D56B37"/>
    <w:rsid w:val="00D56BC1"/>
    <w:rsid w:val="00D56D26"/>
    <w:rsid w:val="00D57238"/>
    <w:rsid w:val="00D57363"/>
    <w:rsid w:val="00D573A6"/>
    <w:rsid w:val="00D573B5"/>
    <w:rsid w:val="00D57653"/>
    <w:rsid w:val="00D5769D"/>
    <w:rsid w:val="00D57785"/>
    <w:rsid w:val="00D57793"/>
    <w:rsid w:val="00D5786B"/>
    <w:rsid w:val="00D57A1D"/>
    <w:rsid w:val="00D57A3F"/>
    <w:rsid w:val="00D57A9C"/>
    <w:rsid w:val="00D57AB7"/>
    <w:rsid w:val="00D57B19"/>
    <w:rsid w:val="00D57CE3"/>
    <w:rsid w:val="00D57E50"/>
    <w:rsid w:val="00D5FB11"/>
    <w:rsid w:val="00D60151"/>
    <w:rsid w:val="00D60215"/>
    <w:rsid w:val="00D6022C"/>
    <w:rsid w:val="00D6022F"/>
    <w:rsid w:val="00D6034C"/>
    <w:rsid w:val="00D603CD"/>
    <w:rsid w:val="00D60499"/>
    <w:rsid w:val="00D605E0"/>
    <w:rsid w:val="00D60610"/>
    <w:rsid w:val="00D606B3"/>
    <w:rsid w:val="00D6071D"/>
    <w:rsid w:val="00D60895"/>
    <w:rsid w:val="00D608D8"/>
    <w:rsid w:val="00D60982"/>
    <w:rsid w:val="00D609E1"/>
    <w:rsid w:val="00D60E0A"/>
    <w:rsid w:val="00D60EE9"/>
    <w:rsid w:val="00D60F8E"/>
    <w:rsid w:val="00D60FA4"/>
    <w:rsid w:val="00D61043"/>
    <w:rsid w:val="00D6108F"/>
    <w:rsid w:val="00D61142"/>
    <w:rsid w:val="00D6116A"/>
    <w:rsid w:val="00D61199"/>
    <w:rsid w:val="00D611C2"/>
    <w:rsid w:val="00D611FD"/>
    <w:rsid w:val="00D612BF"/>
    <w:rsid w:val="00D616D8"/>
    <w:rsid w:val="00D616EE"/>
    <w:rsid w:val="00D61802"/>
    <w:rsid w:val="00D618A3"/>
    <w:rsid w:val="00D619FD"/>
    <w:rsid w:val="00D61A8B"/>
    <w:rsid w:val="00D61B5F"/>
    <w:rsid w:val="00D61C97"/>
    <w:rsid w:val="00D61D44"/>
    <w:rsid w:val="00D61DB8"/>
    <w:rsid w:val="00D61E1B"/>
    <w:rsid w:val="00D61FD9"/>
    <w:rsid w:val="00D61FF2"/>
    <w:rsid w:val="00D61FF7"/>
    <w:rsid w:val="00D620A2"/>
    <w:rsid w:val="00D6229E"/>
    <w:rsid w:val="00D622A0"/>
    <w:rsid w:val="00D622D0"/>
    <w:rsid w:val="00D622DC"/>
    <w:rsid w:val="00D623A6"/>
    <w:rsid w:val="00D623ED"/>
    <w:rsid w:val="00D62479"/>
    <w:rsid w:val="00D6252D"/>
    <w:rsid w:val="00D62565"/>
    <w:rsid w:val="00D625B2"/>
    <w:rsid w:val="00D62636"/>
    <w:rsid w:val="00D62638"/>
    <w:rsid w:val="00D626E3"/>
    <w:rsid w:val="00D627B6"/>
    <w:rsid w:val="00D6282E"/>
    <w:rsid w:val="00D62955"/>
    <w:rsid w:val="00D62C4E"/>
    <w:rsid w:val="00D62C77"/>
    <w:rsid w:val="00D62D67"/>
    <w:rsid w:val="00D62EB5"/>
    <w:rsid w:val="00D62FE3"/>
    <w:rsid w:val="00D63008"/>
    <w:rsid w:val="00D63063"/>
    <w:rsid w:val="00D631D0"/>
    <w:rsid w:val="00D632B1"/>
    <w:rsid w:val="00D632DB"/>
    <w:rsid w:val="00D63360"/>
    <w:rsid w:val="00D63378"/>
    <w:rsid w:val="00D634E5"/>
    <w:rsid w:val="00D634F1"/>
    <w:rsid w:val="00D6353C"/>
    <w:rsid w:val="00D63593"/>
    <w:rsid w:val="00D635A5"/>
    <w:rsid w:val="00D6367C"/>
    <w:rsid w:val="00D637B3"/>
    <w:rsid w:val="00D637CA"/>
    <w:rsid w:val="00D638CE"/>
    <w:rsid w:val="00D63914"/>
    <w:rsid w:val="00D639DF"/>
    <w:rsid w:val="00D63CE8"/>
    <w:rsid w:val="00D63E84"/>
    <w:rsid w:val="00D63F51"/>
    <w:rsid w:val="00D63FBB"/>
    <w:rsid w:val="00D64112"/>
    <w:rsid w:val="00D64188"/>
    <w:rsid w:val="00D6427C"/>
    <w:rsid w:val="00D64318"/>
    <w:rsid w:val="00D64338"/>
    <w:rsid w:val="00D6437D"/>
    <w:rsid w:val="00D64415"/>
    <w:rsid w:val="00D6460C"/>
    <w:rsid w:val="00D646D9"/>
    <w:rsid w:val="00D64724"/>
    <w:rsid w:val="00D64979"/>
    <w:rsid w:val="00D64988"/>
    <w:rsid w:val="00D64BD2"/>
    <w:rsid w:val="00D64CF0"/>
    <w:rsid w:val="00D64E4C"/>
    <w:rsid w:val="00D64F57"/>
    <w:rsid w:val="00D64F9C"/>
    <w:rsid w:val="00D64FE1"/>
    <w:rsid w:val="00D650E4"/>
    <w:rsid w:val="00D65157"/>
    <w:rsid w:val="00D6515C"/>
    <w:rsid w:val="00D65261"/>
    <w:rsid w:val="00D653A7"/>
    <w:rsid w:val="00D655B1"/>
    <w:rsid w:val="00D6564D"/>
    <w:rsid w:val="00D65910"/>
    <w:rsid w:val="00D65BC4"/>
    <w:rsid w:val="00D65BDE"/>
    <w:rsid w:val="00D65D4F"/>
    <w:rsid w:val="00D65D5E"/>
    <w:rsid w:val="00D65EE7"/>
    <w:rsid w:val="00D66054"/>
    <w:rsid w:val="00D661C4"/>
    <w:rsid w:val="00D6628C"/>
    <w:rsid w:val="00D66369"/>
    <w:rsid w:val="00D664F6"/>
    <w:rsid w:val="00D6650F"/>
    <w:rsid w:val="00D66580"/>
    <w:rsid w:val="00D665C5"/>
    <w:rsid w:val="00D665D2"/>
    <w:rsid w:val="00D66808"/>
    <w:rsid w:val="00D66ACF"/>
    <w:rsid w:val="00D66B13"/>
    <w:rsid w:val="00D66B1B"/>
    <w:rsid w:val="00D66B89"/>
    <w:rsid w:val="00D66BCF"/>
    <w:rsid w:val="00D66BD1"/>
    <w:rsid w:val="00D66C23"/>
    <w:rsid w:val="00D66D2A"/>
    <w:rsid w:val="00D66E6B"/>
    <w:rsid w:val="00D66E70"/>
    <w:rsid w:val="00D670C7"/>
    <w:rsid w:val="00D6717D"/>
    <w:rsid w:val="00D67374"/>
    <w:rsid w:val="00D6739D"/>
    <w:rsid w:val="00D6740F"/>
    <w:rsid w:val="00D6743F"/>
    <w:rsid w:val="00D674DE"/>
    <w:rsid w:val="00D6766E"/>
    <w:rsid w:val="00D67749"/>
    <w:rsid w:val="00D6788A"/>
    <w:rsid w:val="00D67908"/>
    <w:rsid w:val="00D6793B"/>
    <w:rsid w:val="00D67984"/>
    <w:rsid w:val="00D67AFC"/>
    <w:rsid w:val="00D67BEF"/>
    <w:rsid w:val="00D67C63"/>
    <w:rsid w:val="00D67E22"/>
    <w:rsid w:val="00D67EE7"/>
    <w:rsid w:val="00D6B392"/>
    <w:rsid w:val="00D7006D"/>
    <w:rsid w:val="00D70096"/>
    <w:rsid w:val="00D70103"/>
    <w:rsid w:val="00D70239"/>
    <w:rsid w:val="00D70299"/>
    <w:rsid w:val="00D702B4"/>
    <w:rsid w:val="00D702E7"/>
    <w:rsid w:val="00D703A2"/>
    <w:rsid w:val="00D704E0"/>
    <w:rsid w:val="00D705C0"/>
    <w:rsid w:val="00D705C6"/>
    <w:rsid w:val="00D705DB"/>
    <w:rsid w:val="00D707F6"/>
    <w:rsid w:val="00D70896"/>
    <w:rsid w:val="00D70A7E"/>
    <w:rsid w:val="00D70A8B"/>
    <w:rsid w:val="00D70C60"/>
    <w:rsid w:val="00D70CE2"/>
    <w:rsid w:val="00D70D9A"/>
    <w:rsid w:val="00D70FA4"/>
    <w:rsid w:val="00D70FB7"/>
    <w:rsid w:val="00D71055"/>
    <w:rsid w:val="00D71132"/>
    <w:rsid w:val="00D7114D"/>
    <w:rsid w:val="00D7129A"/>
    <w:rsid w:val="00D7132E"/>
    <w:rsid w:val="00D713C0"/>
    <w:rsid w:val="00D71594"/>
    <w:rsid w:val="00D715F8"/>
    <w:rsid w:val="00D716E2"/>
    <w:rsid w:val="00D716FB"/>
    <w:rsid w:val="00D7186E"/>
    <w:rsid w:val="00D71931"/>
    <w:rsid w:val="00D71A94"/>
    <w:rsid w:val="00D71A97"/>
    <w:rsid w:val="00D71B7E"/>
    <w:rsid w:val="00D71C04"/>
    <w:rsid w:val="00D71C87"/>
    <w:rsid w:val="00D71E83"/>
    <w:rsid w:val="00D7212F"/>
    <w:rsid w:val="00D72137"/>
    <w:rsid w:val="00D722F2"/>
    <w:rsid w:val="00D72305"/>
    <w:rsid w:val="00D72347"/>
    <w:rsid w:val="00D72388"/>
    <w:rsid w:val="00D72413"/>
    <w:rsid w:val="00D724F8"/>
    <w:rsid w:val="00D725BC"/>
    <w:rsid w:val="00D725C0"/>
    <w:rsid w:val="00D7289B"/>
    <w:rsid w:val="00D72AB6"/>
    <w:rsid w:val="00D72B7C"/>
    <w:rsid w:val="00D72BC6"/>
    <w:rsid w:val="00D72D45"/>
    <w:rsid w:val="00D72D69"/>
    <w:rsid w:val="00D72DC2"/>
    <w:rsid w:val="00D72E44"/>
    <w:rsid w:val="00D73091"/>
    <w:rsid w:val="00D73160"/>
    <w:rsid w:val="00D731A3"/>
    <w:rsid w:val="00D731FB"/>
    <w:rsid w:val="00D73297"/>
    <w:rsid w:val="00D732B6"/>
    <w:rsid w:val="00D7340D"/>
    <w:rsid w:val="00D73422"/>
    <w:rsid w:val="00D734B7"/>
    <w:rsid w:val="00D73A22"/>
    <w:rsid w:val="00D73B7E"/>
    <w:rsid w:val="00D73E7A"/>
    <w:rsid w:val="00D73EFC"/>
    <w:rsid w:val="00D73F55"/>
    <w:rsid w:val="00D73FD4"/>
    <w:rsid w:val="00D7402A"/>
    <w:rsid w:val="00D740C1"/>
    <w:rsid w:val="00D744A9"/>
    <w:rsid w:val="00D744B7"/>
    <w:rsid w:val="00D7456F"/>
    <w:rsid w:val="00D745E6"/>
    <w:rsid w:val="00D746CE"/>
    <w:rsid w:val="00D747C2"/>
    <w:rsid w:val="00D74883"/>
    <w:rsid w:val="00D7499C"/>
    <w:rsid w:val="00D749F8"/>
    <w:rsid w:val="00D74A41"/>
    <w:rsid w:val="00D74A54"/>
    <w:rsid w:val="00D74B1A"/>
    <w:rsid w:val="00D74C39"/>
    <w:rsid w:val="00D74DAB"/>
    <w:rsid w:val="00D74DAD"/>
    <w:rsid w:val="00D74EC0"/>
    <w:rsid w:val="00D7513E"/>
    <w:rsid w:val="00D7523A"/>
    <w:rsid w:val="00D7528D"/>
    <w:rsid w:val="00D75348"/>
    <w:rsid w:val="00D75462"/>
    <w:rsid w:val="00D75495"/>
    <w:rsid w:val="00D754CB"/>
    <w:rsid w:val="00D755A6"/>
    <w:rsid w:val="00D755DC"/>
    <w:rsid w:val="00D75713"/>
    <w:rsid w:val="00D7578A"/>
    <w:rsid w:val="00D75B27"/>
    <w:rsid w:val="00D75C5C"/>
    <w:rsid w:val="00D75DA3"/>
    <w:rsid w:val="00D75F36"/>
    <w:rsid w:val="00D75F50"/>
    <w:rsid w:val="00D75F75"/>
    <w:rsid w:val="00D75F92"/>
    <w:rsid w:val="00D75FEE"/>
    <w:rsid w:val="00D76153"/>
    <w:rsid w:val="00D7630D"/>
    <w:rsid w:val="00D76311"/>
    <w:rsid w:val="00D76505"/>
    <w:rsid w:val="00D765E6"/>
    <w:rsid w:val="00D7662D"/>
    <w:rsid w:val="00D76640"/>
    <w:rsid w:val="00D76772"/>
    <w:rsid w:val="00D76797"/>
    <w:rsid w:val="00D7682A"/>
    <w:rsid w:val="00D76A4D"/>
    <w:rsid w:val="00D76C6D"/>
    <w:rsid w:val="00D76CB7"/>
    <w:rsid w:val="00D76E8D"/>
    <w:rsid w:val="00D76FD4"/>
    <w:rsid w:val="00D76FF7"/>
    <w:rsid w:val="00D77062"/>
    <w:rsid w:val="00D770A3"/>
    <w:rsid w:val="00D770C7"/>
    <w:rsid w:val="00D770D9"/>
    <w:rsid w:val="00D771A8"/>
    <w:rsid w:val="00D771ED"/>
    <w:rsid w:val="00D7732D"/>
    <w:rsid w:val="00D773A3"/>
    <w:rsid w:val="00D773FC"/>
    <w:rsid w:val="00D77457"/>
    <w:rsid w:val="00D77563"/>
    <w:rsid w:val="00D775D8"/>
    <w:rsid w:val="00D77777"/>
    <w:rsid w:val="00D7783B"/>
    <w:rsid w:val="00D778EA"/>
    <w:rsid w:val="00D77969"/>
    <w:rsid w:val="00D77974"/>
    <w:rsid w:val="00D77977"/>
    <w:rsid w:val="00D77A69"/>
    <w:rsid w:val="00D77A90"/>
    <w:rsid w:val="00D77B2D"/>
    <w:rsid w:val="00D77B57"/>
    <w:rsid w:val="00D77B6C"/>
    <w:rsid w:val="00D77CEC"/>
    <w:rsid w:val="00D77ECE"/>
    <w:rsid w:val="00D77F1A"/>
    <w:rsid w:val="00D80037"/>
    <w:rsid w:val="00D800B3"/>
    <w:rsid w:val="00D8012E"/>
    <w:rsid w:val="00D80263"/>
    <w:rsid w:val="00D8028B"/>
    <w:rsid w:val="00D807D5"/>
    <w:rsid w:val="00D80813"/>
    <w:rsid w:val="00D8087F"/>
    <w:rsid w:val="00D809AF"/>
    <w:rsid w:val="00D809C8"/>
    <w:rsid w:val="00D809CC"/>
    <w:rsid w:val="00D80A2E"/>
    <w:rsid w:val="00D80D24"/>
    <w:rsid w:val="00D80D9E"/>
    <w:rsid w:val="00D80E3B"/>
    <w:rsid w:val="00D80EA5"/>
    <w:rsid w:val="00D8108D"/>
    <w:rsid w:val="00D8110E"/>
    <w:rsid w:val="00D81123"/>
    <w:rsid w:val="00D811B4"/>
    <w:rsid w:val="00D8133F"/>
    <w:rsid w:val="00D81402"/>
    <w:rsid w:val="00D815A2"/>
    <w:rsid w:val="00D816B2"/>
    <w:rsid w:val="00D8177A"/>
    <w:rsid w:val="00D81900"/>
    <w:rsid w:val="00D81AA2"/>
    <w:rsid w:val="00D81B34"/>
    <w:rsid w:val="00D81BB3"/>
    <w:rsid w:val="00D81D63"/>
    <w:rsid w:val="00D81E8C"/>
    <w:rsid w:val="00D81EDC"/>
    <w:rsid w:val="00D81F01"/>
    <w:rsid w:val="00D82077"/>
    <w:rsid w:val="00D820E7"/>
    <w:rsid w:val="00D82129"/>
    <w:rsid w:val="00D823E7"/>
    <w:rsid w:val="00D82655"/>
    <w:rsid w:val="00D826F0"/>
    <w:rsid w:val="00D8270C"/>
    <w:rsid w:val="00D82741"/>
    <w:rsid w:val="00D8295B"/>
    <w:rsid w:val="00D82ADB"/>
    <w:rsid w:val="00D82B2D"/>
    <w:rsid w:val="00D82B45"/>
    <w:rsid w:val="00D82BA5"/>
    <w:rsid w:val="00D82CAB"/>
    <w:rsid w:val="00D82CD8"/>
    <w:rsid w:val="00D82D25"/>
    <w:rsid w:val="00D82FB5"/>
    <w:rsid w:val="00D82FDE"/>
    <w:rsid w:val="00D83005"/>
    <w:rsid w:val="00D830BC"/>
    <w:rsid w:val="00D831BF"/>
    <w:rsid w:val="00D831D1"/>
    <w:rsid w:val="00D834E3"/>
    <w:rsid w:val="00D83801"/>
    <w:rsid w:val="00D8386C"/>
    <w:rsid w:val="00D8387F"/>
    <w:rsid w:val="00D839F6"/>
    <w:rsid w:val="00D83FB3"/>
    <w:rsid w:val="00D8407D"/>
    <w:rsid w:val="00D8418A"/>
    <w:rsid w:val="00D841DB"/>
    <w:rsid w:val="00D84238"/>
    <w:rsid w:val="00D84365"/>
    <w:rsid w:val="00D84402"/>
    <w:rsid w:val="00D8451F"/>
    <w:rsid w:val="00D8453D"/>
    <w:rsid w:val="00D8470D"/>
    <w:rsid w:val="00D8478C"/>
    <w:rsid w:val="00D8481C"/>
    <w:rsid w:val="00D84888"/>
    <w:rsid w:val="00D84895"/>
    <w:rsid w:val="00D84974"/>
    <w:rsid w:val="00D849B1"/>
    <w:rsid w:val="00D84D01"/>
    <w:rsid w:val="00D84EE6"/>
    <w:rsid w:val="00D85262"/>
    <w:rsid w:val="00D852D4"/>
    <w:rsid w:val="00D854FA"/>
    <w:rsid w:val="00D85505"/>
    <w:rsid w:val="00D85557"/>
    <w:rsid w:val="00D855E3"/>
    <w:rsid w:val="00D85661"/>
    <w:rsid w:val="00D856EA"/>
    <w:rsid w:val="00D856F5"/>
    <w:rsid w:val="00D857F3"/>
    <w:rsid w:val="00D858C8"/>
    <w:rsid w:val="00D85AC3"/>
    <w:rsid w:val="00D85AD8"/>
    <w:rsid w:val="00D85C25"/>
    <w:rsid w:val="00D85C98"/>
    <w:rsid w:val="00D85CAF"/>
    <w:rsid w:val="00D85D02"/>
    <w:rsid w:val="00D85D0E"/>
    <w:rsid w:val="00D85D80"/>
    <w:rsid w:val="00D85E05"/>
    <w:rsid w:val="00D85F1C"/>
    <w:rsid w:val="00D8601B"/>
    <w:rsid w:val="00D86219"/>
    <w:rsid w:val="00D8634F"/>
    <w:rsid w:val="00D8644D"/>
    <w:rsid w:val="00D8645C"/>
    <w:rsid w:val="00D864DC"/>
    <w:rsid w:val="00D8677E"/>
    <w:rsid w:val="00D86783"/>
    <w:rsid w:val="00D867D1"/>
    <w:rsid w:val="00D86827"/>
    <w:rsid w:val="00D8682E"/>
    <w:rsid w:val="00D868AA"/>
    <w:rsid w:val="00D86A64"/>
    <w:rsid w:val="00D86BB4"/>
    <w:rsid w:val="00D86BD8"/>
    <w:rsid w:val="00D86DDF"/>
    <w:rsid w:val="00D86E1D"/>
    <w:rsid w:val="00D86E71"/>
    <w:rsid w:val="00D86E98"/>
    <w:rsid w:val="00D86F00"/>
    <w:rsid w:val="00D86F6B"/>
    <w:rsid w:val="00D87021"/>
    <w:rsid w:val="00D870B0"/>
    <w:rsid w:val="00D87120"/>
    <w:rsid w:val="00D87166"/>
    <w:rsid w:val="00D8723A"/>
    <w:rsid w:val="00D87435"/>
    <w:rsid w:val="00D8749E"/>
    <w:rsid w:val="00D8750E"/>
    <w:rsid w:val="00D87538"/>
    <w:rsid w:val="00D8771A"/>
    <w:rsid w:val="00D878BC"/>
    <w:rsid w:val="00D87917"/>
    <w:rsid w:val="00D87995"/>
    <w:rsid w:val="00D87B99"/>
    <w:rsid w:val="00D87C2B"/>
    <w:rsid w:val="00D87CE5"/>
    <w:rsid w:val="00D87DB9"/>
    <w:rsid w:val="00D90087"/>
    <w:rsid w:val="00D90128"/>
    <w:rsid w:val="00D901B5"/>
    <w:rsid w:val="00D90330"/>
    <w:rsid w:val="00D90390"/>
    <w:rsid w:val="00D90467"/>
    <w:rsid w:val="00D906E8"/>
    <w:rsid w:val="00D90807"/>
    <w:rsid w:val="00D9086B"/>
    <w:rsid w:val="00D908B0"/>
    <w:rsid w:val="00D9093A"/>
    <w:rsid w:val="00D90AEA"/>
    <w:rsid w:val="00D90B1C"/>
    <w:rsid w:val="00D90B49"/>
    <w:rsid w:val="00D90DD5"/>
    <w:rsid w:val="00D90E87"/>
    <w:rsid w:val="00D90F8D"/>
    <w:rsid w:val="00D9128C"/>
    <w:rsid w:val="00D9129C"/>
    <w:rsid w:val="00D912E6"/>
    <w:rsid w:val="00D9143A"/>
    <w:rsid w:val="00D91644"/>
    <w:rsid w:val="00D91668"/>
    <w:rsid w:val="00D91689"/>
    <w:rsid w:val="00D91759"/>
    <w:rsid w:val="00D9176C"/>
    <w:rsid w:val="00D91817"/>
    <w:rsid w:val="00D9191D"/>
    <w:rsid w:val="00D91A6E"/>
    <w:rsid w:val="00D91AC3"/>
    <w:rsid w:val="00D91ACB"/>
    <w:rsid w:val="00D91BB7"/>
    <w:rsid w:val="00D91BCA"/>
    <w:rsid w:val="00D91BFB"/>
    <w:rsid w:val="00D91BFC"/>
    <w:rsid w:val="00D91C1D"/>
    <w:rsid w:val="00D91DB4"/>
    <w:rsid w:val="00D91FB0"/>
    <w:rsid w:val="00D9202C"/>
    <w:rsid w:val="00D92031"/>
    <w:rsid w:val="00D9204B"/>
    <w:rsid w:val="00D9213B"/>
    <w:rsid w:val="00D92151"/>
    <w:rsid w:val="00D921B2"/>
    <w:rsid w:val="00D92216"/>
    <w:rsid w:val="00D923A8"/>
    <w:rsid w:val="00D92477"/>
    <w:rsid w:val="00D925B5"/>
    <w:rsid w:val="00D927FE"/>
    <w:rsid w:val="00D92B6C"/>
    <w:rsid w:val="00D93003"/>
    <w:rsid w:val="00D930E0"/>
    <w:rsid w:val="00D9321E"/>
    <w:rsid w:val="00D933F8"/>
    <w:rsid w:val="00D934D0"/>
    <w:rsid w:val="00D93551"/>
    <w:rsid w:val="00D9375C"/>
    <w:rsid w:val="00D937A8"/>
    <w:rsid w:val="00D9389F"/>
    <w:rsid w:val="00D938A3"/>
    <w:rsid w:val="00D938B5"/>
    <w:rsid w:val="00D93AA9"/>
    <w:rsid w:val="00D93ADF"/>
    <w:rsid w:val="00D93BA7"/>
    <w:rsid w:val="00D93D55"/>
    <w:rsid w:val="00D941AB"/>
    <w:rsid w:val="00D94308"/>
    <w:rsid w:val="00D94397"/>
    <w:rsid w:val="00D943C4"/>
    <w:rsid w:val="00D9443D"/>
    <w:rsid w:val="00D9459D"/>
    <w:rsid w:val="00D9466E"/>
    <w:rsid w:val="00D94CFC"/>
    <w:rsid w:val="00D94E12"/>
    <w:rsid w:val="00D94EC1"/>
    <w:rsid w:val="00D94F97"/>
    <w:rsid w:val="00D950CD"/>
    <w:rsid w:val="00D950D7"/>
    <w:rsid w:val="00D95217"/>
    <w:rsid w:val="00D952DF"/>
    <w:rsid w:val="00D95345"/>
    <w:rsid w:val="00D9536B"/>
    <w:rsid w:val="00D954F9"/>
    <w:rsid w:val="00D957C5"/>
    <w:rsid w:val="00D9599B"/>
    <w:rsid w:val="00D95BAD"/>
    <w:rsid w:val="00D95D6A"/>
    <w:rsid w:val="00D95D6D"/>
    <w:rsid w:val="00D95DBD"/>
    <w:rsid w:val="00D95E14"/>
    <w:rsid w:val="00D960AC"/>
    <w:rsid w:val="00D9618C"/>
    <w:rsid w:val="00D961AD"/>
    <w:rsid w:val="00D96204"/>
    <w:rsid w:val="00D962B3"/>
    <w:rsid w:val="00D96375"/>
    <w:rsid w:val="00D9640F"/>
    <w:rsid w:val="00D967F1"/>
    <w:rsid w:val="00D9695D"/>
    <w:rsid w:val="00D96995"/>
    <w:rsid w:val="00D969E7"/>
    <w:rsid w:val="00D96A68"/>
    <w:rsid w:val="00D96BFF"/>
    <w:rsid w:val="00D96CBC"/>
    <w:rsid w:val="00D9703D"/>
    <w:rsid w:val="00D970BE"/>
    <w:rsid w:val="00D970F5"/>
    <w:rsid w:val="00D971A8"/>
    <w:rsid w:val="00D972C5"/>
    <w:rsid w:val="00D977B0"/>
    <w:rsid w:val="00D97904"/>
    <w:rsid w:val="00D979AE"/>
    <w:rsid w:val="00D97A0D"/>
    <w:rsid w:val="00D97AC0"/>
    <w:rsid w:val="00D97ADD"/>
    <w:rsid w:val="00D97BD7"/>
    <w:rsid w:val="00D97CE4"/>
    <w:rsid w:val="00D97D7C"/>
    <w:rsid w:val="00D97EBB"/>
    <w:rsid w:val="00D97F26"/>
    <w:rsid w:val="00D97F6D"/>
    <w:rsid w:val="00DA001A"/>
    <w:rsid w:val="00DA0047"/>
    <w:rsid w:val="00DA0099"/>
    <w:rsid w:val="00DA0183"/>
    <w:rsid w:val="00DA019F"/>
    <w:rsid w:val="00DA0242"/>
    <w:rsid w:val="00DA0286"/>
    <w:rsid w:val="00DA02D4"/>
    <w:rsid w:val="00DA053A"/>
    <w:rsid w:val="00DA0595"/>
    <w:rsid w:val="00DA061E"/>
    <w:rsid w:val="00DA066E"/>
    <w:rsid w:val="00DA068C"/>
    <w:rsid w:val="00DA0737"/>
    <w:rsid w:val="00DA0741"/>
    <w:rsid w:val="00DA076A"/>
    <w:rsid w:val="00DA08D9"/>
    <w:rsid w:val="00DA09C9"/>
    <w:rsid w:val="00DA0A92"/>
    <w:rsid w:val="00DA0BAA"/>
    <w:rsid w:val="00DA0C3F"/>
    <w:rsid w:val="00DA0CAE"/>
    <w:rsid w:val="00DA0DFC"/>
    <w:rsid w:val="00DA10F9"/>
    <w:rsid w:val="00DA121D"/>
    <w:rsid w:val="00DA1251"/>
    <w:rsid w:val="00DA1324"/>
    <w:rsid w:val="00DA136F"/>
    <w:rsid w:val="00DA1496"/>
    <w:rsid w:val="00DA14A7"/>
    <w:rsid w:val="00DA1549"/>
    <w:rsid w:val="00DA1AA3"/>
    <w:rsid w:val="00DA1B6C"/>
    <w:rsid w:val="00DA1C1A"/>
    <w:rsid w:val="00DA1C52"/>
    <w:rsid w:val="00DA2110"/>
    <w:rsid w:val="00DA2176"/>
    <w:rsid w:val="00DA2198"/>
    <w:rsid w:val="00DA2212"/>
    <w:rsid w:val="00DA222F"/>
    <w:rsid w:val="00DA22F4"/>
    <w:rsid w:val="00DA241C"/>
    <w:rsid w:val="00DA24A3"/>
    <w:rsid w:val="00DA25A8"/>
    <w:rsid w:val="00DA25F9"/>
    <w:rsid w:val="00DA2622"/>
    <w:rsid w:val="00DA278E"/>
    <w:rsid w:val="00DA2816"/>
    <w:rsid w:val="00DA2839"/>
    <w:rsid w:val="00DA2873"/>
    <w:rsid w:val="00DA292C"/>
    <w:rsid w:val="00DA29D8"/>
    <w:rsid w:val="00DA29FB"/>
    <w:rsid w:val="00DA2A27"/>
    <w:rsid w:val="00DA2A33"/>
    <w:rsid w:val="00DA2A7F"/>
    <w:rsid w:val="00DA2AC4"/>
    <w:rsid w:val="00DA2F90"/>
    <w:rsid w:val="00DA3163"/>
    <w:rsid w:val="00DA3276"/>
    <w:rsid w:val="00DA327C"/>
    <w:rsid w:val="00DA3326"/>
    <w:rsid w:val="00DA338B"/>
    <w:rsid w:val="00DA3468"/>
    <w:rsid w:val="00DA3497"/>
    <w:rsid w:val="00DA35D5"/>
    <w:rsid w:val="00DA37F0"/>
    <w:rsid w:val="00DA3B37"/>
    <w:rsid w:val="00DA3D4B"/>
    <w:rsid w:val="00DA3F1E"/>
    <w:rsid w:val="00DA3FE0"/>
    <w:rsid w:val="00DA401C"/>
    <w:rsid w:val="00DA4160"/>
    <w:rsid w:val="00DA418E"/>
    <w:rsid w:val="00DA41AC"/>
    <w:rsid w:val="00DA43FB"/>
    <w:rsid w:val="00DA4404"/>
    <w:rsid w:val="00DA4422"/>
    <w:rsid w:val="00DA44DC"/>
    <w:rsid w:val="00DA4603"/>
    <w:rsid w:val="00DA46A7"/>
    <w:rsid w:val="00DA480D"/>
    <w:rsid w:val="00DA49EA"/>
    <w:rsid w:val="00DA4D09"/>
    <w:rsid w:val="00DA4E0C"/>
    <w:rsid w:val="00DA500D"/>
    <w:rsid w:val="00DA5028"/>
    <w:rsid w:val="00DA53DB"/>
    <w:rsid w:val="00DA5411"/>
    <w:rsid w:val="00DA54BD"/>
    <w:rsid w:val="00DA54D1"/>
    <w:rsid w:val="00DA54E7"/>
    <w:rsid w:val="00DA5766"/>
    <w:rsid w:val="00DA5786"/>
    <w:rsid w:val="00DA5AB5"/>
    <w:rsid w:val="00DA5BC1"/>
    <w:rsid w:val="00DA5BD5"/>
    <w:rsid w:val="00DA5D69"/>
    <w:rsid w:val="00DA5E41"/>
    <w:rsid w:val="00DA5EA4"/>
    <w:rsid w:val="00DA5F26"/>
    <w:rsid w:val="00DA60B1"/>
    <w:rsid w:val="00DA6152"/>
    <w:rsid w:val="00DA6247"/>
    <w:rsid w:val="00DA6367"/>
    <w:rsid w:val="00DA6391"/>
    <w:rsid w:val="00DA6417"/>
    <w:rsid w:val="00DA64B6"/>
    <w:rsid w:val="00DA64F5"/>
    <w:rsid w:val="00DA653A"/>
    <w:rsid w:val="00DA6755"/>
    <w:rsid w:val="00DA686B"/>
    <w:rsid w:val="00DA693C"/>
    <w:rsid w:val="00DA6940"/>
    <w:rsid w:val="00DA6AED"/>
    <w:rsid w:val="00DA6B62"/>
    <w:rsid w:val="00DA6C27"/>
    <w:rsid w:val="00DA6D10"/>
    <w:rsid w:val="00DA6E02"/>
    <w:rsid w:val="00DA6E60"/>
    <w:rsid w:val="00DA72CF"/>
    <w:rsid w:val="00DA7763"/>
    <w:rsid w:val="00DA78A4"/>
    <w:rsid w:val="00DA78D3"/>
    <w:rsid w:val="00DA7B56"/>
    <w:rsid w:val="00DA7C91"/>
    <w:rsid w:val="00DA7CB9"/>
    <w:rsid w:val="00DA7E80"/>
    <w:rsid w:val="00DA7FD9"/>
    <w:rsid w:val="00DB042D"/>
    <w:rsid w:val="00DB0462"/>
    <w:rsid w:val="00DB046B"/>
    <w:rsid w:val="00DB0646"/>
    <w:rsid w:val="00DB067A"/>
    <w:rsid w:val="00DB06D1"/>
    <w:rsid w:val="00DB0894"/>
    <w:rsid w:val="00DB08B8"/>
    <w:rsid w:val="00DB08C8"/>
    <w:rsid w:val="00DB08F2"/>
    <w:rsid w:val="00DB0978"/>
    <w:rsid w:val="00DB09C8"/>
    <w:rsid w:val="00DB0B16"/>
    <w:rsid w:val="00DB0D47"/>
    <w:rsid w:val="00DB0E0C"/>
    <w:rsid w:val="00DB0EF0"/>
    <w:rsid w:val="00DB0EFC"/>
    <w:rsid w:val="00DB0F44"/>
    <w:rsid w:val="00DB0FA9"/>
    <w:rsid w:val="00DB0FD6"/>
    <w:rsid w:val="00DB1098"/>
    <w:rsid w:val="00DB1193"/>
    <w:rsid w:val="00DB12D5"/>
    <w:rsid w:val="00DB1383"/>
    <w:rsid w:val="00DB141B"/>
    <w:rsid w:val="00DB155F"/>
    <w:rsid w:val="00DB1564"/>
    <w:rsid w:val="00DB15E7"/>
    <w:rsid w:val="00DB1AE8"/>
    <w:rsid w:val="00DB1D9A"/>
    <w:rsid w:val="00DB1DAB"/>
    <w:rsid w:val="00DB1EE0"/>
    <w:rsid w:val="00DB2084"/>
    <w:rsid w:val="00DB216C"/>
    <w:rsid w:val="00DB2242"/>
    <w:rsid w:val="00DB22B6"/>
    <w:rsid w:val="00DB22BD"/>
    <w:rsid w:val="00DB230F"/>
    <w:rsid w:val="00DB253E"/>
    <w:rsid w:val="00DB25E7"/>
    <w:rsid w:val="00DB2666"/>
    <w:rsid w:val="00DB2845"/>
    <w:rsid w:val="00DB2857"/>
    <w:rsid w:val="00DB2985"/>
    <w:rsid w:val="00DB2B39"/>
    <w:rsid w:val="00DB2D37"/>
    <w:rsid w:val="00DB2D77"/>
    <w:rsid w:val="00DB2DB8"/>
    <w:rsid w:val="00DB2DD9"/>
    <w:rsid w:val="00DB2E1A"/>
    <w:rsid w:val="00DB2E99"/>
    <w:rsid w:val="00DB302A"/>
    <w:rsid w:val="00DB323C"/>
    <w:rsid w:val="00DB32C5"/>
    <w:rsid w:val="00DB34E4"/>
    <w:rsid w:val="00DB3590"/>
    <w:rsid w:val="00DB361E"/>
    <w:rsid w:val="00DB3714"/>
    <w:rsid w:val="00DB3890"/>
    <w:rsid w:val="00DB3935"/>
    <w:rsid w:val="00DB396B"/>
    <w:rsid w:val="00DB400B"/>
    <w:rsid w:val="00DB40B4"/>
    <w:rsid w:val="00DB40D2"/>
    <w:rsid w:val="00DB41CD"/>
    <w:rsid w:val="00DB4208"/>
    <w:rsid w:val="00DB4323"/>
    <w:rsid w:val="00DB4365"/>
    <w:rsid w:val="00DB43E5"/>
    <w:rsid w:val="00DB4439"/>
    <w:rsid w:val="00DB4479"/>
    <w:rsid w:val="00DB460F"/>
    <w:rsid w:val="00DB46EE"/>
    <w:rsid w:val="00DB470F"/>
    <w:rsid w:val="00DB4A09"/>
    <w:rsid w:val="00DB4AC6"/>
    <w:rsid w:val="00DB4AF1"/>
    <w:rsid w:val="00DB4B14"/>
    <w:rsid w:val="00DB4D8B"/>
    <w:rsid w:val="00DB4E81"/>
    <w:rsid w:val="00DB4EDB"/>
    <w:rsid w:val="00DB5041"/>
    <w:rsid w:val="00DB54BE"/>
    <w:rsid w:val="00DB553E"/>
    <w:rsid w:val="00DB580D"/>
    <w:rsid w:val="00DB5821"/>
    <w:rsid w:val="00DB5848"/>
    <w:rsid w:val="00DB58DF"/>
    <w:rsid w:val="00DB58E3"/>
    <w:rsid w:val="00DB5A2A"/>
    <w:rsid w:val="00DB5B35"/>
    <w:rsid w:val="00DB5B55"/>
    <w:rsid w:val="00DB5DCC"/>
    <w:rsid w:val="00DB5E72"/>
    <w:rsid w:val="00DB6066"/>
    <w:rsid w:val="00DB626D"/>
    <w:rsid w:val="00DB6429"/>
    <w:rsid w:val="00DB6443"/>
    <w:rsid w:val="00DB66C0"/>
    <w:rsid w:val="00DB67A1"/>
    <w:rsid w:val="00DB6830"/>
    <w:rsid w:val="00DB6862"/>
    <w:rsid w:val="00DB6939"/>
    <w:rsid w:val="00DB6A00"/>
    <w:rsid w:val="00DB6A04"/>
    <w:rsid w:val="00DB6A47"/>
    <w:rsid w:val="00DB6ABF"/>
    <w:rsid w:val="00DB6E9A"/>
    <w:rsid w:val="00DB6EF3"/>
    <w:rsid w:val="00DB6F90"/>
    <w:rsid w:val="00DB71E9"/>
    <w:rsid w:val="00DB7200"/>
    <w:rsid w:val="00DB758C"/>
    <w:rsid w:val="00DB75FB"/>
    <w:rsid w:val="00DB768A"/>
    <w:rsid w:val="00DB77F8"/>
    <w:rsid w:val="00DB7954"/>
    <w:rsid w:val="00DB7D64"/>
    <w:rsid w:val="00DB7DD1"/>
    <w:rsid w:val="00DB7FB7"/>
    <w:rsid w:val="00DC0072"/>
    <w:rsid w:val="00DC012F"/>
    <w:rsid w:val="00DC02D5"/>
    <w:rsid w:val="00DC0399"/>
    <w:rsid w:val="00DC0433"/>
    <w:rsid w:val="00DC0554"/>
    <w:rsid w:val="00DC0883"/>
    <w:rsid w:val="00DC0C53"/>
    <w:rsid w:val="00DC0D46"/>
    <w:rsid w:val="00DC0FA4"/>
    <w:rsid w:val="00DC0FE9"/>
    <w:rsid w:val="00DC1164"/>
    <w:rsid w:val="00DC1352"/>
    <w:rsid w:val="00DC147D"/>
    <w:rsid w:val="00DC14EA"/>
    <w:rsid w:val="00DC1582"/>
    <w:rsid w:val="00DC162B"/>
    <w:rsid w:val="00DC1631"/>
    <w:rsid w:val="00DC1766"/>
    <w:rsid w:val="00DC195F"/>
    <w:rsid w:val="00DC198C"/>
    <w:rsid w:val="00DC1A5C"/>
    <w:rsid w:val="00DC1BC7"/>
    <w:rsid w:val="00DC1CA0"/>
    <w:rsid w:val="00DC1DB6"/>
    <w:rsid w:val="00DC1EC7"/>
    <w:rsid w:val="00DC21D4"/>
    <w:rsid w:val="00DC2335"/>
    <w:rsid w:val="00DC23FA"/>
    <w:rsid w:val="00DC246F"/>
    <w:rsid w:val="00DC263B"/>
    <w:rsid w:val="00DC264B"/>
    <w:rsid w:val="00DC2720"/>
    <w:rsid w:val="00DC2744"/>
    <w:rsid w:val="00DC29EF"/>
    <w:rsid w:val="00DC2C3C"/>
    <w:rsid w:val="00DC2D79"/>
    <w:rsid w:val="00DC3168"/>
    <w:rsid w:val="00DC31CB"/>
    <w:rsid w:val="00DC3293"/>
    <w:rsid w:val="00DC3298"/>
    <w:rsid w:val="00DC329A"/>
    <w:rsid w:val="00DC32A6"/>
    <w:rsid w:val="00DC3446"/>
    <w:rsid w:val="00DC344C"/>
    <w:rsid w:val="00DC3661"/>
    <w:rsid w:val="00DC381E"/>
    <w:rsid w:val="00DC382B"/>
    <w:rsid w:val="00DC38B8"/>
    <w:rsid w:val="00DC39C3"/>
    <w:rsid w:val="00DC39EF"/>
    <w:rsid w:val="00DC3AF2"/>
    <w:rsid w:val="00DC3C60"/>
    <w:rsid w:val="00DC3C8C"/>
    <w:rsid w:val="00DC4028"/>
    <w:rsid w:val="00DC41D4"/>
    <w:rsid w:val="00DC4464"/>
    <w:rsid w:val="00DC4515"/>
    <w:rsid w:val="00DC4582"/>
    <w:rsid w:val="00DC45AE"/>
    <w:rsid w:val="00DC4605"/>
    <w:rsid w:val="00DC46EB"/>
    <w:rsid w:val="00DC482C"/>
    <w:rsid w:val="00DC4887"/>
    <w:rsid w:val="00DC48E1"/>
    <w:rsid w:val="00DC4B06"/>
    <w:rsid w:val="00DC4B19"/>
    <w:rsid w:val="00DC4C36"/>
    <w:rsid w:val="00DC4D97"/>
    <w:rsid w:val="00DC4D9B"/>
    <w:rsid w:val="00DC4DF8"/>
    <w:rsid w:val="00DC4E19"/>
    <w:rsid w:val="00DC4F13"/>
    <w:rsid w:val="00DC4F4E"/>
    <w:rsid w:val="00DC51A8"/>
    <w:rsid w:val="00DC524C"/>
    <w:rsid w:val="00DC52C0"/>
    <w:rsid w:val="00DC5476"/>
    <w:rsid w:val="00DC54D9"/>
    <w:rsid w:val="00DC5546"/>
    <w:rsid w:val="00DC5651"/>
    <w:rsid w:val="00DC5783"/>
    <w:rsid w:val="00DC58DD"/>
    <w:rsid w:val="00DC590E"/>
    <w:rsid w:val="00DC5963"/>
    <w:rsid w:val="00DC5B03"/>
    <w:rsid w:val="00DC601F"/>
    <w:rsid w:val="00DC6066"/>
    <w:rsid w:val="00DC62B8"/>
    <w:rsid w:val="00DC62F1"/>
    <w:rsid w:val="00DC636E"/>
    <w:rsid w:val="00DC645F"/>
    <w:rsid w:val="00DC64D6"/>
    <w:rsid w:val="00DC6633"/>
    <w:rsid w:val="00DC66FE"/>
    <w:rsid w:val="00DC6914"/>
    <w:rsid w:val="00DC692B"/>
    <w:rsid w:val="00DC69CD"/>
    <w:rsid w:val="00DC6A64"/>
    <w:rsid w:val="00DC6A84"/>
    <w:rsid w:val="00DC6E02"/>
    <w:rsid w:val="00DC6F1D"/>
    <w:rsid w:val="00DC6F2F"/>
    <w:rsid w:val="00DC6FA1"/>
    <w:rsid w:val="00DC70D8"/>
    <w:rsid w:val="00DC71D0"/>
    <w:rsid w:val="00DC7391"/>
    <w:rsid w:val="00DC7411"/>
    <w:rsid w:val="00DC7488"/>
    <w:rsid w:val="00DC762A"/>
    <w:rsid w:val="00DC796D"/>
    <w:rsid w:val="00DC7A1D"/>
    <w:rsid w:val="00DC7E02"/>
    <w:rsid w:val="00DC7E7A"/>
    <w:rsid w:val="00DC7E96"/>
    <w:rsid w:val="00DC7ECA"/>
    <w:rsid w:val="00DC7F1F"/>
    <w:rsid w:val="00DC7F72"/>
    <w:rsid w:val="00DD015A"/>
    <w:rsid w:val="00DD016C"/>
    <w:rsid w:val="00DD01D0"/>
    <w:rsid w:val="00DD0292"/>
    <w:rsid w:val="00DD058F"/>
    <w:rsid w:val="00DD06AE"/>
    <w:rsid w:val="00DD0713"/>
    <w:rsid w:val="00DD0AC3"/>
    <w:rsid w:val="00DD0CB2"/>
    <w:rsid w:val="00DD0CF4"/>
    <w:rsid w:val="00DD0D1F"/>
    <w:rsid w:val="00DD0DC3"/>
    <w:rsid w:val="00DD0DE4"/>
    <w:rsid w:val="00DD11F6"/>
    <w:rsid w:val="00DD1306"/>
    <w:rsid w:val="00DD13AF"/>
    <w:rsid w:val="00DD13E1"/>
    <w:rsid w:val="00DD13F6"/>
    <w:rsid w:val="00DD149E"/>
    <w:rsid w:val="00DD14DC"/>
    <w:rsid w:val="00DD1528"/>
    <w:rsid w:val="00DD1592"/>
    <w:rsid w:val="00DD19AE"/>
    <w:rsid w:val="00DD19FC"/>
    <w:rsid w:val="00DD1A49"/>
    <w:rsid w:val="00DD1B21"/>
    <w:rsid w:val="00DD1CB1"/>
    <w:rsid w:val="00DD1EA8"/>
    <w:rsid w:val="00DD1F2C"/>
    <w:rsid w:val="00DD1F65"/>
    <w:rsid w:val="00DD1FE3"/>
    <w:rsid w:val="00DD208A"/>
    <w:rsid w:val="00DD2091"/>
    <w:rsid w:val="00DD211E"/>
    <w:rsid w:val="00DD23E9"/>
    <w:rsid w:val="00DD2414"/>
    <w:rsid w:val="00DD2482"/>
    <w:rsid w:val="00DD24F4"/>
    <w:rsid w:val="00DD25B7"/>
    <w:rsid w:val="00DD2706"/>
    <w:rsid w:val="00DD2779"/>
    <w:rsid w:val="00DD2A88"/>
    <w:rsid w:val="00DD2AB6"/>
    <w:rsid w:val="00DD2B29"/>
    <w:rsid w:val="00DD2CFA"/>
    <w:rsid w:val="00DD2F23"/>
    <w:rsid w:val="00DD3276"/>
    <w:rsid w:val="00DD328B"/>
    <w:rsid w:val="00DD346D"/>
    <w:rsid w:val="00DD3480"/>
    <w:rsid w:val="00DD34D7"/>
    <w:rsid w:val="00DD3901"/>
    <w:rsid w:val="00DD3AF2"/>
    <w:rsid w:val="00DD3AFC"/>
    <w:rsid w:val="00DD3CDF"/>
    <w:rsid w:val="00DD3D81"/>
    <w:rsid w:val="00DD3DD2"/>
    <w:rsid w:val="00DD3DF2"/>
    <w:rsid w:val="00DD3E31"/>
    <w:rsid w:val="00DD4039"/>
    <w:rsid w:val="00DD4385"/>
    <w:rsid w:val="00DD43F2"/>
    <w:rsid w:val="00DD440C"/>
    <w:rsid w:val="00DD449D"/>
    <w:rsid w:val="00DD453C"/>
    <w:rsid w:val="00DD454E"/>
    <w:rsid w:val="00DD456D"/>
    <w:rsid w:val="00DD488B"/>
    <w:rsid w:val="00DD4924"/>
    <w:rsid w:val="00DD4D68"/>
    <w:rsid w:val="00DD4F64"/>
    <w:rsid w:val="00DD5024"/>
    <w:rsid w:val="00DD503F"/>
    <w:rsid w:val="00DD506B"/>
    <w:rsid w:val="00DD5110"/>
    <w:rsid w:val="00DD5238"/>
    <w:rsid w:val="00DD5296"/>
    <w:rsid w:val="00DD5305"/>
    <w:rsid w:val="00DD541E"/>
    <w:rsid w:val="00DD5435"/>
    <w:rsid w:val="00DD5465"/>
    <w:rsid w:val="00DD5505"/>
    <w:rsid w:val="00DD554E"/>
    <w:rsid w:val="00DD5591"/>
    <w:rsid w:val="00DD55A5"/>
    <w:rsid w:val="00DD5883"/>
    <w:rsid w:val="00DD5895"/>
    <w:rsid w:val="00DD5A84"/>
    <w:rsid w:val="00DD5F09"/>
    <w:rsid w:val="00DD60F6"/>
    <w:rsid w:val="00DD62A0"/>
    <w:rsid w:val="00DD62B5"/>
    <w:rsid w:val="00DD62F9"/>
    <w:rsid w:val="00DD633F"/>
    <w:rsid w:val="00DD63A6"/>
    <w:rsid w:val="00DD6408"/>
    <w:rsid w:val="00DD6416"/>
    <w:rsid w:val="00DD64DA"/>
    <w:rsid w:val="00DD664C"/>
    <w:rsid w:val="00DD66B9"/>
    <w:rsid w:val="00DD6878"/>
    <w:rsid w:val="00DD68A5"/>
    <w:rsid w:val="00DD6A4A"/>
    <w:rsid w:val="00DD6C57"/>
    <w:rsid w:val="00DD6EF4"/>
    <w:rsid w:val="00DD6F6B"/>
    <w:rsid w:val="00DD6FC6"/>
    <w:rsid w:val="00DD701F"/>
    <w:rsid w:val="00DD7136"/>
    <w:rsid w:val="00DD7395"/>
    <w:rsid w:val="00DD7458"/>
    <w:rsid w:val="00DD75AF"/>
    <w:rsid w:val="00DD75CD"/>
    <w:rsid w:val="00DD795D"/>
    <w:rsid w:val="00DD7ACA"/>
    <w:rsid w:val="00DD7B60"/>
    <w:rsid w:val="00DD7D27"/>
    <w:rsid w:val="00DD7D3C"/>
    <w:rsid w:val="00DD7F2B"/>
    <w:rsid w:val="00DD7FDF"/>
    <w:rsid w:val="00DD7FEF"/>
    <w:rsid w:val="00DE0069"/>
    <w:rsid w:val="00DE0093"/>
    <w:rsid w:val="00DE02ED"/>
    <w:rsid w:val="00DE03B4"/>
    <w:rsid w:val="00DE062B"/>
    <w:rsid w:val="00DE064F"/>
    <w:rsid w:val="00DE06F6"/>
    <w:rsid w:val="00DE0715"/>
    <w:rsid w:val="00DE0770"/>
    <w:rsid w:val="00DE07F4"/>
    <w:rsid w:val="00DE088C"/>
    <w:rsid w:val="00DE0937"/>
    <w:rsid w:val="00DE0CD1"/>
    <w:rsid w:val="00DE1044"/>
    <w:rsid w:val="00DE10BF"/>
    <w:rsid w:val="00DE11AD"/>
    <w:rsid w:val="00DE120C"/>
    <w:rsid w:val="00DE1265"/>
    <w:rsid w:val="00DE1466"/>
    <w:rsid w:val="00DE1666"/>
    <w:rsid w:val="00DE1961"/>
    <w:rsid w:val="00DE19BC"/>
    <w:rsid w:val="00DE1C38"/>
    <w:rsid w:val="00DE1CD9"/>
    <w:rsid w:val="00DE1CDA"/>
    <w:rsid w:val="00DE1D1B"/>
    <w:rsid w:val="00DE1E1F"/>
    <w:rsid w:val="00DE1EDA"/>
    <w:rsid w:val="00DE21EC"/>
    <w:rsid w:val="00DE2464"/>
    <w:rsid w:val="00DE24C9"/>
    <w:rsid w:val="00DE251D"/>
    <w:rsid w:val="00DE2681"/>
    <w:rsid w:val="00DE28D1"/>
    <w:rsid w:val="00DE2A51"/>
    <w:rsid w:val="00DE2BF2"/>
    <w:rsid w:val="00DE2C61"/>
    <w:rsid w:val="00DE2DFD"/>
    <w:rsid w:val="00DE2E2E"/>
    <w:rsid w:val="00DE2E74"/>
    <w:rsid w:val="00DE2EB1"/>
    <w:rsid w:val="00DE2F50"/>
    <w:rsid w:val="00DE3160"/>
    <w:rsid w:val="00DE3379"/>
    <w:rsid w:val="00DE339F"/>
    <w:rsid w:val="00DE34FF"/>
    <w:rsid w:val="00DE3541"/>
    <w:rsid w:val="00DE35CC"/>
    <w:rsid w:val="00DE3725"/>
    <w:rsid w:val="00DE37E5"/>
    <w:rsid w:val="00DE3B4A"/>
    <w:rsid w:val="00DE3D39"/>
    <w:rsid w:val="00DE3D4D"/>
    <w:rsid w:val="00DE3E75"/>
    <w:rsid w:val="00DE3F13"/>
    <w:rsid w:val="00DE3FBF"/>
    <w:rsid w:val="00DE3FF3"/>
    <w:rsid w:val="00DE416B"/>
    <w:rsid w:val="00DE436A"/>
    <w:rsid w:val="00DE43E1"/>
    <w:rsid w:val="00DE44F9"/>
    <w:rsid w:val="00DE4502"/>
    <w:rsid w:val="00DE4656"/>
    <w:rsid w:val="00DE4776"/>
    <w:rsid w:val="00DE478B"/>
    <w:rsid w:val="00DE4903"/>
    <w:rsid w:val="00DE4944"/>
    <w:rsid w:val="00DE4A46"/>
    <w:rsid w:val="00DE4A5E"/>
    <w:rsid w:val="00DE4A69"/>
    <w:rsid w:val="00DE4A96"/>
    <w:rsid w:val="00DE4BB2"/>
    <w:rsid w:val="00DE4BF5"/>
    <w:rsid w:val="00DE4DE3"/>
    <w:rsid w:val="00DE50D3"/>
    <w:rsid w:val="00DE5139"/>
    <w:rsid w:val="00DE531E"/>
    <w:rsid w:val="00DE5539"/>
    <w:rsid w:val="00DE5549"/>
    <w:rsid w:val="00DE554B"/>
    <w:rsid w:val="00DE55EA"/>
    <w:rsid w:val="00DE5679"/>
    <w:rsid w:val="00DE5929"/>
    <w:rsid w:val="00DE5980"/>
    <w:rsid w:val="00DE59CA"/>
    <w:rsid w:val="00DE5B51"/>
    <w:rsid w:val="00DE5BBE"/>
    <w:rsid w:val="00DE5D90"/>
    <w:rsid w:val="00DE5DB3"/>
    <w:rsid w:val="00DE5EC7"/>
    <w:rsid w:val="00DE5F40"/>
    <w:rsid w:val="00DE5F90"/>
    <w:rsid w:val="00DE60D0"/>
    <w:rsid w:val="00DE61B6"/>
    <w:rsid w:val="00DE636B"/>
    <w:rsid w:val="00DE63A3"/>
    <w:rsid w:val="00DE643D"/>
    <w:rsid w:val="00DE64B1"/>
    <w:rsid w:val="00DE651B"/>
    <w:rsid w:val="00DE6650"/>
    <w:rsid w:val="00DE6695"/>
    <w:rsid w:val="00DE67DA"/>
    <w:rsid w:val="00DE68DF"/>
    <w:rsid w:val="00DE698D"/>
    <w:rsid w:val="00DE69EA"/>
    <w:rsid w:val="00DE6B64"/>
    <w:rsid w:val="00DE6C19"/>
    <w:rsid w:val="00DE6C32"/>
    <w:rsid w:val="00DE7065"/>
    <w:rsid w:val="00DE7263"/>
    <w:rsid w:val="00DE73A1"/>
    <w:rsid w:val="00DE73B9"/>
    <w:rsid w:val="00DE743A"/>
    <w:rsid w:val="00DE748B"/>
    <w:rsid w:val="00DE74C2"/>
    <w:rsid w:val="00DE76C1"/>
    <w:rsid w:val="00DE7774"/>
    <w:rsid w:val="00DE784F"/>
    <w:rsid w:val="00DE78D0"/>
    <w:rsid w:val="00DE7AA3"/>
    <w:rsid w:val="00DE7C9C"/>
    <w:rsid w:val="00DE7E9E"/>
    <w:rsid w:val="00DF00D4"/>
    <w:rsid w:val="00DF0142"/>
    <w:rsid w:val="00DF01E2"/>
    <w:rsid w:val="00DF023D"/>
    <w:rsid w:val="00DF0256"/>
    <w:rsid w:val="00DF030D"/>
    <w:rsid w:val="00DF03A6"/>
    <w:rsid w:val="00DF0450"/>
    <w:rsid w:val="00DF04BF"/>
    <w:rsid w:val="00DF054E"/>
    <w:rsid w:val="00DF05E3"/>
    <w:rsid w:val="00DF060B"/>
    <w:rsid w:val="00DF06A3"/>
    <w:rsid w:val="00DF078F"/>
    <w:rsid w:val="00DF0797"/>
    <w:rsid w:val="00DF07B4"/>
    <w:rsid w:val="00DF0868"/>
    <w:rsid w:val="00DF08C6"/>
    <w:rsid w:val="00DF0A0E"/>
    <w:rsid w:val="00DF0C93"/>
    <w:rsid w:val="00DF0C98"/>
    <w:rsid w:val="00DF0CD4"/>
    <w:rsid w:val="00DF0E02"/>
    <w:rsid w:val="00DF0E74"/>
    <w:rsid w:val="00DF0ED0"/>
    <w:rsid w:val="00DF10B2"/>
    <w:rsid w:val="00DF132F"/>
    <w:rsid w:val="00DF13E6"/>
    <w:rsid w:val="00DF161D"/>
    <w:rsid w:val="00DF16C8"/>
    <w:rsid w:val="00DF16D1"/>
    <w:rsid w:val="00DF17F3"/>
    <w:rsid w:val="00DF1822"/>
    <w:rsid w:val="00DF1971"/>
    <w:rsid w:val="00DF1A7E"/>
    <w:rsid w:val="00DF1C95"/>
    <w:rsid w:val="00DF1D70"/>
    <w:rsid w:val="00DF1E49"/>
    <w:rsid w:val="00DF2089"/>
    <w:rsid w:val="00DF217A"/>
    <w:rsid w:val="00DF21BD"/>
    <w:rsid w:val="00DF25D3"/>
    <w:rsid w:val="00DF271A"/>
    <w:rsid w:val="00DF285A"/>
    <w:rsid w:val="00DF28A8"/>
    <w:rsid w:val="00DF2CD6"/>
    <w:rsid w:val="00DF2D4F"/>
    <w:rsid w:val="00DF2DB4"/>
    <w:rsid w:val="00DF2F85"/>
    <w:rsid w:val="00DF30B0"/>
    <w:rsid w:val="00DF3191"/>
    <w:rsid w:val="00DF32D5"/>
    <w:rsid w:val="00DF3309"/>
    <w:rsid w:val="00DF3368"/>
    <w:rsid w:val="00DF34A2"/>
    <w:rsid w:val="00DF3590"/>
    <w:rsid w:val="00DF35F7"/>
    <w:rsid w:val="00DF36DC"/>
    <w:rsid w:val="00DF371A"/>
    <w:rsid w:val="00DF375F"/>
    <w:rsid w:val="00DF3881"/>
    <w:rsid w:val="00DF3C44"/>
    <w:rsid w:val="00DF3D17"/>
    <w:rsid w:val="00DF3DAA"/>
    <w:rsid w:val="00DF3F27"/>
    <w:rsid w:val="00DF4380"/>
    <w:rsid w:val="00DF43A5"/>
    <w:rsid w:val="00DF4A41"/>
    <w:rsid w:val="00DF4A4D"/>
    <w:rsid w:val="00DF4BAF"/>
    <w:rsid w:val="00DF4BC3"/>
    <w:rsid w:val="00DF4D59"/>
    <w:rsid w:val="00DF4F00"/>
    <w:rsid w:val="00DF4F26"/>
    <w:rsid w:val="00DF4F50"/>
    <w:rsid w:val="00DF50A3"/>
    <w:rsid w:val="00DF50CC"/>
    <w:rsid w:val="00DF5162"/>
    <w:rsid w:val="00DF521D"/>
    <w:rsid w:val="00DF53A9"/>
    <w:rsid w:val="00DF5418"/>
    <w:rsid w:val="00DF542D"/>
    <w:rsid w:val="00DF5442"/>
    <w:rsid w:val="00DF54E9"/>
    <w:rsid w:val="00DF5504"/>
    <w:rsid w:val="00DF5579"/>
    <w:rsid w:val="00DF562A"/>
    <w:rsid w:val="00DF57EE"/>
    <w:rsid w:val="00DF5867"/>
    <w:rsid w:val="00DF58FD"/>
    <w:rsid w:val="00DF5B57"/>
    <w:rsid w:val="00DF5B7A"/>
    <w:rsid w:val="00DF5CF2"/>
    <w:rsid w:val="00DF5D61"/>
    <w:rsid w:val="00DF5EAF"/>
    <w:rsid w:val="00DF5FA8"/>
    <w:rsid w:val="00DF6005"/>
    <w:rsid w:val="00DF600F"/>
    <w:rsid w:val="00DF60E1"/>
    <w:rsid w:val="00DF61C8"/>
    <w:rsid w:val="00DF6299"/>
    <w:rsid w:val="00DF62A4"/>
    <w:rsid w:val="00DF6379"/>
    <w:rsid w:val="00DF63E8"/>
    <w:rsid w:val="00DF6454"/>
    <w:rsid w:val="00DF669B"/>
    <w:rsid w:val="00DF672A"/>
    <w:rsid w:val="00DF675E"/>
    <w:rsid w:val="00DF6806"/>
    <w:rsid w:val="00DF6840"/>
    <w:rsid w:val="00DF688B"/>
    <w:rsid w:val="00DF68D0"/>
    <w:rsid w:val="00DF6A6D"/>
    <w:rsid w:val="00DF6DCB"/>
    <w:rsid w:val="00DF6E8B"/>
    <w:rsid w:val="00DF6F03"/>
    <w:rsid w:val="00DF6F39"/>
    <w:rsid w:val="00DF73BC"/>
    <w:rsid w:val="00DF7506"/>
    <w:rsid w:val="00DF7507"/>
    <w:rsid w:val="00DF767B"/>
    <w:rsid w:val="00DF78A8"/>
    <w:rsid w:val="00DF78B7"/>
    <w:rsid w:val="00DF78C3"/>
    <w:rsid w:val="00DF7931"/>
    <w:rsid w:val="00DF7B18"/>
    <w:rsid w:val="00DF7C87"/>
    <w:rsid w:val="00DF7CAF"/>
    <w:rsid w:val="00DF7D0B"/>
    <w:rsid w:val="00DF7D48"/>
    <w:rsid w:val="00DF7E2C"/>
    <w:rsid w:val="00DF7F6F"/>
    <w:rsid w:val="00E00064"/>
    <w:rsid w:val="00E00145"/>
    <w:rsid w:val="00E0019C"/>
    <w:rsid w:val="00E001BD"/>
    <w:rsid w:val="00E00210"/>
    <w:rsid w:val="00E00225"/>
    <w:rsid w:val="00E002F8"/>
    <w:rsid w:val="00E005AD"/>
    <w:rsid w:val="00E005E7"/>
    <w:rsid w:val="00E0067D"/>
    <w:rsid w:val="00E0070E"/>
    <w:rsid w:val="00E0084B"/>
    <w:rsid w:val="00E009B4"/>
    <w:rsid w:val="00E00AD7"/>
    <w:rsid w:val="00E00C40"/>
    <w:rsid w:val="00E00C8C"/>
    <w:rsid w:val="00E00D48"/>
    <w:rsid w:val="00E00DC2"/>
    <w:rsid w:val="00E00DCC"/>
    <w:rsid w:val="00E010E5"/>
    <w:rsid w:val="00E01205"/>
    <w:rsid w:val="00E012CA"/>
    <w:rsid w:val="00E014DA"/>
    <w:rsid w:val="00E0159D"/>
    <w:rsid w:val="00E015F0"/>
    <w:rsid w:val="00E015FC"/>
    <w:rsid w:val="00E01768"/>
    <w:rsid w:val="00E01924"/>
    <w:rsid w:val="00E01B40"/>
    <w:rsid w:val="00E01D69"/>
    <w:rsid w:val="00E01D93"/>
    <w:rsid w:val="00E0214F"/>
    <w:rsid w:val="00E02208"/>
    <w:rsid w:val="00E02227"/>
    <w:rsid w:val="00E02271"/>
    <w:rsid w:val="00E023D4"/>
    <w:rsid w:val="00E023D7"/>
    <w:rsid w:val="00E0253A"/>
    <w:rsid w:val="00E026CD"/>
    <w:rsid w:val="00E02725"/>
    <w:rsid w:val="00E0279B"/>
    <w:rsid w:val="00E027E6"/>
    <w:rsid w:val="00E027F1"/>
    <w:rsid w:val="00E02930"/>
    <w:rsid w:val="00E02934"/>
    <w:rsid w:val="00E029AE"/>
    <w:rsid w:val="00E029E2"/>
    <w:rsid w:val="00E02F47"/>
    <w:rsid w:val="00E03093"/>
    <w:rsid w:val="00E030A3"/>
    <w:rsid w:val="00E030BE"/>
    <w:rsid w:val="00E030C9"/>
    <w:rsid w:val="00E03304"/>
    <w:rsid w:val="00E034DF"/>
    <w:rsid w:val="00E03504"/>
    <w:rsid w:val="00E03548"/>
    <w:rsid w:val="00E03581"/>
    <w:rsid w:val="00E035B1"/>
    <w:rsid w:val="00E03688"/>
    <w:rsid w:val="00E03844"/>
    <w:rsid w:val="00E03A0A"/>
    <w:rsid w:val="00E03A5B"/>
    <w:rsid w:val="00E03B37"/>
    <w:rsid w:val="00E03BBC"/>
    <w:rsid w:val="00E03D05"/>
    <w:rsid w:val="00E03D21"/>
    <w:rsid w:val="00E03D65"/>
    <w:rsid w:val="00E03F5A"/>
    <w:rsid w:val="00E0401E"/>
    <w:rsid w:val="00E040F4"/>
    <w:rsid w:val="00E041C3"/>
    <w:rsid w:val="00E04347"/>
    <w:rsid w:val="00E0434A"/>
    <w:rsid w:val="00E04591"/>
    <w:rsid w:val="00E045ED"/>
    <w:rsid w:val="00E047C8"/>
    <w:rsid w:val="00E048F6"/>
    <w:rsid w:val="00E0493D"/>
    <w:rsid w:val="00E04A89"/>
    <w:rsid w:val="00E04AA0"/>
    <w:rsid w:val="00E04CB9"/>
    <w:rsid w:val="00E04D59"/>
    <w:rsid w:val="00E04D6B"/>
    <w:rsid w:val="00E04E4A"/>
    <w:rsid w:val="00E04FA8"/>
    <w:rsid w:val="00E04FB9"/>
    <w:rsid w:val="00E0509F"/>
    <w:rsid w:val="00E050C1"/>
    <w:rsid w:val="00E051EB"/>
    <w:rsid w:val="00E05463"/>
    <w:rsid w:val="00E0563D"/>
    <w:rsid w:val="00E0563E"/>
    <w:rsid w:val="00E0566C"/>
    <w:rsid w:val="00E0582C"/>
    <w:rsid w:val="00E0585E"/>
    <w:rsid w:val="00E05877"/>
    <w:rsid w:val="00E058E8"/>
    <w:rsid w:val="00E058F8"/>
    <w:rsid w:val="00E05925"/>
    <w:rsid w:val="00E05986"/>
    <w:rsid w:val="00E05A4A"/>
    <w:rsid w:val="00E05A9F"/>
    <w:rsid w:val="00E05C69"/>
    <w:rsid w:val="00E05C87"/>
    <w:rsid w:val="00E05E7E"/>
    <w:rsid w:val="00E05F31"/>
    <w:rsid w:val="00E05F75"/>
    <w:rsid w:val="00E060EA"/>
    <w:rsid w:val="00E061DD"/>
    <w:rsid w:val="00E063AD"/>
    <w:rsid w:val="00E06639"/>
    <w:rsid w:val="00E0667B"/>
    <w:rsid w:val="00E06705"/>
    <w:rsid w:val="00E06730"/>
    <w:rsid w:val="00E06869"/>
    <w:rsid w:val="00E0689E"/>
    <w:rsid w:val="00E0692B"/>
    <w:rsid w:val="00E06A7D"/>
    <w:rsid w:val="00E06AF9"/>
    <w:rsid w:val="00E06B6A"/>
    <w:rsid w:val="00E06B82"/>
    <w:rsid w:val="00E06C45"/>
    <w:rsid w:val="00E06D12"/>
    <w:rsid w:val="00E06E51"/>
    <w:rsid w:val="00E06F98"/>
    <w:rsid w:val="00E0735B"/>
    <w:rsid w:val="00E0736A"/>
    <w:rsid w:val="00E074BD"/>
    <w:rsid w:val="00E074EF"/>
    <w:rsid w:val="00E0754D"/>
    <w:rsid w:val="00E076C7"/>
    <w:rsid w:val="00E07815"/>
    <w:rsid w:val="00E0799D"/>
    <w:rsid w:val="00E079E9"/>
    <w:rsid w:val="00E07BB7"/>
    <w:rsid w:val="00E07C54"/>
    <w:rsid w:val="00E07C6E"/>
    <w:rsid w:val="00E07CF3"/>
    <w:rsid w:val="00E07D08"/>
    <w:rsid w:val="00E07D0A"/>
    <w:rsid w:val="00E07DB5"/>
    <w:rsid w:val="00E07EC5"/>
    <w:rsid w:val="00E07FD8"/>
    <w:rsid w:val="00E0EBE8"/>
    <w:rsid w:val="00E10151"/>
    <w:rsid w:val="00E10300"/>
    <w:rsid w:val="00E1030A"/>
    <w:rsid w:val="00E1051B"/>
    <w:rsid w:val="00E10595"/>
    <w:rsid w:val="00E105A0"/>
    <w:rsid w:val="00E105C1"/>
    <w:rsid w:val="00E10656"/>
    <w:rsid w:val="00E10690"/>
    <w:rsid w:val="00E10753"/>
    <w:rsid w:val="00E10896"/>
    <w:rsid w:val="00E108DF"/>
    <w:rsid w:val="00E10AAF"/>
    <w:rsid w:val="00E10D54"/>
    <w:rsid w:val="00E10F16"/>
    <w:rsid w:val="00E10FF6"/>
    <w:rsid w:val="00E1106F"/>
    <w:rsid w:val="00E11175"/>
    <w:rsid w:val="00E11205"/>
    <w:rsid w:val="00E11251"/>
    <w:rsid w:val="00E11362"/>
    <w:rsid w:val="00E114E4"/>
    <w:rsid w:val="00E1158C"/>
    <w:rsid w:val="00E115DA"/>
    <w:rsid w:val="00E11616"/>
    <w:rsid w:val="00E1168E"/>
    <w:rsid w:val="00E11693"/>
    <w:rsid w:val="00E11720"/>
    <w:rsid w:val="00E117A7"/>
    <w:rsid w:val="00E11823"/>
    <w:rsid w:val="00E1183E"/>
    <w:rsid w:val="00E11892"/>
    <w:rsid w:val="00E11929"/>
    <w:rsid w:val="00E11977"/>
    <w:rsid w:val="00E1199A"/>
    <w:rsid w:val="00E11A38"/>
    <w:rsid w:val="00E11AB9"/>
    <w:rsid w:val="00E11C2E"/>
    <w:rsid w:val="00E11C7F"/>
    <w:rsid w:val="00E11D0B"/>
    <w:rsid w:val="00E11D0E"/>
    <w:rsid w:val="00E11D82"/>
    <w:rsid w:val="00E11D90"/>
    <w:rsid w:val="00E11E52"/>
    <w:rsid w:val="00E11FC2"/>
    <w:rsid w:val="00E12129"/>
    <w:rsid w:val="00E1219B"/>
    <w:rsid w:val="00E123AD"/>
    <w:rsid w:val="00E12426"/>
    <w:rsid w:val="00E127D9"/>
    <w:rsid w:val="00E127E5"/>
    <w:rsid w:val="00E12975"/>
    <w:rsid w:val="00E12F1E"/>
    <w:rsid w:val="00E12F79"/>
    <w:rsid w:val="00E12FB3"/>
    <w:rsid w:val="00E13089"/>
    <w:rsid w:val="00E130A9"/>
    <w:rsid w:val="00E131B8"/>
    <w:rsid w:val="00E131E0"/>
    <w:rsid w:val="00E134E5"/>
    <w:rsid w:val="00E13631"/>
    <w:rsid w:val="00E136DF"/>
    <w:rsid w:val="00E13770"/>
    <w:rsid w:val="00E13902"/>
    <w:rsid w:val="00E13D0D"/>
    <w:rsid w:val="00E13D1C"/>
    <w:rsid w:val="00E1403E"/>
    <w:rsid w:val="00E14194"/>
    <w:rsid w:val="00E141B2"/>
    <w:rsid w:val="00E14239"/>
    <w:rsid w:val="00E1431D"/>
    <w:rsid w:val="00E1448D"/>
    <w:rsid w:val="00E14552"/>
    <w:rsid w:val="00E146EC"/>
    <w:rsid w:val="00E146ED"/>
    <w:rsid w:val="00E14750"/>
    <w:rsid w:val="00E149AB"/>
    <w:rsid w:val="00E14A3E"/>
    <w:rsid w:val="00E14E76"/>
    <w:rsid w:val="00E14FD8"/>
    <w:rsid w:val="00E15033"/>
    <w:rsid w:val="00E150D4"/>
    <w:rsid w:val="00E151EF"/>
    <w:rsid w:val="00E15274"/>
    <w:rsid w:val="00E155E6"/>
    <w:rsid w:val="00E1576F"/>
    <w:rsid w:val="00E15779"/>
    <w:rsid w:val="00E1578F"/>
    <w:rsid w:val="00E157B0"/>
    <w:rsid w:val="00E157B6"/>
    <w:rsid w:val="00E157EA"/>
    <w:rsid w:val="00E158CA"/>
    <w:rsid w:val="00E159A7"/>
    <w:rsid w:val="00E15AC3"/>
    <w:rsid w:val="00E15B72"/>
    <w:rsid w:val="00E15B7E"/>
    <w:rsid w:val="00E15DF8"/>
    <w:rsid w:val="00E1618E"/>
    <w:rsid w:val="00E162DB"/>
    <w:rsid w:val="00E16313"/>
    <w:rsid w:val="00E16451"/>
    <w:rsid w:val="00E164C3"/>
    <w:rsid w:val="00E16574"/>
    <w:rsid w:val="00E1661A"/>
    <w:rsid w:val="00E1685B"/>
    <w:rsid w:val="00E16B49"/>
    <w:rsid w:val="00E16B75"/>
    <w:rsid w:val="00E16C1D"/>
    <w:rsid w:val="00E16CFF"/>
    <w:rsid w:val="00E16E80"/>
    <w:rsid w:val="00E16EDB"/>
    <w:rsid w:val="00E16F5F"/>
    <w:rsid w:val="00E17042"/>
    <w:rsid w:val="00E170C6"/>
    <w:rsid w:val="00E170F2"/>
    <w:rsid w:val="00E17308"/>
    <w:rsid w:val="00E17317"/>
    <w:rsid w:val="00E173C2"/>
    <w:rsid w:val="00E175DE"/>
    <w:rsid w:val="00E17638"/>
    <w:rsid w:val="00E176E8"/>
    <w:rsid w:val="00E178B7"/>
    <w:rsid w:val="00E179E0"/>
    <w:rsid w:val="00E17CDD"/>
    <w:rsid w:val="00E17DB2"/>
    <w:rsid w:val="00E17E85"/>
    <w:rsid w:val="00E2008F"/>
    <w:rsid w:val="00E201BC"/>
    <w:rsid w:val="00E20457"/>
    <w:rsid w:val="00E2057D"/>
    <w:rsid w:val="00E2081B"/>
    <w:rsid w:val="00E2082F"/>
    <w:rsid w:val="00E20845"/>
    <w:rsid w:val="00E209B7"/>
    <w:rsid w:val="00E20A8B"/>
    <w:rsid w:val="00E20AA1"/>
    <w:rsid w:val="00E20BDE"/>
    <w:rsid w:val="00E20CBD"/>
    <w:rsid w:val="00E20CCD"/>
    <w:rsid w:val="00E20E69"/>
    <w:rsid w:val="00E20F03"/>
    <w:rsid w:val="00E20F3D"/>
    <w:rsid w:val="00E21038"/>
    <w:rsid w:val="00E211A6"/>
    <w:rsid w:val="00E21533"/>
    <w:rsid w:val="00E21572"/>
    <w:rsid w:val="00E21580"/>
    <w:rsid w:val="00E2172E"/>
    <w:rsid w:val="00E2190F"/>
    <w:rsid w:val="00E219B7"/>
    <w:rsid w:val="00E21B2A"/>
    <w:rsid w:val="00E21B30"/>
    <w:rsid w:val="00E21B5F"/>
    <w:rsid w:val="00E21B78"/>
    <w:rsid w:val="00E21C10"/>
    <w:rsid w:val="00E21C4C"/>
    <w:rsid w:val="00E21C84"/>
    <w:rsid w:val="00E21DB5"/>
    <w:rsid w:val="00E21E86"/>
    <w:rsid w:val="00E21E99"/>
    <w:rsid w:val="00E21F78"/>
    <w:rsid w:val="00E2219D"/>
    <w:rsid w:val="00E2237F"/>
    <w:rsid w:val="00E2244F"/>
    <w:rsid w:val="00E225BC"/>
    <w:rsid w:val="00E225C4"/>
    <w:rsid w:val="00E2283D"/>
    <w:rsid w:val="00E2286B"/>
    <w:rsid w:val="00E228AC"/>
    <w:rsid w:val="00E2294D"/>
    <w:rsid w:val="00E2296F"/>
    <w:rsid w:val="00E229DF"/>
    <w:rsid w:val="00E229F0"/>
    <w:rsid w:val="00E22D81"/>
    <w:rsid w:val="00E22DE9"/>
    <w:rsid w:val="00E22F18"/>
    <w:rsid w:val="00E23044"/>
    <w:rsid w:val="00E23067"/>
    <w:rsid w:val="00E23140"/>
    <w:rsid w:val="00E23205"/>
    <w:rsid w:val="00E23258"/>
    <w:rsid w:val="00E232C4"/>
    <w:rsid w:val="00E234B8"/>
    <w:rsid w:val="00E235E3"/>
    <w:rsid w:val="00E235F7"/>
    <w:rsid w:val="00E236C9"/>
    <w:rsid w:val="00E2372A"/>
    <w:rsid w:val="00E237EA"/>
    <w:rsid w:val="00E23828"/>
    <w:rsid w:val="00E238B9"/>
    <w:rsid w:val="00E23979"/>
    <w:rsid w:val="00E23B66"/>
    <w:rsid w:val="00E23C2C"/>
    <w:rsid w:val="00E23DBE"/>
    <w:rsid w:val="00E23E81"/>
    <w:rsid w:val="00E23F77"/>
    <w:rsid w:val="00E23FBE"/>
    <w:rsid w:val="00E241CB"/>
    <w:rsid w:val="00E24338"/>
    <w:rsid w:val="00E24341"/>
    <w:rsid w:val="00E24382"/>
    <w:rsid w:val="00E24600"/>
    <w:rsid w:val="00E2479D"/>
    <w:rsid w:val="00E247A5"/>
    <w:rsid w:val="00E24860"/>
    <w:rsid w:val="00E2486E"/>
    <w:rsid w:val="00E2491C"/>
    <w:rsid w:val="00E249A2"/>
    <w:rsid w:val="00E24B39"/>
    <w:rsid w:val="00E24C66"/>
    <w:rsid w:val="00E24CA4"/>
    <w:rsid w:val="00E24F95"/>
    <w:rsid w:val="00E25172"/>
    <w:rsid w:val="00E252A0"/>
    <w:rsid w:val="00E252AE"/>
    <w:rsid w:val="00E253E5"/>
    <w:rsid w:val="00E2556C"/>
    <w:rsid w:val="00E2556E"/>
    <w:rsid w:val="00E25711"/>
    <w:rsid w:val="00E257E3"/>
    <w:rsid w:val="00E258C6"/>
    <w:rsid w:val="00E2592A"/>
    <w:rsid w:val="00E25A92"/>
    <w:rsid w:val="00E25AFF"/>
    <w:rsid w:val="00E25CE4"/>
    <w:rsid w:val="00E25DAD"/>
    <w:rsid w:val="00E25E48"/>
    <w:rsid w:val="00E25E79"/>
    <w:rsid w:val="00E25FBC"/>
    <w:rsid w:val="00E26131"/>
    <w:rsid w:val="00E262AE"/>
    <w:rsid w:val="00E263E4"/>
    <w:rsid w:val="00E2646C"/>
    <w:rsid w:val="00E2649E"/>
    <w:rsid w:val="00E265AF"/>
    <w:rsid w:val="00E2675E"/>
    <w:rsid w:val="00E2676D"/>
    <w:rsid w:val="00E26795"/>
    <w:rsid w:val="00E267DC"/>
    <w:rsid w:val="00E268DC"/>
    <w:rsid w:val="00E269A6"/>
    <w:rsid w:val="00E26D2B"/>
    <w:rsid w:val="00E26DDC"/>
    <w:rsid w:val="00E26E2B"/>
    <w:rsid w:val="00E26FF6"/>
    <w:rsid w:val="00E271D3"/>
    <w:rsid w:val="00E2743A"/>
    <w:rsid w:val="00E2747C"/>
    <w:rsid w:val="00E27627"/>
    <w:rsid w:val="00E2779C"/>
    <w:rsid w:val="00E27838"/>
    <w:rsid w:val="00E27867"/>
    <w:rsid w:val="00E27A09"/>
    <w:rsid w:val="00E27A55"/>
    <w:rsid w:val="00E27A77"/>
    <w:rsid w:val="00E27B7E"/>
    <w:rsid w:val="00E27BAB"/>
    <w:rsid w:val="00E27BCE"/>
    <w:rsid w:val="00E27C70"/>
    <w:rsid w:val="00E27CCA"/>
    <w:rsid w:val="00E27CE2"/>
    <w:rsid w:val="00E27DB6"/>
    <w:rsid w:val="00E27E0A"/>
    <w:rsid w:val="00E27FFC"/>
    <w:rsid w:val="00E2B7E9"/>
    <w:rsid w:val="00E30032"/>
    <w:rsid w:val="00E300A3"/>
    <w:rsid w:val="00E300CB"/>
    <w:rsid w:val="00E30378"/>
    <w:rsid w:val="00E3040F"/>
    <w:rsid w:val="00E304FB"/>
    <w:rsid w:val="00E304FD"/>
    <w:rsid w:val="00E306BC"/>
    <w:rsid w:val="00E306BD"/>
    <w:rsid w:val="00E3093C"/>
    <w:rsid w:val="00E30B21"/>
    <w:rsid w:val="00E30BB6"/>
    <w:rsid w:val="00E30D34"/>
    <w:rsid w:val="00E30DF8"/>
    <w:rsid w:val="00E30E4B"/>
    <w:rsid w:val="00E310AC"/>
    <w:rsid w:val="00E31242"/>
    <w:rsid w:val="00E31269"/>
    <w:rsid w:val="00E312CB"/>
    <w:rsid w:val="00E31328"/>
    <w:rsid w:val="00E314ED"/>
    <w:rsid w:val="00E31571"/>
    <w:rsid w:val="00E31645"/>
    <w:rsid w:val="00E31740"/>
    <w:rsid w:val="00E31863"/>
    <w:rsid w:val="00E31B0F"/>
    <w:rsid w:val="00E31B19"/>
    <w:rsid w:val="00E31CC2"/>
    <w:rsid w:val="00E31D0E"/>
    <w:rsid w:val="00E31D7E"/>
    <w:rsid w:val="00E31E95"/>
    <w:rsid w:val="00E31EAE"/>
    <w:rsid w:val="00E31F19"/>
    <w:rsid w:val="00E320C9"/>
    <w:rsid w:val="00E320D6"/>
    <w:rsid w:val="00E320F8"/>
    <w:rsid w:val="00E32109"/>
    <w:rsid w:val="00E32151"/>
    <w:rsid w:val="00E3217E"/>
    <w:rsid w:val="00E32216"/>
    <w:rsid w:val="00E32257"/>
    <w:rsid w:val="00E32274"/>
    <w:rsid w:val="00E322DB"/>
    <w:rsid w:val="00E3237C"/>
    <w:rsid w:val="00E32537"/>
    <w:rsid w:val="00E325BE"/>
    <w:rsid w:val="00E325D2"/>
    <w:rsid w:val="00E3265F"/>
    <w:rsid w:val="00E32771"/>
    <w:rsid w:val="00E329F8"/>
    <w:rsid w:val="00E32A2E"/>
    <w:rsid w:val="00E32A60"/>
    <w:rsid w:val="00E32D83"/>
    <w:rsid w:val="00E32D97"/>
    <w:rsid w:val="00E32E11"/>
    <w:rsid w:val="00E32FD3"/>
    <w:rsid w:val="00E33075"/>
    <w:rsid w:val="00E33187"/>
    <w:rsid w:val="00E33209"/>
    <w:rsid w:val="00E3337C"/>
    <w:rsid w:val="00E333A5"/>
    <w:rsid w:val="00E33405"/>
    <w:rsid w:val="00E3344C"/>
    <w:rsid w:val="00E3368C"/>
    <w:rsid w:val="00E337F4"/>
    <w:rsid w:val="00E33853"/>
    <w:rsid w:val="00E33A50"/>
    <w:rsid w:val="00E33AE6"/>
    <w:rsid w:val="00E33B1A"/>
    <w:rsid w:val="00E33B76"/>
    <w:rsid w:val="00E33B9A"/>
    <w:rsid w:val="00E33C6E"/>
    <w:rsid w:val="00E33E2F"/>
    <w:rsid w:val="00E3407F"/>
    <w:rsid w:val="00E34085"/>
    <w:rsid w:val="00E3408A"/>
    <w:rsid w:val="00E34157"/>
    <w:rsid w:val="00E341C0"/>
    <w:rsid w:val="00E34253"/>
    <w:rsid w:val="00E34357"/>
    <w:rsid w:val="00E3436D"/>
    <w:rsid w:val="00E343E9"/>
    <w:rsid w:val="00E343EB"/>
    <w:rsid w:val="00E34425"/>
    <w:rsid w:val="00E34497"/>
    <w:rsid w:val="00E3465F"/>
    <w:rsid w:val="00E346F6"/>
    <w:rsid w:val="00E349FD"/>
    <w:rsid w:val="00E34AB5"/>
    <w:rsid w:val="00E34ACC"/>
    <w:rsid w:val="00E34ADA"/>
    <w:rsid w:val="00E34B1E"/>
    <w:rsid w:val="00E34C12"/>
    <w:rsid w:val="00E34C65"/>
    <w:rsid w:val="00E34EDE"/>
    <w:rsid w:val="00E34F04"/>
    <w:rsid w:val="00E351D9"/>
    <w:rsid w:val="00E3523D"/>
    <w:rsid w:val="00E352F9"/>
    <w:rsid w:val="00E3544F"/>
    <w:rsid w:val="00E354B8"/>
    <w:rsid w:val="00E355E1"/>
    <w:rsid w:val="00E356C0"/>
    <w:rsid w:val="00E35791"/>
    <w:rsid w:val="00E35CD4"/>
    <w:rsid w:val="00E3619F"/>
    <w:rsid w:val="00E36204"/>
    <w:rsid w:val="00E364A6"/>
    <w:rsid w:val="00E364C4"/>
    <w:rsid w:val="00E36574"/>
    <w:rsid w:val="00E36781"/>
    <w:rsid w:val="00E368B2"/>
    <w:rsid w:val="00E36952"/>
    <w:rsid w:val="00E36AF1"/>
    <w:rsid w:val="00E36E1B"/>
    <w:rsid w:val="00E36F64"/>
    <w:rsid w:val="00E3716F"/>
    <w:rsid w:val="00E372EF"/>
    <w:rsid w:val="00E37402"/>
    <w:rsid w:val="00E375B8"/>
    <w:rsid w:val="00E375F0"/>
    <w:rsid w:val="00E376DA"/>
    <w:rsid w:val="00E377A3"/>
    <w:rsid w:val="00E37849"/>
    <w:rsid w:val="00E3796C"/>
    <w:rsid w:val="00E37985"/>
    <w:rsid w:val="00E37A00"/>
    <w:rsid w:val="00E37A33"/>
    <w:rsid w:val="00E37ADF"/>
    <w:rsid w:val="00E37BA2"/>
    <w:rsid w:val="00E37C4B"/>
    <w:rsid w:val="00E37D31"/>
    <w:rsid w:val="00E37DF9"/>
    <w:rsid w:val="00E37E0B"/>
    <w:rsid w:val="00E40200"/>
    <w:rsid w:val="00E40215"/>
    <w:rsid w:val="00E403EC"/>
    <w:rsid w:val="00E403F0"/>
    <w:rsid w:val="00E40582"/>
    <w:rsid w:val="00E405C3"/>
    <w:rsid w:val="00E4061F"/>
    <w:rsid w:val="00E4063D"/>
    <w:rsid w:val="00E4074C"/>
    <w:rsid w:val="00E4082E"/>
    <w:rsid w:val="00E408DA"/>
    <w:rsid w:val="00E40907"/>
    <w:rsid w:val="00E40A63"/>
    <w:rsid w:val="00E40C22"/>
    <w:rsid w:val="00E40DCF"/>
    <w:rsid w:val="00E40EA3"/>
    <w:rsid w:val="00E4100D"/>
    <w:rsid w:val="00E41015"/>
    <w:rsid w:val="00E41060"/>
    <w:rsid w:val="00E410F5"/>
    <w:rsid w:val="00E41290"/>
    <w:rsid w:val="00E4157F"/>
    <w:rsid w:val="00E41641"/>
    <w:rsid w:val="00E416B1"/>
    <w:rsid w:val="00E4190F"/>
    <w:rsid w:val="00E41AA0"/>
    <w:rsid w:val="00E41C01"/>
    <w:rsid w:val="00E41D9B"/>
    <w:rsid w:val="00E41DE8"/>
    <w:rsid w:val="00E41F2E"/>
    <w:rsid w:val="00E42101"/>
    <w:rsid w:val="00E4213B"/>
    <w:rsid w:val="00E421AA"/>
    <w:rsid w:val="00E422AB"/>
    <w:rsid w:val="00E422C5"/>
    <w:rsid w:val="00E4240A"/>
    <w:rsid w:val="00E425B7"/>
    <w:rsid w:val="00E425DE"/>
    <w:rsid w:val="00E427E4"/>
    <w:rsid w:val="00E42828"/>
    <w:rsid w:val="00E4287D"/>
    <w:rsid w:val="00E428B1"/>
    <w:rsid w:val="00E42A18"/>
    <w:rsid w:val="00E42B7D"/>
    <w:rsid w:val="00E42BD7"/>
    <w:rsid w:val="00E42D0F"/>
    <w:rsid w:val="00E42D72"/>
    <w:rsid w:val="00E42D95"/>
    <w:rsid w:val="00E42EA9"/>
    <w:rsid w:val="00E42F4C"/>
    <w:rsid w:val="00E432EC"/>
    <w:rsid w:val="00E43313"/>
    <w:rsid w:val="00E43359"/>
    <w:rsid w:val="00E43373"/>
    <w:rsid w:val="00E43439"/>
    <w:rsid w:val="00E436E5"/>
    <w:rsid w:val="00E43708"/>
    <w:rsid w:val="00E4374E"/>
    <w:rsid w:val="00E43859"/>
    <w:rsid w:val="00E43E8A"/>
    <w:rsid w:val="00E43ECB"/>
    <w:rsid w:val="00E43F67"/>
    <w:rsid w:val="00E43FC3"/>
    <w:rsid w:val="00E44139"/>
    <w:rsid w:val="00E44350"/>
    <w:rsid w:val="00E44389"/>
    <w:rsid w:val="00E44395"/>
    <w:rsid w:val="00E44558"/>
    <w:rsid w:val="00E44762"/>
    <w:rsid w:val="00E448AF"/>
    <w:rsid w:val="00E448DD"/>
    <w:rsid w:val="00E449AF"/>
    <w:rsid w:val="00E449FD"/>
    <w:rsid w:val="00E44A90"/>
    <w:rsid w:val="00E44BC2"/>
    <w:rsid w:val="00E44BC3"/>
    <w:rsid w:val="00E44D79"/>
    <w:rsid w:val="00E44E0E"/>
    <w:rsid w:val="00E44E3B"/>
    <w:rsid w:val="00E44EF7"/>
    <w:rsid w:val="00E4519F"/>
    <w:rsid w:val="00E4525D"/>
    <w:rsid w:val="00E45307"/>
    <w:rsid w:val="00E45476"/>
    <w:rsid w:val="00E45587"/>
    <w:rsid w:val="00E4559C"/>
    <w:rsid w:val="00E45613"/>
    <w:rsid w:val="00E4563D"/>
    <w:rsid w:val="00E4573A"/>
    <w:rsid w:val="00E4597C"/>
    <w:rsid w:val="00E45A28"/>
    <w:rsid w:val="00E45A9E"/>
    <w:rsid w:val="00E45ABA"/>
    <w:rsid w:val="00E45B8C"/>
    <w:rsid w:val="00E45C99"/>
    <w:rsid w:val="00E45D32"/>
    <w:rsid w:val="00E45D99"/>
    <w:rsid w:val="00E45ED8"/>
    <w:rsid w:val="00E45FD9"/>
    <w:rsid w:val="00E46129"/>
    <w:rsid w:val="00E4617F"/>
    <w:rsid w:val="00E46265"/>
    <w:rsid w:val="00E462B5"/>
    <w:rsid w:val="00E46332"/>
    <w:rsid w:val="00E46420"/>
    <w:rsid w:val="00E464F7"/>
    <w:rsid w:val="00E465CE"/>
    <w:rsid w:val="00E46657"/>
    <w:rsid w:val="00E46670"/>
    <w:rsid w:val="00E467B4"/>
    <w:rsid w:val="00E468F4"/>
    <w:rsid w:val="00E4690E"/>
    <w:rsid w:val="00E46AC6"/>
    <w:rsid w:val="00E46B0B"/>
    <w:rsid w:val="00E46B5A"/>
    <w:rsid w:val="00E46C91"/>
    <w:rsid w:val="00E46C98"/>
    <w:rsid w:val="00E46CA2"/>
    <w:rsid w:val="00E46DBE"/>
    <w:rsid w:val="00E46E61"/>
    <w:rsid w:val="00E46E84"/>
    <w:rsid w:val="00E46F84"/>
    <w:rsid w:val="00E47049"/>
    <w:rsid w:val="00E47172"/>
    <w:rsid w:val="00E472A2"/>
    <w:rsid w:val="00E4745A"/>
    <w:rsid w:val="00E474C1"/>
    <w:rsid w:val="00E4750C"/>
    <w:rsid w:val="00E47982"/>
    <w:rsid w:val="00E47A2B"/>
    <w:rsid w:val="00E47A4C"/>
    <w:rsid w:val="00E47C89"/>
    <w:rsid w:val="00E47C9C"/>
    <w:rsid w:val="00E47D06"/>
    <w:rsid w:val="00E47DD7"/>
    <w:rsid w:val="00E50065"/>
    <w:rsid w:val="00E50068"/>
    <w:rsid w:val="00E500BD"/>
    <w:rsid w:val="00E501C5"/>
    <w:rsid w:val="00E501D1"/>
    <w:rsid w:val="00E501D4"/>
    <w:rsid w:val="00E501F4"/>
    <w:rsid w:val="00E50210"/>
    <w:rsid w:val="00E5028B"/>
    <w:rsid w:val="00E5038A"/>
    <w:rsid w:val="00E5052E"/>
    <w:rsid w:val="00E5059C"/>
    <w:rsid w:val="00E5070F"/>
    <w:rsid w:val="00E5079B"/>
    <w:rsid w:val="00E508E0"/>
    <w:rsid w:val="00E50906"/>
    <w:rsid w:val="00E50A62"/>
    <w:rsid w:val="00E50A7F"/>
    <w:rsid w:val="00E50ED7"/>
    <w:rsid w:val="00E50EE8"/>
    <w:rsid w:val="00E51228"/>
    <w:rsid w:val="00E512A5"/>
    <w:rsid w:val="00E512B3"/>
    <w:rsid w:val="00E51674"/>
    <w:rsid w:val="00E518DC"/>
    <w:rsid w:val="00E51949"/>
    <w:rsid w:val="00E51A18"/>
    <w:rsid w:val="00E51B2E"/>
    <w:rsid w:val="00E51BBC"/>
    <w:rsid w:val="00E51BFD"/>
    <w:rsid w:val="00E51D53"/>
    <w:rsid w:val="00E51DAB"/>
    <w:rsid w:val="00E51E74"/>
    <w:rsid w:val="00E51E97"/>
    <w:rsid w:val="00E51F16"/>
    <w:rsid w:val="00E5206E"/>
    <w:rsid w:val="00E521E8"/>
    <w:rsid w:val="00E5235F"/>
    <w:rsid w:val="00E524A1"/>
    <w:rsid w:val="00E527FA"/>
    <w:rsid w:val="00E5289B"/>
    <w:rsid w:val="00E52901"/>
    <w:rsid w:val="00E529F4"/>
    <w:rsid w:val="00E52A63"/>
    <w:rsid w:val="00E52B93"/>
    <w:rsid w:val="00E52C5E"/>
    <w:rsid w:val="00E52D27"/>
    <w:rsid w:val="00E52F87"/>
    <w:rsid w:val="00E52F8F"/>
    <w:rsid w:val="00E53150"/>
    <w:rsid w:val="00E53172"/>
    <w:rsid w:val="00E532D0"/>
    <w:rsid w:val="00E5333B"/>
    <w:rsid w:val="00E536BD"/>
    <w:rsid w:val="00E536FD"/>
    <w:rsid w:val="00E5377D"/>
    <w:rsid w:val="00E5379A"/>
    <w:rsid w:val="00E537CC"/>
    <w:rsid w:val="00E538AB"/>
    <w:rsid w:val="00E53AD1"/>
    <w:rsid w:val="00E53B15"/>
    <w:rsid w:val="00E53B75"/>
    <w:rsid w:val="00E53B7E"/>
    <w:rsid w:val="00E53C24"/>
    <w:rsid w:val="00E53C5C"/>
    <w:rsid w:val="00E53DBE"/>
    <w:rsid w:val="00E53DD1"/>
    <w:rsid w:val="00E53E48"/>
    <w:rsid w:val="00E54063"/>
    <w:rsid w:val="00E540CA"/>
    <w:rsid w:val="00E54110"/>
    <w:rsid w:val="00E541A3"/>
    <w:rsid w:val="00E542FE"/>
    <w:rsid w:val="00E543C0"/>
    <w:rsid w:val="00E5463A"/>
    <w:rsid w:val="00E546E3"/>
    <w:rsid w:val="00E5482A"/>
    <w:rsid w:val="00E54845"/>
    <w:rsid w:val="00E5488A"/>
    <w:rsid w:val="00E548A9"/>
    <w:rsid w:val="00E548FE"/>
    <w:rsid w:val="00E549A3"/>
    <w:rsid w:val="00E54A67"/>
    <w:rsid w:val="00E54B46"/>
    <w:rsid w:val="00E54B74"/>
    <w:rsid w:val="00E54D9B"/>
    <w:rsid w:val="00E54DB5"/>
    <w:rsid w:val="00E54F81"/>
    <w:rsid w:val="00E55425"/>
    <w:rsid w:val="00E55509"/>
    <w:rsid w:val="00E555AD"/>
    <w:rsid w:val="00E5566C"/>
    <w:rsid w:val="00E556CB"/>
    <w:rsid w:val="00E556F2"/>
    <w:rsid w:val="00E557E3"/>
    <w:rsid w:val="00E55812"/>
    <w:rsid w:val="00E55A39"/>
    <w:rsid w:val="00E55C1D"/>
    <w:rsid w:val="00E55C5B"/>
    <w:rsid w:val="00E55C86"/>
    <w:rsid w:val="00E55C98"/>
    <w:rsid w:val="00E55DF7"/>
    <w:rsid w:val="00E55E84"/>
    <w:rsid w:val="00E560A3"/>
    <w:rsid w:val="00E56413"/>
    <w:rsid w:val="00E56414"/>
    <w:rsid w:val="00E5644F"/>
    <w:rsid w:val="00E56500"/>
    <w:rsid w:val="00E566B5"/>
    <w:rsid w:val="00E56701"/>
    <w:rsid w:val="00E567C3"/>
    <w:rsid w:val="00E567D8"/>
    <w:rsid w:val="00E568F6"/>
    <w:rsid w:val="00E5690F"/>
    <w:rsid w:val="00E569D7"/>
    <w:rsid w:val="00E56A75"/>
    <w:rsid w:val="00E56B36"/>
    <w:rsid w:val="00E56DED"/>
    <w:rsid w:val="00E57014"/>
    <w:rsid w:val="00E57214"/>
    <w:rsid w:val="00E57229"/>
    <w:rsid w:val="00E57241"/>
    <w:rsid w:val="00E57245"/>
    <w:rsid w:val="00E572D0"/>
    <w:rsid w:val="00E57331"/>
    <w:rsid w:val="00E5745D"/>
    <w:rsid w:val="00E574C5"/>
    <w:rsid w:val="00E575BD"/>
    <w:rsid w:val="00E57687"/>
    <w:rsid w:val="00E5789D"/>
    <w:rsid w:val="00E579D0"/>
    <w:rsid w:val="00E57A36"/>
    <w:rsid w:val="00E57B8F"/>
    <w:rsid w:val="00E57D46"/>
    <w:rsid w:val="00E57D80"/>
    <w:rsid w:val="00E57EA4"/>
    <w:rsid w:val="00E57EF2"/>
    <w:rsid w:val="00E57FE8"/>
    <w:rsid w:val="00E6074D"/>
    <w:rsid w:val="00E60889"/>
    <w:rsid w:val="00E60908"/>
    <w:rsid w:val="00E6096A"/>
    <w:rsid w:val="00E60989"/>
    <w:rsid w:val="00E60BF3"/>
    <w:rsid w:val="00E60C39"/>
    <w:rsid w:val="00E60C48"/>
    <w:rsid w:val="00E60DE9"/>
    <w:rsid w:val="00E60F09"/>
    <w:rsid w:val="00E60F2E"/>
    <w:rsid w:val="00E611F2"/>
    <w:rsid w:val="00E612FD"/>
    <w:rsid w:val="00E61396"/>
    <w:rsid w:val="00E61468"/>
    <w:rsid w:val="00E61475"/>
    <w:rsid w:val="00E61515"/>
    <w:rsid w:val="00E616C2"/>
    <w:rsid w:val="00E6177A"/>
    <w:rsid w:val="00E6178A"/>
    <w:rsid w:val="00E617B4"/>
    <w:rsid w:val="00E617BE"/>
    <w:rsid w:val="00E617C0"/>
    <w:rsid w:val="00E617D8"/>
    <w:rsid w:val="00E61821"/>
    <w:rsid w:val="00E618A2"/>
    <w:rsid w:val="00E61922"/>
    <w:rsid w:val="00E61A14"/>
    <w:rsid w:val="00E61B2B"/>
    <w:rsid w:val="00E61C26"/>
    <w:rsid w:val="00E61D15"/>
    <w:rsid w:val="00E61E27"/>
    <w:rsid w:val="00E620C2"/>
    <w:rsid w:val="00E62242"/>
    <w:rsid w:val="00E62620"/>
    <w:rsid w:val="00E6268F"/>
    <w:rsid w:val="00E6275B"/>
    <w:rsid w:val="00E628DA"/>
    <w:rsid w:val="00E629A4"/>
    <w:rsid w:val="00E629B3"/>
    <w:rsid w:val="00E629C0"/>
    <w:rsid w:val="00E62ADF"/>
    <w:rsid w:val="00E62C29"/>
    <w:rsid w:val="00E62D6D"/>
    <w:rsid w:val="00E62F92"/>
    <w:rsid w:val="00E63017"/>
    <w:rsid w:val="00E63037"/>
    <w:rsid w:val="00E63080"/>
    <w:rsid w:val="00E63198"/>
    <w:rsid w:val="00E631BC"/>
    <w:rsid w:val="00E63255"/>
    <w:rsid w:val="00E632A4"/>
    <w:rsid w:val="00E634B5"/>
    <w:rsid w:val="00E635F5"/>
    <w:rsid w:val="00E635FB"/>
    <w:rsid w:val="00E636A4"/>
    <w:rsid w:val="00E636D8"/>
    <w:rsid w:val="00E63CB6"/>
    <w:rsid w:val="00E63FBF"/>
    <w:rsid w:val="00E63FEC"/>
    <w:rsid w:val="00E64027"/>
    <w:rsid w:val="00E640C7"/>
    <w:rsid w:val="00E6410D"/>
    <w:rsid w:val="00E641A6"/>
    <w:rsid w:val="00E641D8"/>
    <w:rsid w:val="00E64308"/>
    <w:rsid w:val="00E6432D"/>
    <w:rsid w:val="00E643B4"/>
    <w:rsid w:val="00E645F3"/>
    <w:rsid w:val="00E64706"/>
    <w:rsid w:val="00E64BB6"/>
    <w:rsid w:val="00E64D69"/>
    <w:rsid w:val="00E651C0"/>
    <w:rsid w:val="00E6520F"/>
    <w:rsid w:val="00E65222"/>
    <w:rsid w:val="00E65261"/>
    <w:rsid w:val="00E65287"/>
    <w:rsid w:val="00E65468"/>
    <w:rsid w:val="00E65506"/>
    <w:rsid w:val="00E65522"/>
    <w:rsid w:val="00E6553D"/>
    <w:rsid w:val="00E65550"/>
    <w:rsid w:val="00E6556D"/>
    <w:rsid w:val="00E655C8"/>
    <w:rsid w:val="00E655E7"/>
    <w:rsid w:val="00E65663"/>
    <w:rsid w:val="00E65693"/>
    <w:rsid w:val="00E6578C"/>
    <w:rsid w:val="00E657AB"/>
    <w:rsid w:val="00E657C6"/>
    <w:rsid w:val="00E65B3D"/>
    <w:rsid w:val="00E65CDA"/>
    <w:rsid w:val="00E65D73"/>
    <w:rsid w:val="00E65E73"/>
    <w:rsid w:val="00E65FC4"/>
    <w:rsid w:val="00E66065"/>
    <w:rsid w:val="00E66321"/>
    <w:rsid w:val="00E663BE"/>
    <w:rsid w:val="00E66510"/>
    <w:rsid w:val="00E66573"/>
    <w:rsid w:val="00E6668B"/>
    <w:rsid w:val="00E66778"/>
    <w:rsid w:val="00E66882"/>
    <w:rsid w:val="00E66919"/>
    <w:rsid w:val="00E66957"/>
    <w:rsid w:val="00E66B14"/>
    <w:rsid w:val="00E66B49"/>
    <w:rsid w:val="00E66B5C"/>
    <w:rsid w:val="00E66C26"/>
    <w:rsid w:val="00E66C32"/>
    <w:rsid w:val="00E66E0C"/>
    <w:rsid w:val="00E66E4E"/>
    <w:rsid w:val="00E670C9"/>
    <w:rsid w:val="00E67108"/>
    <w:rsid w:val="00E67153"/>
    <w:rsid w:val="00E67213"/>
    <w:rsid w:val="00E67291"/>
    <w:rsid w:val="00E6738F"/>
    <w:rsid w:val="00E674DA"/>
    <w:rsid w:val="00E675BF"/>
    <w:rsid w:val="00E676DA"/>
    <w:rsid w:val="00E6787C"/>
    <w:rsid w:val="00E679B5"/>
    <w:rsid w:val="00E67CB3"/>
    <w:rsid w:val="00E67CCC"/>
    <w:rsid w:val="00E67D4C"/>
    <w:rsid w:val="00E67E0D"/>
    <w:rsid w:val="00E67F11"/>
    <w:rsid w:val="00E67F53"/>
    <w:rsid w:val="00E70032"/>
    <w:rsid w:val="00E700D5"/>
    <w:rsid w:val="00E700F8"/>
    <w:rsid w:val="00E70391"/>
    <w:rsid w:val="00E70473"/>
    <w:rsid w:val="00E704C7"/>
    <w:rsid w:val="00E70596"/>
    <w:rsid w:val="00E7065D"/>
    <w:rsid w:val="00E707C0"/>
    <w:rsid w:val="00E70938"/>
    <w:rsid w:val="00E7093B"/>
    <w:rsid w:val="00E709AE"/>
    <w:rsid w:val="00E709C8"/>
    <w:rsid w:val="00E70A33"/>
    <w:rsid w:val="00E70B40"/>
    <w:rsid w:val="00E70D2D"/>
    <w:rsid w:val="00E70DB6"/>
    <w:rsid w:val="00E70DFD"/>
    <w:rsid w:val="00E70E9C"/>
    <w:rsid w:val="00E70EB4"/>
    <w:rsid w:val="00E70F28"/>
    <w:rsid w:val="00E7103B"/>
    <w:rsid w:val="00E71051"/>
    <w:rsid w:val="00E7107C"/>
    <w:rsid w:val="00E7120B"/>
    <w:rsid w:val="00E71225"/>
    <w:rsid w:val="00E7128B"/>
    <w:rsid w:val="00E712DA"/>
    <w:rsid w:val="00E71330"/>
    <w:rsid w:val="00E71415"/>
    <w:rsid w:val="00E71955"/>
    <w:rsid w:val="00E71966"/>
    <w:rsid w:val="00E719B3"/>
    <w:rsid w:val="00E719F3"/>
    <w:rsid w:val="00E71B4F"/>
    <w:rsid w:val="00E71BAD"/>
    <w:rsid w:val="00E71BBA"/>
    <w:rsid w:val="00E71BDE"/>
    <w:rsid w:val="00E71CEA"/>
    <w:rsid w:val="00E71DFA"/>
    <w:rsid w:val="00E71E31"/>
    <w:rsid w:val="00E71E8D"/>
    <w:rsid w:val="00E7211F"/>
    <w:rsid w:val="00E72128"/>
    <w:rsid w:val="00E721B2"/>
    <w:rsid w:val="00E721C5"/>
    <w:rsid w:val="00E7233F"/>
    <w:rsid w:val="00E7234B"/>
    <w:rsid w:val="00E7241A"/>
    <w:rsid w:val="00E72541"/>
    <w:rsid w:val="00E72729"/>
    <w:rsid w:val="00E72787"/>
    <w:rsid w:val="00E727D6"/>
    <w:rsid w:val="00E72841"/>
    <w:rsid w:val="00E729C3"/>
    <w:rsid w:val="00E72A42"/>
    <w:rsid w:val="00E72B20"/>
    <w:rsid w:val="00E72C12"/>
    <w:rsid w:val="00E72CF1"/>
    <w:rsid w:val="00E72D24"/>
    <w:rsid w:val="00E72D3B"/>
    <w:rsid w:val="00E72E0A"/>
    <w:rsid w:val="00E72F1E"/>
    <w:rsid w:val="00E73282"/>
    <w:rsid w:val="00E73321"/>
    <w:rsid w:val="00E734D7"/>
    <w:rsid w:val="00E73586"/>
    <w:rsid w:val="00E735AB"/>
    <w:rsid w:val="00E73612"/>
    <w:rsid w:val="00E7375C"/>
    <w:rsid w:val="00E739C3"/>
    <w:rsid w:val="00E739CA"/>
    <w:rsid w:val="00E73A89"/>
    <w:rsid w:val="00E73BF6"/>
    <w:rsid w:val="00E73EB5"/>
    <w:rsid w:val="00E73FF3"/>
    <w:rsid w:val="00E740F3"/>
    <w:rsid w:val="00E740FD"/>
    <w:rsid w:val="00E74158"/>
    <w:rsid w:val="00E7423F"/>
    <w:rsid w:val="00E742EA"/>
    <w:rsid w:val="00E742FF"/>
    <w:rsid w:val="00E7463C"/>
    <w:rsid w:val="00E746B9"/>
    <w:rsid w:val="00E74798"/>
    <w:rsid w:val="00E748C1"/>
    <w:rsid w:val="00E748C4"/>
    <w:rsid w:val="00E74954"/>
    <w:rsid w:val="00E74991"/>
    <w:rsid w:val="00E74997"/>
    <w:rsid w:val="00E74ACC"/>
    <w:rsid w:val="00E74B58"/>
    <w:rsid w:val="00E74ED1"/>
    <w:rsid w:val="00E75023"/>
    <w:rsid w:val="00E75214"/>
    <w:rsid w:val="00E75376"/>
    <w:rsid w:val="00E754C4"/>
    <w:rsid w:val="00E75558"/>
    <w:rsid w:val="00E755A6"/>
    <w:rsid w:val="00E7566C"/>
    <w:rsid w:val="00E7569F"/>
    <w:rsid w:val="00E7575E"/>
    <w:rsid w:val="00E75B85"/>
    <w:rsid w:val="00E75BB1"/>
    <w:rsid w:val="00E75BC1"/>
    <w:rsid w:val="00E75C1F"/>
    <w:rsid w:val="00E75E63"/>
    <w:rsid w:val="00E75E9C"/>
    <w:rsid w:val="00E75F12"/>
    <w:rsid w:val="00E76057"/>
    <w:rsid w:val="00E760BF"/>
    <w:rsid w:val="00E76128"/>
    <w:rsid w:val="00E76203"/>
    <w:rsid w:val="00E7632F"/>
    <w:rsid w:val="00E76392"/>
    <w:rsid w:val="00E763BF"/>
    <w:rsid w:val="00E763FD"/>
    <w:rsid w:val="00E7646F"/>
    <w:rsid w:val="00E76550"/>
    <w:rsid w:val="00E766D8"/>
    <w:rsid w:val="00E76705"/>
    <w:rsid w:val="00E7670A"/>
    <w:rsid w:val="00E76830"/>
    <w:rsid w:val="00E769F4"/>
    <w:rsid w:val="00E76A68"/>
    <w:rsid w:val="00E76B0F"/>
    <w:rsid w:val="00E76B15"/>
    <w:rsid w:val="00E76CB6"/>
    <w:rsid w:val="00E76CE0"/>
    <w:rsid w:val="00E76DB1"/>
    <w:rsid w:val="00E76F44"/>
    <w:rsid w:val="00E76FBE"/>
    <w:rsid w:val="00E770BB"/>
    <w:rsid w:val="00E772A1"/>
    <w:rsid w:val="00E772B9"/>
    <w:rsid w:val="00E7747D"/>
    <w:rsid w:val="00E7757C"/>
    <w:rsid w:val="00E777B5"/>
    <w:rsid w:val="00E7781A"/>
    <w:rsid w:val="00E77BE8"/>
    <w:rsid w:val="00E77C0E"/>
    <w:rsid w:val="00E77D50"/>
    <w:rsid w:val="00E801CE"/>
    <w:rsid w:val="00E8021B"/>
    <w:rsid w:val="00E8034E"/>
    <w:rsid w:val="00E8037F"/>
    <w:rsid w:val="00E80385"/>
    <w:rsid w:val="00E80476"/>
    <w:rsid w:val="00E80674"/>
    <w:rsid w:val="00E80679"/>
    <w:rsid w:val="00E807CF"/>
    <w:rsid w:val="00E80868"/>
    <w:rsid w:val="00E80A18"/>
    <w:rsid w:val="00E80B0A"/>
    <w:rsid w:val="00E80B86"/>
    <w:rsid w:val="00E80BAA"/>
    <w:rsid w:val="00E80BE4"/>
    <w:rsid w:val="00E80D26"/>
    <w:rsid w:val="00E80E0B"/>
    <w:rsid w:val="00E80ED6"/>
    <w:rsid w:val="00E810E1"/>
    <w:rsid w:val="00E811BB"/>
    <w:rsid w:val="00E8122C"/>
    <w:rsid w:val="00E81270"/>
    <w:rsid w:val="00E813EC"/>
    <w:rsid w:val="00E8144B"/>
    <w:rsid w:val="00E8148D"/>
    <w:rsid w:val="00E8151F"/>
    <w:rsid w:val="00E81592"/>
    <w:rsid w:val="00E81745"/>
    <w:rsid w:val="00E81794"/>
    <w:rsid w:val="00E8192F"/>
    <w:rsid w:val="00E819B0"/>
    <w:rsid w:val="00E81B0C"/>
    <w:rsid w:val="00E81DF9"/>
    <w:rsid w:val="00E81EC3"/>
    <w:rsid w:val="00E81F21"/>
    <w:rsid w:val="00E81F4B"/>
    <w:rsid w:val="00E81F5A"/>
    <w:rsid w:val="00E8207A"/>
    <w:rsid w:val="00E8210E"/>
    <w:rsid w:val="00E82147"/>
    <w:rsid w:val="00E821AF"/>
    <w:rsid w:val="00E821E2"/>
    <w:rsid w:val="00E822E7"/>
    <w:rsid w:val="00E822F7"/>
    <w:rsid w:val="00E8277F"/>
    <w:rsid w:val="00E827C9"/>
    <w:rsid w:val="00E829E1"/>
    <w:rsid w:val="00E82AE6"/>
    <w:rsid w:val="00E82B62"/>
    <w:rsid w:val="00E82CA1"/>
    <w:rsid w:val="00E831BD"/>
    <w:rsid w:val="00E831FF"/>
    <w:rsid w:val="00E83330"/>
    <w:rsid w:val="00E83460"/>
    <w:rsid w:val="00E834F2"/>
    <w:rsid w:val="00E8372F"/>
    <w:rsid w:val="00E83885"/>
    <w:rsid w:val="00E83999"/>
    <w:rsid w:val="00E83B1E"/>
    <w:rsid w:val="00E83B74"/>
    <w:rsid w:val="00E83BC2"/>
    <w:rsid w:val="00E83C89"/>
    <w:rsid w:val="00E83ED7"/>
    <w:rsid w:val="00E83F61"/>
    <w:rsid w:val="00E83FD0"/>
    <w:rsid w:val="00E84005"/>
    <w:rsid w:val="00E8403F"/>
    <w:rsid w:val="00E8414C"/>
    <w:rsid w:val="00E8415E"/>
    <w:rsid w:val="00E846C3"/>
    <w:rsid w:val="00E84738"/>
    <w:rsid w:val="00E84803"/>
    <w:rsid w:val="00E84953"/>
    <w:rsid w:val="00E84A51"/>
    <w:rsid w:val="00E84AB1"/>
    <w:rsid w:val="00E84C65"/>
    <w:rsid w:val="00E85074"/>
    <w:rsid w:val="00E8514B"/>
    <w:rsid w:val="00E85230"/>
    <w:rsid w:val="00E852A7"/>
    <w:rsid w:val="00E85348"/>
    <w:rsid w:val="00E85418"/>
    <w:rsid w:val="00E8544C"/>
    <w:rsid w:val="00E85600"/>
    <w:rsid w:val="00E85643"/>
    <w:rsid w:val="00E856ED"/>
    <w:rsid w:val="00E85843"/>
    <w:rsid w:val="00E85844"/>
    <w:rsid w:val="00E85893"/>
    <w:rsid w:val="00E858DF"/>
    <w:rsid w:val="00E859E2"/>
    <w:rsid w:val="00E85B78"/>
    <w:rsid w:val="00E85BCA"/>
    <w:rsid w:val="00E85D2E"/>
    <w:rsid w:val="00E85E91"/>
    <w:rsid w:val="00E85EDB"/>
    <w:rsid w:val="00E86332"/>
    <w:rsid w:val="00E86362"/>
    <w:rsid w:val="00E86584"/>
    <w:rsid w:val="00E865DC"/>
    <w:rsid w:val="00E8664D"/>
    <w:rsid w:val="00E867C2"/>
    <w:rsid w:val="00E867C6"/>
    <w:rsid w:val="00E867F9"/>
    <w:rsid w:val="00E8693C"/>
    <w:rsid w:val="00E869A2"/>
    <w:rsid w:val="00E86AD8"/>
    <w:rsid w:val="00E86B3B"/>
    <w:rsid w:val="00E86CA5"/>
    <w:rsid w:val="00E86DC3"/>
    <w:rsid w:val="00E86DDF"/>
    <w:rsid w:val="00E86EC9"/>
    <w:rsid w:val="00E86EDD"/>
    <w:rsid w:val="00E870B0"/>
    <w:rsid w:val="00E8711B"/>
    <w:rsid w:val="00E87142"/>
    <w:rsid w:val="00E871FA"/>
    <w:rsid w:val="00E8721E"/>
    <w:rsid w:val="00E87261"/>
    <w:rsid w:val="00E872F1"/>
    <w:rsid w:val="00E8741C"/>
    <w:rsid w:val="00E87441"/>
    <w:rsid w:val="00E8767D"/>
    <w:rsid w:val="00E877D2"/>
    <w:rsid w:val="00E87873"/>
    <w:rsid w:val="00E87927"/>
    <w:rsid w:val="00E87BE9"/>
    <w:rsid w:val="00E87C0A"/>
    <w:rsid w:val="00E87EE8"/>
    <w:rsid w:val="00E90019"/>
    <w:rsid w:val="00E9006F"/>
    <w:rsid w:val="00E901B4"/>
    <w:rsid w:val="00E902B1"/>
    <w:rsid w:val="00E903A1"/>
    <w:rsid w:val="00E905C2"/>
    <w:rsid w:val="00E90689"/>
    <w:rsid w:val="00E90691"/>
    <w:rsid w:val="00E90885"/>
    <w:rsid w:val="00E90950"/>
    <w:rsid w:val="00E9095D"/>
    <w:rsid w:val="00E90C9F"/>
    <w:rsid w:val="00E90CA6"/>
    <w:rsid w:val="00E90E40"/>
    <w:rsid w:val="00E911B5"/>
    <w:rsid w:val="00E91202"/>
    <w:rsid w:val="00E9128D"/>
    <w:rsid w:val="00E9130A"/>
    <w:rsid w:val="00E9134C"/>
    <w:rsid w:val="00E914C8"/>
    <w:rsid w:val="00E914D4"/>
    <w:rsid w:val="00E914D6"/>
    <w:rsid w:val="00E91617"/>
    <w:rsid w:val="00E9168D"/>
    <w:rsid w:val="00E91951"/>
    <w:rsid w:val="00E9195B"/>
    <w:rsid w:val="00E91B5A"/>
    <w:rsid w:val="00E91E31"/>
    <w:rsid w:val="00E91F11"/>
    <w:rsid w:val="00E91F56"/>
    <w:rsid w:val="00E91F6B"/>
    <w:rsid w:val="00E9208B"/>
    <w:rsid w:val="00E9213D"/>
    <w:rsid w:val="00E921AF"/>
    <w:rsid w:val="00E92298"/>
    <w:rsid w:val="00E92503"/>
    <w:rsid w:val="00E9253D"/>
    <w:rsid w:val="00E9264D"/>
    <w:rsid w:val="00E927C0"/>
    <w:rsid w:val="00E929AA"/>
    <w:rsid w:val="00E929B6"/>
    <w:rsid w:val="00E929CD"/>
    <w:rsid w:val="00E92A2E"/>
    <w:rsid w:val="00E92C93"/>
    <w:rsid w:val="00E92E2F"/>
    <w:rsid w:val="00E92E82"/>
    <w:rsid w:val="00E92EAD"/>
    <w:rsid w:val="00E92F50"/>
    <w:rsid w:val="00E92FAD"/>
    <w:rsid w:val="00E93053"/>
    <w:rsid w:val="00E931ED"/>
    <w:rsid w:val="00E93210"/>
    <w:rsid w:val="00E934A9"/>
    <w:rsid w:val="00E93584"/>
    <w:rsid w:val="00E936E9"/>
    <w:rsid w:val="00E939A1"/>
    <w:rsid w:val="00E93AAD"/>
    <w:rsid w:val="00E93BB4"/>
    <w:rsid w:val="00E93F06"/>
    <w:rsid w:val="00E93F23"/>
    <w:rsid w:val="00E93F7D"/>
    <w:rsid w:val="00E94154"/>
    <w:rsid w:val="00E94234"/>
    <w:rsid w:val="00E943C1"/>
    <w:rsid w:val="00E943D9"/>
    <w:rsid w:val="00E944AE"/>
    <w:rsid w:val="00E944C6"/>
    <w:rsid w:val="00E9455A"/>
    <w:rsid w:val="00E94614"/>
    <w:rsid w:val="00E94818"/>
    <w:rsid w:val="00E949BA"/>
    <w:rsid w:val="00E94A35"/>
    <w:rsid w:val="00E94B9C"/>
    <w:rsid w:val="00E94C8E"/>
    <w:rsid w:val="00E94DA9"/>
    <w:rsid w:val="00E94FBA"/>
    <w:rsid w:val="00E9500B"/>
    <w:rsid w:val="00E952DE"/>
    <w:rsid w:val="00E954E4"/>
    <w:rsid w:val="00E95520"/>
    <w:rsid w:val="00E955FD"/>
    <w:rsid w:val="00E957AC"/>
    <w:rsid w:val="00E95ABE"/>
    <w:rsid w:val="00E95AF8"/>
    <w:rsid w:val="00E95B60"/>
    <w:rsid w:val="00E95BE5"/>
    <w:rsid w:val="00E95D61"/>
    <w:rsid w:val="00E95DAF"/>
    <w:rsid w:val="00E95DE3"/>
    <w:rsid w:val="00E95E8E"/>
    <w:rsid w:val="00E95F55"/>
    <w:rsid w:val="00E95FF8"/>
    <w:rsid w:val="00E960E6"/>
    <w:rsid w:val="00E96102"/>
    <w:rsid w:val="00E961A8"/>
    <w:rsid w:val="00E96293"/>
    <w:rsid w:val="00E96544"/>
    <w:rsid w:val="00E96547"/>
    <w:rsid w:val="00E96640"/>
    <w:rsid w:val="00E96646"/>
    <w:rsid w:val="00E966E1"/>
    <w:rsid w:val="00E9682C"/>
    <w:rsid w:val="00E968F4"/>
    <w:rsid w:val="00E96900"/>
    <w:rsid w:val="00E96918"/>
    <w:rsid w:val="00E96A96"/>
    <w:rsid w:val="00E96B4E"/>
    <w:rsid w:val="00E96D7B"/>
    <w:rsid w:val="00E96D8F"/>
    <w:rsid w:val="00E96F18"/>
    <w:rsid w:val="00E96F4C"/>
    <w:rsid w:val="00E970A8"/>
    <w:rsid w:val="00E970D3"/>
    <w:rsid w:val="00E9711E"/>
    <w:rsid w:val="00E97272"/>
    <w:rsid w:val="00E9729A"/>
    <w:rsid w:val="00E97606"/>
    <w:rsid w:val="00E97739"/>
    <w:rsid w:val="00E97828"/>
    <w:rsid w:val="00E978A3"/>
    <w:rsid w:val="00E978BA"/>
    <w:rsid w:val="00E97984"/>
    <w:rsid w:val="00E97B44"/>
    <w:rsid w:val="00E97C3D"/>
    <w:rsid w:val="00E97D7B"/>
    <w:rsid w:val="00E97F8C"/>
    <w:rsid w:val="00E97FAE"/>
    <w:rsid w:val="00EA003C"/>
    <w:rsid w:val="00EA0068"/>
    <w:rsid w:val="00EA01BE"/>
    <w:rsid w:val="00EA02CC"/>
    <w:rsid w:val="00EA02EC"/>
    <w:rsid w:val="00EA042B"/>
    <w:rsid w:val="00EA0441"/>
    <w:rsid w:val="00EA07D8"/>
    <w:rsid w:val="00EA07D9"/>
    <w:rsid w:val="00EA0813"/>
    <w:rsid w:val="00EA0B1F"/>
    <w:rsid w:val="00EA0B94"/>
    <w:rsid w:val="00EA0BFB"/>
    <w:rsid w:val="00EA0C11"/>
    <w:rsid w:val="00EA0D36"/>
    <w:rsid w:val="00EA0E00"/>
    <w:rsid w:val="00EA0EE7"/>
    <w:rsid w:val="00EA0F05"/>
    <w:rsid w:val="00EA0F74"/>
    <w:rsid w:val="00EA10A6"/>
    <w:rsid w:val="00EA110D"/>
    <w:rsid w:val="00EA1173"/>
    <w:rsid w:val="00EA11AB"/>
    <w:rsid w:val="00EA133C"/>
    <w:rsid w:val="00EA14DC"/>
    <w:rsid w:val="00EA15EB"/>
    <w:rsid w:val="00EA163C"/>
    <w:rsid w:val="00EA1820"/>
    <w:rsid w:val="00EA1843"/>
    <w:rsid w:val="00EA1871"/>
    <w:rsid w:val="00EA198A"/>
    <w:rsid w:val="00EA19B2"/>
    <w:rsid w:val="00EA1A78"/>
    <w:rsid w:val="00EA1A8F"/>
    <w:rsid w:val="00EA1B05"/>
    <w:rsid w:val="00EA1B21"/>
    <w:rsid w:val="00EA1B96"/>
    <w:rsid w:val="00EA1D7F"/>
    <w:rsid w:val="00EA214D"/>
    <w:rsid w:val="00EA21A3"/>
    <w:rsid w:val="00EA232F"/>
    <w:rsid w:val="00EA23D2"/>
    <w:rsid w:val="00EA2405"/>
    <w:rsid w:val="00EA24EF"/>
    <w:rsid w:val="00EA25FF"/>
    <w:rsid w:val="00EA2A8A"/>
    <w:rsid w:val="00EA2A93"/>
    <w:rsid w:val="00EA2C75"/>
    <w:rsid w:val="00EA2D15"/>
    <w:rsid w:val="00EA2DE4"/>
    <w:rsid w:val="00EA2F53"/>
    <w:rsid w:val="00EA2FAB"/>
    <w:rsid w:val="00EA3140"/>
    <w:rsid w:val="00EA3244"/>
    <w:rsid w:val="00EA3546"/>
    <w:rsid w:val="00EA35DD"/>
    <w:rsid w:val="00EA3676"/>
    <w:rsid w:val="00EA39CA"/>
    <w:rsid w:val="00EA3A29"/>
    <w:rsid w:val="00EA3A39"/>
    <w:rsid w:val="00EA3A5C"/>
    <w:rsid w:val="00EA3B0E"/>
    <w:rsid w:val="00EA3C08"/>
    <w:rsid w:val="00EA3CA3"/>
    <w:rsid w:val="00EA3CFC"/>
    <w:rsid w:val="00EA3E15"/>
    <w:rsid w:val="00EA3E57"/>
    <w:rsid w:val="00EA3E85"/>
    <w:rsid w:val="00EA3E9F"/>
    <w:rsid w:val="00EA3EBC"/>
    <w:rsid w:val="00EA3EFA"/>
    <w:rsid w:val="00EA439F"/>
    <w:rsid w:val="00EA4410"/>
    <w:rsid w:val="00EA44C2"/>
    <w:rsid w:val="00EA44C7"/>
    <w:rsid w:val="00EA4536"/>
    <w:rsid w:val="00EA4588"/>
    <w:rsid w:val="00EA473C"/>
    <w:rsid w:val="00EA47A8"/>
    <w:rsid w:val="00EA4B84"/>
    <w:rsid w:val="00EA4C8E"/>
    <w:rsid w:val="00EA4CF7"/>
    <w:rsid w:val="00EA4D93"/>
    <w:rsid w:val="00EA4F49"/>
    <w:rsid w:val="00EA4FD2"/>
    <w:rsid w:val="00EA4FF7"/>
    <w:rsid w:val="00EA5017"/>
    <w:rsid w:val="00EA5213"/>
    <w:rsid w:val="00EA52D3"/>
    <w:rsid w:val="00EA5428"/>
    <w:rsid w:val="00EA55EA"/>
    <w:rsid w:val="00EA5601"/>
    <w:rsid w:val="00EA5640"/>
    <w:rsid w:val="00EA5731"/>
    <w:rsid w:val="00EA5807"/>
    <w:rsid w:val="00EA58AA"/>
    <w:rsid w:val="00EA59AC"/>
    <w:rsid w:val="00EA5A5F"/>
    <w:rsid w:val="00EA5A87"/>
    <w:rsid w:val="00EA5B11"/>
    <w:rsid w:val="00EA5B18"/>
    <w:rsid w:val="00EA5D74"/>
    <w:rsid w:val="00EA60C0"/>
    <w:rsid w:val="00EA6184"/>
    <w:rsid w:val="00EA619E"/>
    <w:rsid w:val="00EA6267"/>
    <w:rsid w:val="00EA638F"/>
    <w:rsid w:val="00EA6469"/>
    <w:rsid w:val="00EA64DF"/>
    <w:rsid w:val="00EA6772"/>
    <w:rsid w:val="00EA680F"/>
    <w:rsid w:val="00EA6894"/>
    <w:rsid w:val="00EA6910"/>
    <w:rsid w:val="00EA6BDB"/>
    <w:rsid w:val="00EA6CAC"/>
    <w:rsid w:val="00EA6CB8"/>
    <w:rsid w:val="00EA6DA2"/>
    <w:rsid w:val="00EA6E0D"/>
    <w:rsid w:val="00EA6EF8"/>
    <w:rsid w:val="00EA6F91"/>
    <w:rsid w:val="00EA7155"/>
    <w:rsid w:val="00EA7227"/>
    <w:rsid w:val="00EA7303"/>
    <w:rsid w:val="00EA736B"/>
    <w:rsid w:val="00EA74AB"/>
    <w:rsid w:val="00EA7608"/>
    <w:rsid w:val="00EA76AB"/>
    <w:rsid w:val="00EA7824"/>
    <w:rsid w:val="00EA7B54"/>
    <w:rsid w:val="00EA7BB4"/>
    <w:rsid w:val="00EA7C33"/>
    <w:rsid w:val="00EA7CB2"/>
    <w:rsid w:val="00EA7CCF"/>
    <w:rsid w:val="00EA7CDC"/>
    <w:rsid w:val="00EA7CEB"/>
    <w:rsid w:val="00EA7E03"/>
    <w:rsid w:val="00EA7E50"/>
    <w:rsid w:val="00EA7E84"/>
    <w:rsid w:val="00EA7EF3"/>
    <w:rsid w:val="00EAF871"/>
    <w:rsid w:val="00EB00D7"/>
    <w:rsid w:val="00EB017B"/>
    <w:rsid w:val="00EB01E2"/>
    <w:rsid w:val="00EB020F"/>
    <w:rsid w:val="00EB0231"/>
    <w:rsid w:val="00EB04D4"/>
    <w:rsid w:val="00EB04DA"/>
    <w:rsid w:val="00EB04FE"/>
    <w:rsid w:val="00EB06F7"/>
    <w:rsid w:val="00EB08CA"/>
    <w:rsid w:val="00EB0985"/>
    <w:rsid w:val="00EB0D22"/>
    <w:rsid w:val="00EB0DFC"/>
    <w:rsid w:val="00EB0ED7"/>
    <w:rsid w:val="00EB107B"/>
    <w:rsid w:val="00EB124A"/>
    <w:rsid w:val="00EB12A8"/>
    <w:rsid w:val="00EB12EE"/>
    <w:rsid w:val="00EB1556"/>
    <w:rsid w:val="00EB1569"/>
    <w:rsid w:val="00EB1658"/>
    <w:rsid w:val="00EB1795"/>
    <w:rsid w:val="00EB1864"/>
    <w:rsid w:val="00EB187D"/>
    <w:rsid w:val="00EB1B91"/>
    <w:rsid w:val="00EB1BD2"/>
    <w:rsid w:val="00EB1CF7"/>
    <w:rsid w:val="00EB1F8D"/>
    <w:rsid w:val="00EB1F99"/>
    <w:rsid w:val="00EB2311"/>
    <w:rsid w:val="00EB233F"/>
    <w:rsid w:val="00EB248B"/>
    <w:rsid w:val="00EB24FB"/>
    <w:rsid w:val="00EB2534"/>
    <w:rsid w:val="00EB25E5"/>
    <w:rsid w:val="00EB2651"/>
    <w:rsid w:val="00EB27C1"/>
    <w:rsid w:val="00EB27FD"/>
    <w:rsid w:val="00EB2B16"/>
    <w:rsid w:val="00EB2BDB"/>
    <w:rsid w:val="00EB2D26"/>
    <w:rsid w:val="00EB2EFC"/>
    <w:rsid w:val="00EB30D0"/>
    <w:rsid w:val="00EB3265"/>
    <w:rsid w:val="00EB32D2"/>
    <w:rsid w:val="00EB3379"/>
    <w:rsid w:val="00EB349F"/>
    <w:rsid w:val="00EB36AF"/>
    <w:rsid w:val="00EB3740"/>
    <w:rsid w:val="00EB3864"/>
    <w:rsid w:val="00EB3A2C"/>
    <w:rsid w:val="00EB3A87"/>
    <w:rsid w:val="00EB3BA2"/>
    <w:rsid w:val="00EB4054"/>
    <w:rsid w:val="00EB407C"/>
    <w:rsid w:val="00EB40D7"/>
    <w:rsid w:val="00EB4180"/>
    <w:rsid w:val="00EB4541"/>
    <w:rsid w:val="00EB45E6"/>
    <w:rsid w:val="00EB47B4"/>
    <w:rsid w:val="00EB4943"/>
    <w:rsid w:val="00EB4991"/>
    <w:rsid w:val="00EB49A0"/>
    <w:rsid w:val="00EB49BC"/>
    <w:rsid w:val="00EB4A64"/>
    <w:rsid w:val="00EB4A7C"/>
    <w:rsid w:val="00EB4C83"/>
    <w:rsid w:val="00EB4CD4"/>
    <w:rsid w:val="00EB4CE6"/>
    <w:rsid w:val="00EB4DF8"/>
    <w:rsid w:val="00EB4E1D"/>
    <w:rsid w:val="00EB4EBE"/>
    <w:rsid w:val="00EB4F1B"/>
    <w:rsid w:val="00EB510C"/>
    <w:rsid w:val="00EB51BA"/>
    <w:rsid w:val="00EB526F"/>
    <w:rsid w:val="00EB532B"/>
    <w:rsid w:val="00EB5437"/>
    <w:rsid w:val="00EB544F"/>
    <w:rsid w:val="00EB5452"/>
    <w:rsid w:val="00EB54B3"/>
    <w:rsid w:val="00EB55BC"/>
    <w:rsid w:val="00EB5695"/>
    <w:rsid w:val="00EB5925"/>
    <w:rsid w:val="00EB5931"/>
    <w:rsid w:val="00EB5A46"/>
    <w:rsid w:val="00EB5A7C"/>
    <w:rsid w:val="00EB5AC0"/>
    <w:rsid w:val="00EB5AC9"/>
    <w:rsid w:val="00EB5CC4"/>
    <w:rsid w:val="00EB5D10"/>
    <w:rsid w:val="00EB5DA9"/>
    <w:rsid w:val="00EB5DE4"/>
    <w:rsid w:val="00EB5E91"/>
    <w:rsid w:val="00EB5EDE"/>
    <w:rsid w:val="00EB5F97"/>
    <w:rsid w:val="00EB6456"/>
    <w:rsid w:val="00EB6589"/>
    <w:rsid w:val="00EB697D"/>
    <w:rsid w:val="00EB6B40"/>
    <w:rsid w:val="00EB6B83"/>
    <w:rsid w:val="00EB6BCD"/>
    <w:rsid w:val="00EB6C31"/>
    <w:rsid w:val="00EB6D40"/>
    <w:rsid w:val="00EB6DF2"/>
    <w:rsid w:val="00EB6F76"/>
    <w:rsid w:val="00EB70AD"/>
    <w:rsid w:val="00EB73F6"/>
    <w:rsid w:val="00EB742B"/>
    <w:rsid w:val="00EB752B"/>
    <w:rsid w:val="00EB75BC"/>
    <w:rsid w:val="00EB7743"/>
    <w:rsid w:val="00EB7762"/>
    <w:rsid w:val="00EB777A"/>
    <w:rsid w:val="00EB779E"/>
    <w:rsid w:val="00EB790D"/>
    <w:rsid w:val="00EB7A0F"/>
    <w:rsid w:val="00EB7A36"/>
    <w:rsid w:val="00EB7AEC"/>
    <w:rsid w:val="00EB7AF6"/>
    <w:rsid w:val="00EB7B80"/>
    <w:rsid w:val="00EB7C28"/>
    <w:rsid w:val="00EB7D64"/>
    <w:rsid w:val="00EB7E4E"/>
    <w:rsid w:val="00EB9D11"/>
    <w:rsid w:val="00EC01CE"/>
    <w:rsid w:val="00EC03FD"/>
    <w:rsid w:val="00EC052F"/>
    <w:rsid w:val="00EC055D"/>
    <w:rsid w:val="00EC0735"/>
    <w:rsid w:val="00EC0783"/>
    <w:rsid w:val="00EC0845"/>
    <w:rsid w:val="00EC0853"/>
    <w:rsid w:val="00EC0B30"/>
    <w:rsid w:val="00EC0BF2"/>
    <w:rsid w:val="00EC0C46"/>
    <w:rsid w:val="00EC0C48"/>
    <w:rsid w:val="00EC0DB4"/>
    <w:rsid w:val="00EC0E62"/>
    <w:rsid w:val="00EC0ECC"/>
    <w:rsid w:val="00EC0ED0"/>
    <w:rsid w:val="00EC0ED5"/>
    <w:rsid w:val="00EC1021"/>
    <w:rsid w:val="00EC107D"/>
    <w:rsid w:val="00EC1085"/>
    <w:rsid w:val="00EC10B3"/>
    <w:rsid w:val="00EC11CB"/>
    <w:rsid w:val="00EC11DA"/>
    <w:rsid w:val="00EC11FD"/>
    <w:rsid w:val="00EC1348"/>
    <w:rsid w:val="00EC1480"/>
    <w:rsid w:val="00EC1529"/>
    <w:rsid w:val="00EC182E"/>
    <w:rsid w:val="00EC18C8"/>
    <w:rsid w:val="00EC18F1"/>
    <w:rsid w:val="00EC1912"/>
    <w:rsid w:val="00EC191C"/>
    <w:rsid w:val="00EC1949"/>
    <w:rsid w:val="00EC1957"/>
    <w:rsid w:val="00EC19C4"/>
    <w:rsid w:val="00EC1B0C"/>
    <w:rsid w:val="00EC1BE1"/>
    <w:rsid w:val="00EC1BE6"/>
    <w:rsid w:val="00EC1C5F"/>
    <w:rsid w:val="00EC1E2B"/>
    <w:rsid w:val="00EC1EBE"/>
    <w:rsid w:val="00EC1F5E"/>
    <w:rsid w:val="00EC20A8"/>
    <w:rsid w:val="00EC20B9"/>
    <w:rsid w:val="00EC21F5"/>
    <w:rsid w:val="00EC229D"/>
    <w:rsid w:val="00EC235B"/>
    <w:rsid w:val="00EC2445"/>
    <w:rsid w:val="00EC2464"/>
    <w:rsid w:val="00EC2500"/>
    <w:rsid w:val="00EC2530"/>
    <w:rsid w:val="00EC2638"/>
    <w:rsid w:val="00EC28BB"/>
    <w:rsid w:val="00EC28FA"/>
    <w:rsid w:val="00EC2904"/>
    <w:rsid w:val="00EC2BF4"/>
    <w:rsid w:val="00EC2D2C"/>
    <w:rsid w:val="00EC2E9F"/>
    <w:rsid w:val="00EC2F9B"/>
    <w:rsid w:val="00EC300B"/>
    <w:rsid w:val="00EC3177"/>
    <w:rsid w:val="00EC31F4"/>
    <w:rsid w:val="00EC34C6"/>
    <w:rsid w:val="00EC36C7"/>
    <w:rsid w:val="00EC36FB"/>
    <w:rsid w:val="00EC371A"/>
    <w:rsid w:val="00EC374A"/>
    <w:rsid w:val="00EC37F4"/>
    <w:rsid w:val="00EC380D"/>
    <w:rsid w:val="00EC385F"/>
    <w:rsid w:val="00EC3A83"/>
    <w:rsid w:val="00EC3AAD"/>
    <w:rsid w:val="00EC3BDE"/>
    <w:rsid w:val="00EC3E09"/>
    <w:rsid w:val="00EC3F05"/>
    <w:rsid w:val="00EC40FE"/>
    <w:rsid w:val="00EC420A"/>
    <w:rsid w:val="00EC4245"/>
    <w:rsid w:val="00EC46E4"/>
    <w:rsid w:val="00EC4828"/>
    <w:rsid w:val="00EC4B30"/>
    <w:rsid w:val="00EC4BEE"/>
    <w:rsid w:val="00EC4D78"/>
    <w:rsid w:val="00EC4DA2"/>
    <w:rsid w:val="00EC4EB2"/>
    <w:rsid w:val="00EC4EBF"/>
    <w:rsid w:val="00EC4ECC"/>
    <w:rsid w:val="00EC5002"/>
    <w:rsid w:val="00EC504F"/>
    <w:rsid w:val="00EC50AB"/>
    <w:rsid w:val="00EC5148"/>
    <w:rsid w:val="00EC5175"/>
    <w:rsid w:val="00EC523D"/>
    <w:rsid w:val="00EC5363"/>
    <w:rsid w:val="00EC53AC"/>
    <w:rsid w:val="00EC5413"/>
    <w:rsid w:val="00EC54AB"/>
    <w:rsid w:val="00EC562E"/>
    <w:rsid w:val="00EC578C"/>
    <w:rsid w:val="00EC58E5"/>
    <w:rsid w:val="00EC5B07"/>
    <w:rsid w:val="00EC5B89"/>
    <w:rsid w:val="00EC5F30"/>
    <w:rsid w:val="00EC5F69"/>
    <w:rsid w:val="00EC6072"/>
    <w:rsid w:val="00EC6128"/>
    <w:rsid w:val="00EC6299"/>
    <w:rsid w:val="00EC6300"/>
    <w:rsid w:val="00EC6308"/>
    <w:rsid w:val="00EC63C9"/>
    <w:rsid w:val="00EC644D"/>
    <w:rsid w:val="00EC6492"/>
    <w:rsid w:val="00EC66B7"/>
    <w:rsid w:val="00EC69C9"/>
    <w:rsid w:val="00EC6A33"/>
    <w:rsid w:val="00EC6B25"/>
    <w:rsid w:val="00EC6C0B"/>
    <w:rsid w:val="00EC6DA8"/>
    <w:rsid w:val="00EC6E8A"/>
    <w:rsid w:val="00EC6F48"/>
    <w:rsid w:val="00EC71C7"/>
    <w:rsid w:val="00EC72C7"/>
    <w:rsid w:val="00EC7355"/>
    <w:rsid w:val="00EC7375"/>
    <w:rsid w:val="00EC756F"/>
    <w:rsid w:val="00EC75EE"/>
    <w:rsid w:val="00EC76CB"/>
    <w:rsid w:val="00EC7717"/>
    <w:rsid w:val="00EC784A"/>
    <w:rsid w:val="00EC78CB"/>
    <w:rsid w:val="00EC79AC"/>
    <w:rsid w:val="00EC79CE"/>
    <w:rsid w:val="00EC7A14"/>
    <w:rsid w:val="00EC7A69"/>
    <w:rsid w:val="00EC7B1B"/>
    <w:rsid w:val="00EC7B48"/>
    <w:rsid w:val="00EC7B4C"/>
    <w:rsid w:val="00EC7C83"/>
    <w:rsid w:val="00EC7C93"/>
    <w:rsid w:val="00EC7CC0"/>
    <w:rsid w:val="00EC7DFF"/>
    <w:rsid w:val="00EC7F33"/>
    <w:rsid w:val="00EC7F4B"/>
    <w:rsid w:val="00EC7F85"/>
    <w:rsid w:val="00ED0079"/>
    <w:rsid w:val="00ED00EE"/>
    <w:rsid w:val="00ED01B6"/>
    <w:rsid w:val="00ED0343"/>
    <w:rsid w:val="00ED047D"/>
    <w:rsid w:val="00ED052C"/>
    <w:rsid w:val="00ED056C"/>
    <w:rsid w:val="00ED05FA"/>
    <w:rsid w:val="00ED062E"/>
    <w:rsid w:val="00ED06A2"/>
    <w:rsid w:val="00ED080D"/>
    <w:rsid w:val="00ED0932"/>
    <w:rsid w:val="00ED09B7"/>
    <w:rsid w:val="00ED0AED"/>
    <w:rsid w:val="00ED0B68"/>
    <w:rsid w:val="00ED0BAB"/>
    <w:rsid w:val="00ED0BFF"/>
    <w:rsid w:val="00ED0C0F"/>
    <w:rsid w:val="00ED0C73"/>
    <w:rsid w:val="00ED0DB8"/>
    <w:rsid w:val="00ED0F6D"/>
    <w:rsid w:val="00ED0FF1"/>
    <w:rsid w:val="00ED1025"/>
    <w:rsid w:val="00ED10DC"/>
    <w:rsid w:val="00ED1127"/>
    <w:rsid w:val="00ED12EA"/>
    <w:rsid w:val="00ED12EF"/>
    <w:rsid w:val="00ED13B9"/>
    <w:rsid w:val="00ED142E"/>
    <w:rsid w:val="00ED143B"/>
    <w:rsid w:val="00ED1651"/>
    <w:rsid w:val="00ED1700"/>
    <w:rsid w:val="00ED1B35"/>
    <w:rsid w:val="00ED1D6E"/>
    <w:rsid w:val="00ED1F82"/>
    <w:rsid w:val="00ED1FEE"/>
    <w:rsid w:val="00ED206E"/>
    <w:rsid w:val="00ED2115"/>
    <w:rsid w:val="00ED2554"/>
    <w:rsid w:val="00ED256C"/>
    <w:rsid w:val="00ED2639"/>
    <w:rsid w:val="00ED2692"/>
    <w:rsid w:val="00ED281E"/>
    <w:rsid w:val="00ED29DE"/>
    <w:rsid w:val="00ED2A19"/>
    <w:rsid w:val="00ED2E60"/>
    <w:rsid w:val="00ED303F"/>
    <w:rsid w:val="00ED3259"/>
    <w:rsid w:val="00ED354A"/>
    <w:rsid w:val="00ED35E4"/>
    <w:rsid w:val="00ED36C4"/>
    <w:rsid w:val="00ED37C7"/>
    <w:rsid w:val="00ED38E3"/>
    <w:rsid w:val="00ED3997"/>
    <w:rsid w:val="00ED39FE"/>
    <w:rsid w:val="00ED3A07"/>
    <w:rsid w:val="00ED3ABB"/>
    <w:rsid w:val="00ED3B57"/>
    <w:rsid w:val="00ED3D07"/>
    <w:rsid w:val="00ED3D79"/>
    <w:rsid w:val="00ED3F6E"/>
    <w:rsid w:val="00ED400C"/>
    <w:rsid w:val="00ED4017"/>
    <w:rsid w:val="00ED4226"/>
    <w:rsid w:val="00ED424B"/>
    <w:rsid w:val="00ED4310"/>
    <w:rsid w:val="00ED44E3"/>
    <w:rsid w:val="00ED4510"/>
    <w:rsid w:val="00ED45C8"/>
    <w:rsid w:val="00ED4895"/>
    <w:rsid w:val="00ED48A3"/>
    <w:rsid w:val="00ED48BA"/>
    <w:rsid w:val="00ED4907"/>
    <w:rsid w:val="00ED49B4"/>
    <w:rsid w:val="00ED4A9E"/>
    <w:rsid w:val="00ED4B0F"/>
    <w:rsid w:val="00ED4B14"/>
    <w:rsid w:val="00ED4BBE"/>
    <w:rsid w:val="00ED4C5E"/>
    <w:rsid w:val="00ED4D19"/>
    <w:rsid w:val="00ED4DA0"/>
    <w:rsid w:val="00ED5061"/>
    <w:rsid w:val="00ED5226"/>
    <w:rsid w:val="00ED5484"/>
    <w:rsid w:val="00ED5496"/>
    <w:rsid w:val="00ED567B"/>
    <w:rsid w:val="00ED58CF"/>
    <w:rsid w:val="00ED5AB2"/>
    <w:rsid w:val="00ED5ABA"/>
    <w:rsid w:val="00ED5BB5"/>
    <w:rsid w:val="00ED5BB6"/>
    <w:rsid w:val="00ED5C7B"/>
    <w:rsid w:val="00ED5E25"/>
    <w:rsid w:val="00ED603D"/>
    <w:rsid w:val="00ED61CA"/>
    <w:rsid w:val="00ED61EE"/>
    <w:rsid w:val="00ED6227"/>
    <w:rsid w:val="00ED62C6"/>
    <w:rsid w:val="00ED6389"/>
    <w:rsid w:val="00ED6607"/>
    <w:rsid w:val="00ED67AC"/>
    <w:rsid w:val="00ED68C0"/>
    <w:rsid w:val="00ED698B"/>
    <w:rsid w:val="00ED6A92"/>
    <w:rsid w:val="00ED6AE0"/>
    <w:rsid w:val="00ED6B98"/>
    <w:rsid w:val="00ED6C92"/>
    <w:rsid w:val="00ED6D60"/>
    <w:rsid w:val="00ED6FA8"/>
    <w:rsid w:val="00ED6FB9"/>
    <w:rsid w:val="00ED700A"/>
    <w:rsid w:val="00ED7183"/>
    <w:rsid w:val="00ED7275"/>
    <w:rsid w:val="00ED7282"/>
    <w:rsid w:val="00ED7284"/>
    <w:rsid w:val="00ED7364"/>
    <w:rsid w:val="00ED7434"/>
    <w:rsid w:val="00ED759D"/>
    <w:rsid w:val="00ED75BA"/>
    <w:rsid w:val="00ED765C"/>
    <w:rsid w:val="00ED767C"/>
    <w:rsid w:val="00ED7695"/>
    <w:rsid w:val="00ED776D"/>
    <w:rsid w:val="00ED77C3"/>
    <w:rsid w:val="00ED78EB"/>
    <w:rsid w:val="00ED78F6"/>
    <w:rsid w:val="00ED79B6"/>
    <w:rsid w:val="00ED7AC3"/>
    <w:rsid w:val="00ED7B09"/>
    <w:rsid w:val="00ED7B56"/>
    <w:rsid w:val="00ED7BAA"/>
    <w:rsid w:val="00ED7D13"/>
    <w:rsid w:val="00ED7D6A"/>
    <w:rsid w:val="00ED7EA9"/>
    <w:rsid w:val="00ED7FA9"/>
    <w:rsid w:val="00EE00FC"/>
    <w:rsid w:val="00EE04BF"/>
    <w:rsid w:val="00EE0512"/>
    <w:rsid w:val="00EE0973"/>
    <w:rsid w:val="00EE098D"/>
    <w:rsid w:val="00EE098F"/>
    <w:rsid w:val="00EE09DE"/>
    <w:rsid w:val="00EE0A59"/>
    <w:rsid w:val="00EE0CD1"/>
    <w:rsid w:val="00EE0D6D"/>
    <w:rsid w:val="00EE0D8E"/>
    <w:rsid w:val="00EE0F0F"/>
    <w:rsid w:val="00EE0F1E"/>
    <w:rsid w:val="00EE0FB4"/>
    <w:rsid w:val="00EE1089"/>
    <w:rsid w:val="00EE1146"/>
    <w:rsid w:val="00EE128E"/>
    <w:rsid w:val="00EE1750"/>
    <w:rsid w:val="00EE1813"/>
    <w:rsid w:val="00EE181D"/>
    <w:rsid w:val="00EE18E1"/>
    <w:rsid w:val="00EE1913"/>
    <w:rsid w:val="00EE1A56"/>
    <w:rsid w:val="00EE1BF4"/>
    <w:rsid w:val="00EE1C38"/>
    <w:rsid w:val="00EE1C7E"/>
    <w:rsid w:val="00EE1C98"/>
    <w:rsid w:val="00EE1CD2"/>
    <w:rsid w:val="00EE1D81"/>
    <w:rsid w:val="00EE1DD3"/>
    <w:rsid w:val="00EE2044"/>
    <w:rsid w:val="00EE2123"/>
    <w:rsid w:val="00EE2323"/>
    <w:rsid w:val="00EE242F"/>
    <w:rsid w:val="00EE24C9"/>
    <w:rsid w:val="00EE263B"/>
    <w:rsid w:val="00EE266E"/>
    <w:rsid w:val="00EE26AA"/>
    <w:rsid w:val="00EE270F"/>
    <w:rsid w:val="00EE2726"/>
    <w:rsid w:val="00EE27B5"/>
    <w:rsid w:val="00EE2C5C"/>
    <w:rsid w:val="00EE2CBF"/>
    <w:rsid w:val="00EE2F87"/>
    <w:rsid w:val="00EE3140"/>
    <w:rsid w:val="00EE3218"/>
    <w:rsid w:val="00EE321A"/>
    <w:rsid w:val="00EE33E7"/>
    <w:rsid w:val="00EE33EC"/>
    <w:rsid w:val="00EE346C"/>
    <w:rsid w:val="00EE34DE"/>
    <w:rsid w:val="00EE3532"/>
    <w:rsid w:val="00EE355B"/>
    <w:rsid w:val="00EE3810"/>
    <w:rsid w:val="00EE3899"/>
    <w:rsid w:val="00EE38CF"/>
    <w:rsid w:val="00EE3A28"/>
    <w:rsid w:val="00EE3A51"/>
    <w:rsid w:val="00EE3AEF"/>
    <w:rsid w:val="00EE3B0F"/>
    <w:rsid w:val="00EE3B3C"/>
    <w:rsid w:val="00EE3C0C"/>
    <w:rsid w:val="00EE3DB3"/>
    <w:rsid w:val="00EE3E96"/>
    <w:rsid w:val="00EE3EA5"/>
    <w:rsid w:val="00EE3FDA"/>
    <w:rsid w:val="00EE4130"/>
    <w:rsid w:val="00EE4307"/>
    <w:rsid w:val="00EE433A"/>
    <w:rsid w:val="00EE440B"/>
    <w:rsid w:val="00EE449E"/>
    <w:rsid w:val="00EE44FD"/>
    <w:rsid w:val="00EE474B"/>
    <w:rsid w:val="00EE482A"/>
    <w:rsid w:val="00EE4B8C"/>
    <w:rsid w:val="00EE4B94"/>
    <w:rsid w:val="00EE4C2D"/>
    <w:rsid w:val="00EE4D71"/>
    <w:rsid w:val="00EE4F15"/>
    <w:rsid w:val="00EE5067"/>
    <w:rsid w:val="00EE5093"/>
    <w:rsid w:val="00EE50D0"/>
    <w:rsid w:val="00EE521F"/>
    <w:rsid w:val="00EE5232"/>
    <w:rsid w:val="00EE537C"/>
    <w:rsid w:val="00EE58B9"/>
    <w:rsid w:val="00EE59A5"/>
    <w:rsid w:val="00EE5A62"/>
    <w:rsid w:val="00EE5BF7"/>
    <w:rsid w:val="00EE5C05"/>
    <w:rsid w:val="00EE5CB9"/>
    <w:rsid w:val="00EE5ED1"/>
    <w:rsid w:val="00EE5FB9"/>
    <w:rsid w:val="00EE5FCB"/>
    <w:rsid w:val="00EE5FF7"/>
    <w:rsid w:val="00EE6081"/>
    <w:rsid w:val="00EE6085"/>
    <w:rsid w:val="00EE610B"/>
    <w:rsid w:val="00EE62CE"/>
    <w:rsid w:val="00EE6432"/>
    <w:rsid w:val="00EE655A"/>
    <w:rsid w:val="00EE6687"/>
    <w:rsid w:val="00EE69CB"/>
    <w:rsid w:val="00EE6A93"/>
    <w:rsid w:val="00EE6D02"/>
    <w:rsid w:val="00EE6DE7"/>
    <w:rsid w:val="00EE6E1F"/>
    <w:rsid w:val="00EE6E8E"/>
    <w:rsid w:val="00EE724B"/>
    <w:rsid w:val="00EE7495"/>
    <w:rsid w:val="00EE75AF"/>
    <w:rsid w:val="00EE770E"/>
    <w:rsid w:val="00EE7739"/>
    <w:rsid w:val="00EE781E"/>
    <w:rsid w:val="00EE7863"/>
    <w:rsid w:val="00EE787B"/>
    <w:rsid w:val="00EE79DE"/>
    <w:rsid w:val="00EE7AC2"/>
    <w:rsid w:val="00EE7B81"/>
    <w:rsid w:val="00EE7BBA"/>
    <w:rsid w:val="00EE7CE2"/>
    <w:rsid w:val="00EE7E2D"/>
    <w:rsid w:val="00EE7EED"/>
    <w:rsid w:val="00EE7F2F"/>
    <w:rsid w:val="00EE7F5D"/>
    <w:rsid w:val="00EF0119"/>
    <w:rsid w:val="00EF01B6"/>
    <w:rsid w:val="00EF0275"/>
    <w:rsid w:val="00EF0277"/>
    <w:rsid w:val="00EF02D7"/>
    <w:rsid w:val="00EF032F"/>
    <w:rsid w:val="00EF0393"/>
    <w:rsid w:val="00EF063B"/>
    <w:rsid w:val="00EF08AE"/>
    <w:rsid w:val="00EF0917"/>
    <w:rsid w:val="00EF094C"/>
    <w:rsid w:val="00EF0B3E"/>
    <w:rsid w:val="00EF0C8E"/>
    <w:rsid w:val="00EF1038"/>
    <w:rsid w:val="00EF134C"/>
    <w:rsid w:val="00EF1409"/>
    <w:rsid w:val="00EF148C"/>
    <w:rsid w:val="00EF1502"/>
    <w:rsid w:val="00EF17BA"/>
    <w:rsid w:val="00EF182A"/>
    <w:rsid w:val="00EF186D"/>
    <w:rsid w:val="00EF18C3"/>
    <w:rsid w:val="00EF1985"/>
    <w:rsid w:val="00EF1A13"/>
    <w:rsid w:val="00EF1B01"/>
    <w:rsid w:val="00EF1B49"/>
    <w:rsid w:val="00EF1CB9"/>
    <w:rsid w:val="00EF1CFB"/>
    <w:rsid w:val="00EF1D0E"/>
    <w:rsid w:val="00EF1D2E"/>
    <w:rsid w:val="00EF1D3A"/>
    <w:rsid w:val="00EF1FA6"/>
    <w:rsid w:val="00EF1FEE"/>
    <w:rsid w:val="00EF2029"/>
    <w:rsid w:val="00EF2145"/>
    <w:rsid w:val="00EF2418"/>
    <w:rsid w:val="00EF2543"/>
    <w:rsid w:val="00EF28E3"/>
    <w:rsid w:val="00EF2923"/>
    <w:rsid w:val="00EF2A1E"/>
    <w:rsid w:val="00EF2AFB"/>
    <w:rsid w:val="00EF2C2B"/>
    <w:rsid w:val="00EF2C5A"/>
    <w:rsid w:val="00EF2ECB"/>
    <w:rsid w:val="00EF2EE6"/>
    <w:rsid w:val="00EF320E"/>
    <w:rsid w:val="00EF3251"/>
    <w:rsid w:val="00EF32C0"/>
    <w:rsid w:val="00EF3617"/>
    <w:rsid w:val="00EF37CF"/>
    <w:rsid w:val="00EF38D4"/>
    <w:rsid w:val="00EF390A"/>
    <w:rsid w:val="00EF3915"/>
    <w:rsid w:val="00EF3BAB"/>
    <w:rsid w:val="00EF3D1D"/>
    <w:rsid w:val="00EF3E3D"/>
    <w:rsid w:val="00EF3F4C"/>
    <w:rsid w:val="00EF3FD9"/>
    <w:rsid w:val="00EF3FE0"/>
    <w:rsid w:val="00EF4030"/>
    <w:rsid w:val="00EF4033"/>
    <w:rsid w:val="00EF4076"/>
    <w:rsid w:val="00EF428F"/>
    <w:rsid w:val="00EF4A36"/>
    <w:rsid w:val="00EF4E10"/>
    <w:rsid w:val="00EF4EE1"/>
    <w:rsid w:val="00EF4F29"/>
    <w:rsid w:val="00EF4FF2"/>
    <w:rsid w:val="00EF5390"/>
    <w:rsid w:val="00EF5478"/>
    <w:rsid w:val="00EF5493"/>
    <w:rsid w:val="00EF550E"/>
    <w:rsid w:val="00EF55A3"/>
    <w:rsid w:val="00EF5796"/>
    <w:rsid w:val="00EF57C9"/>
    <w:rsid w:val="00EF59CA"/>
    <w:rsid w:val="00EF5A74"/>
    <w:rsid w:val="00EF5AE5"/>
    <w:rsid w:val="00EF5AF7"/>
    <w:rsid w:val="00EF5C3B"/>
    <w:rsid w:val="00EF5C94"/>
    <w:rsid w:val="00EF5DE3"/>
    <w:rsid w:val="00EF5E6C"/>
    <w:rsid w:val="00EF6207"/>
    <w:rsid w:val="00EF62A8"/>
    <w:rsid w:val="00EF63FB"/>
    <w:rsid w:val="00EF6472"/>
    <w:rsid w:val="00EF64A5"/>
    <w:rsid w:val="00EF64FB"/>
    <w:rsid w:val="00EF65BE"/>
    <w:rsid w:val="00EF661D"/>
    <w:rsid w:val="00EF667B"/>
    <w:rsid w:val="00EF6722"/>
    <w:rsid w:val="00EF675A"/>
    <w:rsid w:val="00EF68DC"/>
    <w:rsid w:val="00EF698F"/>
    <w:rsid w:val="00EF69C5"/>
    <w:rsid w:val="00EF69D0"/>
    <w:rsid w:val="00EF6AC5"/>
    <w:rsid w:val="00EF6B85"/>
    <w:rsid w:val="00EF6BBE"/>
    <w:rsid w:val="00EF6BFB"/>
    <w:rsid w:val="00EF6C09"/>
    <w:rsid w:val="00EF6C0F"/>
    <w:rsid w:val="00EF6C19"/>
    <w:rsid w:val="00EF6D8A"/>
    <w:rsid w:val="00EF6F13"/>
    <w:rsid w:val="00EF6F50"/>
    <w:rsid w:val="00EF7182"/>
    <w:rsid w:val="00EF7290"/>
    <w:rsid w:val="00EF72C6"/>
    <w:rsid w:val="00EF75E4"/>
    <w:rsid w:val="00EF76A3"/>
    <w:rsid w:val="00EF7848"/>
    <w:rsid w:val="00EF7AC7"/>
    <w:rsid w:val="00EF7B98"/>
    <w:rsid w:val="00EF7CE1"/>
    <w:rsid w:val="00EF7D29"/>
    <w:rsid w:val="00EF7D67"/>
    <w:rsid w:val="00EF7E66"/>
    <w:rsid w:val="00EF7EA3"/>
    <w:rsid w:val="00EFEC37"/>
    <w:rsid w:val="00F00091"/>
    <w:rsid w:val="00F0012C"/>
    <w:rsid w:val="00F001F1"/>
    <w:rsid w:val="00F00218"/>
    <w:rsid w:val="00F002EE"/>
    <w:rsid w:val="00F0050D"/>
    <w:rsid w:val="00F0052F"/>
    <w:rsid w:val="00F0059E"/>
    <w:rsid w:val="00F005D2"/>
    <w:rsid w:val="00F0072E"/>
    <w:rsid w:val="00F00950"/>
    <w:rsid w:val="00F00991"/>
    <w:rsid w:val="00F00B29"/>
    <w:rsid w:val="00F00B63"/>
    <w:rsid w:val="00F00F77"/>
    <w:rsid w:val="00F01075"/>
    <w:rsid w:val="00F0112E"/>
    <w:rsid w:val="00F011CA"/>
    <w:rsid w:val="00F0126B"/>
    <w:rsid w:val="00F0126F"/>
    <w:rsid w:val="00F01270"/>
    <w:rsid w:val="00F012E6"/>
    <w:rsid w:val="00F013E2"/>
    <w:rsid w:val="00F013F1"/>
    <w:rsid w:val="00F0152E"/>
    <w:rsid w:val="00F01662"/>
    <w:rsid w:val="00F016EE"/>
    <w:rsid w:val="00F01785"/>
    <w:rsid w:val="00F017E6"/>
    <w:rsid w:val="00F017EA"/>
    <w:rsid w:val="00F01A21"/>
    <w:rsid w:val="00F01A8A"/>
    <w:rsid w:val="00F01AA5"/>
    <w:rsid w:val="00F01AB7"/>
    <w:rsid w:val="00F01B37"/>
    <w:rsid w:val="00F01B61"/>
    <w:rsid w:val="00F01D82"/>
    <w:rsid w:val="00F01E2A"/>
    <w:rsid w:val="00F01EA6"/>
    <w:rsid w:val="00F01F58"/>
    <w:rsid w:val="00F02047"/>
    <w:rsid w:val="00F02110"/>
    <w:rsid w:val="00F0237C"/>
    <w:rsid w:val="00F024F3"/>
    <w:rsid w:val="00F025A3"/>
    <w:rsid w:val="00F02958"/>
    <w:rsid w:val="00F02D54"/>
    <w:rsid w:val="00F02E4A"/>
    <w:rsid w:val="00F02FA5"/>
    <w:rsid w:val="00F0304A"/>
    <w:rsid w:val="00F030FF"/>
    <w:rsid w:val="00F03190"/>
    <w:rsid w:val="00F031AE"/>
    <w:rsid w:val="00F03342"/>
    <w:rsid w:val="00F03431"/>
    <w:rsid w:val="00F034E6"/>
    <w:rsid w:val="00F034F2"/>
    <w:rsid w:val="00F03591"/>
    <w:rsid w:val="00F03642"/>
    <w:rsid w:val="00F037D9"/>
    <w:rsid w:val="00F03862"/>
    <w:rsid w:val="00F039C3"/>
    <w:rsid w:val="00F03A80"/>
    <w:rsid w:val="00F03EB4"/>
    <w:rsid w:val="00F03FE5"/>
    <w:rsid w:val="00F0429D"/>
    <w:rsid w:val="00F0431A"/>
    <w:rsid w:val="00F043DF"/>
    <w:rsid w:val="00F0440B"/>
    <w:rsid w:val="00F044F1"/>
    <w:rsid w:val="00F045FF"/>
    <w:rsid w:val="00F04606"/>
    <w:rsid w:val="00F0462E"/>
    <w:rsid w:val="00F04750"/>
    <w:rsid w:val="00F04769"/>
    <w:rsid w:val="00F04855"/>
    <w:rsid w:val="00F04A6A"/>
    <w:rsid w:val="00F04AEA"/>
    <w:rsid w:val="00F04BCD"/>
    <w:rsid w:val="00F04EC7"/>
    <w:rsid w:val="00F04F0B"/>
    <w:rsid w:val="00F04FF2"/>
    <w:rsid w:val="00F05019"/>
    <w:rsid w:val="00F0503D"/>
    <w:rsid w:val="00F05145"/>
    <w:rsid w:val="00F05157"/>
    <w:rsid w:val="00F05158"/>
    <w:rsid w:val="00F05343"/>
    <w:rsid w:val="00F05570"/>
    <w:rsid w:val="00F05770"/>
    <w:rsid w:val="00F0579F"/>
    <w:rsid w:val="00F05868"/>
    <w:rsid w:val="00F05AE3"/>
    <w:rsid w:val="00F05D20"/>
    <w:rsid w:val="00F05D62"/>
    <w:rsid w:val="00F05DDE"/>
    <w:rsid w:val="00F05E7F"/>
    <w:rsid w:val="00F05F60"/>
    <w:rsid w:val="00F05FDF"/>
    <w:rsid w:val="00F06154"/>
    <w:rsid w:val="00F06174"/>
    <w:rsid w:val="00F0623D"/>
    <w:rsid w:val="00F0634C"/>
    <w:rsid w:val="00F0683F"/>
    <w:rsid w:val="00F06C85"/>
    <w:rsid w:val="00F06E1C"/>
    <w:rsid w:val="00F0703D"/>
    <w:rsid w:val="00F070F6"/>
    <w:rsid w:val="00F07108"/>
    <w:rsid w:val="00F071BD"/>
    <w:rsid w:val="00F0724C"/>
    <w:rsid w:val="00F072AF"/>
    <w:rsid w:val="00F073D4"/>
    <w:rsid w:val="00F07444"/>
    <w:rsid w:val="00F074F8"/>
    <w:rsid w:val="00F07737"/>
    <w:rsid w:val="00F077B8"/>
    <w:rsid w:val="00F07932"/>
    <w:rsid w:val="00F07AFD"/>
    <w:rsid w:val="00F07B00"/>
    <w:rsid w:val="00F07B8C"/>
    <w:rsid w:val="00F07CBE"/>
    <w:rsid w:val="00F07E9D"/>
    <w:rsid w:val="00F07F14"/>
    <w:rsid w:val="00F07F96"/>
    <w:rsid w:val="00F10275"/>
    <w:rsid w:val="00F10349"/>
    <w:rsid w:val="00F1037E"/>
    <w:rsid w:val="00F10642"/>
    <w:rsid w:val="00F106D5"/>
    <w:rsid w:val="00F106E2"/>
    <w:rsid w:val="00F106F4"/>
    <w:rsid w:val="00F10703"/>
    <w:rsid w:val="00F1087A"/>
    <w:rsid w:val="00F108D3"/>
    <w:rsid w:val="00F10958"/>
    <w:rsid w:val="00F1098A"/>
    <w:rsid w:val="00F10B6C"/>
    <w:rsid w:val="00F10BB9"/>
    <w:rsid w:val="00F10DA7"/>
    <w:rsid w:val="00F10DE6"/>
    <w:rsid w:val="00F1103E"/>
    <w:rsid w:val="00F11062"/>
    <w:rsid w:val="00F110C9"/>
    <w:rsid w:val="00F11214"/>
    <w:rsid w:val="00F11493"/>
    <w:rsid w:val="00F114E8"/>
    <w:rsid w:val="00F1197A"/>
    <w:rsid w:val="00F119BB"/>
    <w:rsid w:val="00F119BE"/>
    <w:rsid w:val="00F11A1A"/>
    <w:rsid w:val="00F11AD7"/>
    <w:rsid w:val="00F11B48"/>
    <w:rsid w:val="00F11CD2"/>
    <w:rsid w:val="00F11E49"/>
    <w:rsid w:val="00F11E80"/>
    <w:rsid w:val="00F11EA8"/>
    <w:rsid w:val="00F11EC3"/>
    <w:rsid w:val="00F12078"/>
    <w:rsid w:val="00F1208D"/>
    <w:rsid w:val="00F120C1"/>
    <w:rsid w:val="00F120EC"/>
    <w:rsid w:val="00F12107"/>
    <w:rsid w:val="00F1217E"/>
    <w:rsid w:val="00F12285"/>
    <w:rsid w:val="00F12307"/>
    <w:rsid w:val="00F1233A"/>
    <w:rsid w:val="00F124E9"/>
    <w:rsid w:val="00F12785"/>
    <w:rsid w:val="00F12A29"/>
    <w:rsid w:val="00F12BEB"/>
    <w:rsid w:val="00F12C45"/>
    <w:rsid w:val="00F12C71"/>
    <w:rsid w:val="00F12D18"/>
    <w:rsid w:val="00F12FA5"/>
    <w:rsid w:val="00F130C1"/>
    <w:rsid w:val="00F13267"/>
    <w:rsid w:val="00F132FA"/>
    <w:rsid w:val="00F1339D"/>
    <w:rsid w:val="00F133C5"/>
    <w:rsid w:val="00F133F1"/>
    <w:rsid w:val="00F135A8"/>
    <w:rsid w:val="00F136E7"/>
    <w:rsid w:val="00F13750"/>
    <w:rsid w:val="00F137E3"/>
    <w:rsid w:val="00F138B0"/>
    <w:rsid w:val="00F138DF"/>
    <w:rsid w:val="00F1390C"/>
    <w:rsid w:val="00F1395F"/>
    <w:rsid w:val="00F13997"/>
    <w:rsid w:val="00F1399B"/>
    <w:rsid w:val="00F13B31"/>
    <w:rsid w:val="00F13B93"/>
    <w:rsid w:val="00F13C92"/>
    <w:rsid w:val="00F13D5D"/>
    <w:rsid w:val="00F13DDD"/>
    <w:rsid w:val="00F13DFA"/>
    <w:rsid w:val="00F141AB"/>
    <w:rsid w:val="00F141D3"/>
    <w:rsid w:val="00F142D1"/>
    <w:rsid w:val="00F14400"/>
    <w:rsid w:val="00F14457"/>
    <w:rsid w:val="00F144A9"/>
    <w:rsid w:val="00F14743"/>
    <w:rsid w:val="00F14801"/>
    <w:rsid w:val="00F14848"/>
    <w:rsid w:val="00F14860"/>
    <w:rsid w:val="00F1493B"/>
    <w:rsid w:val="00F149E3"/>
    <w:rsid w:val="00F14B41"/>
    <w:rsid w:val="00F14BAE"/>
    <w:rsid w:val="00F14CB1"/>
    <w:rsid w:val="00F14E00"/>
    <w:rsid w:val="00F14FE4"/>
    <w:rsid w:val="00F15041"/>
    <w:rsid w:val="00F1511F"/>
    <w:rsid w:val="00F15209"/>
    <w:rsid w:val="00F153DF"/>
    <w:rsid w:val="00F153E4"/>
    <w:rsid w:val="00F15655"/>
    <w:rsid w:val="00F1567C"/>
    <w:rsid w:val="00F156E9"/>
    <w:rsid w:val="00F15809"/>
    <w:rsid w:val="00F15821"/>
    <w:rsid w:val="00F15913"/>
    <w:rsid w:val="00F15967"/>
    <w:rsid w:val="00F15C86"/>
    <w:rsid w:val="00F15CAE"/>
    <w:rsid w:val="00F15CB5"/>
    <w:rsid w:val="00F15CF6"/>
    <w:rsid w:val="00F15DD4"/>
    <w:rsid w:val="00F15F01"/>
    <w:rsid w:val="00F161E5"/>
    <w:rsid w:val="00F163AD"/>
    <w:rsid w:val="00F163D3"/>
    <w:rsid w:val="00F16439"/>
    <w:rsid w:val="00F1645B"/>
    <w:rsid w:val="00F1655B"/>
    <w:rsid w:val="00F165AD"/>
    <w:rsid w:val="00F165BE"/>
    <w:rsid w:val="00F16916"/>
    <w:rsid w:val="00F16ABB"/>
    <w:rsid w:val="00F16B9C"/>
    <w:rsid w:val="00F16BEB"/>
    <w:rsid w:val="00F16CBD"/>
    <w:rsid w:val="00F16DC2"/>
    <w:rsid w:val="00F16E4E"/>
    <w:rsid w:val="00F16F55"/>
    <w:rsid w:val="00F16F7E"/>
    <w:rsid w:val="00F16F8D"/>
    <w:rsid w:val="00F16F8F"/>
    <w:rsid w:val="00F1709D"/>
    <w:rsid w:val="00F17102"/>
    <w:rsid w:val="00F17309"/>
    <w:rsid w:val="00F173AA"/>
    <w:rsid w:val="00F173EE"/>
    <w:rsid w:val="00F174EA"/>
    <w:rsid w:val="00F17581"/>
    <w:rsid w:val="00F175E3"/>
    <w:rsid w:val="00F1765F"/>
    <w:rsid w:val="00F1781E"/>
    <w:rsid w:val="00F17895"/>
    <w:rsid w:val="00F17A9A"/>
    <w:rsid w:val="00F17CC8"/>
    <w:rsid w:val="00F17CD5"/>
    <w:rsid w:val="00F17E06"/>
    <w:rsid w:val="00F17F9C"/>
    <w:rsid w:val="00F20088"/>
    <w:rsid w:val="00F2022E"/>
    <w:rsid w:val="00F204BC"/>
    <w:rsid w:val="00F204FA"/>
    <w:rsid w:val="00F2071E"/>
    <w:rsid w:val="00F207BB"/>
    <w:rsid w:val="00F20B6F"/>
    <w:rsid w:val="00F20EDB"/>
    <w:rsid w:val="00F20F84"/>
    <w:rsid w:val="00F21103"/>
    <w:rsid w:val="00F213F1"/>
    <w:rsid w:val="00F21415"/>
    <w:rsid w:val="00F216DA"/>
    <w:rsid w:val="00F2190D"/>
    <w:rsid w:val="00F21B2C"/>
    <w:rsid w:val="00F21C8C"/>
    <w:rsid w:val="00F21E80"/>
    <w:rsid w:val="00F21F47"/>
    <w:rsid w:val="00F2203B"/>
    <w:rsid w:val="00F220F2"/>
    <w:rsid w:val="00F22299"/>
    <w:rsid w:val="00F2238A"/>
    <w:rsid w:val="00F2243A"/>
    <w:rsid w:val="00F22500"/>
    <w:rsid w:val="00F227F0"/>
    <w:rsid w:val="00F228A6"/>
    <w:rsid w:val="00F22932"/>
    <w:rsid w:val="00F22943"/>
    <w:rsid w:val="00F229D3"/>
    <w:rsid w:val="00F22A90"/>
    <w:rsid w:val="00F22A97"/>
    <w:rsid w:val="00F22ACE"/>
    <w:rsid w:val="00F22E44"/>
    <w:rsid w:val="00F22FAE"/>
    <w:rsid w:val="00F22FD7"/>
    <w:rsid w:val="00F230D8"/>
    <w:rsid w:val="00F231D2"/>
    <w:rsid w:val="00F23282"/>
    <w:rsid w:val="00F233FE"/>
    <w:rsid w:val="00F2348B"/>
    <w:rsid w:val="00F23498"/>
    <w:rsid w:val="00F23568"/>
    <w:rsid w:val="00F236D4"/>
    <w:rsid w:val="00F236D5"/>
    <w:rsid w:val="00F2375D"/>
    <w:rsid w:val="00F23799"/>
    <w:rsid w:val="00F239FF"/>
    <w:rsid w:val="00F23A0A"/>
    <w:rsid w:val="00F23AA0"/>
    <w:rsid w:val="00F23ADB"/>
    <w:rsid w:val="00F23BAD"/>
    <w:rsid w:val="00F23DFC"/>
    <w:rsid w:val="00F23E61"/>
    <w:rsid w:val="00F241E1"/>
    <w:rsid w:val="00F24213"/>
    <w:rsid w:val="00F246AF"/>
    <w:rsid w:val="00F24770"/>
    <w:rsid w:val="00F24872"/>
    <w:rsid w:val="00F24A8D"/>
    <w:rsid w:val="00F24BBF"/>
    <w:rsid w:val="00F24BC2"/>
    <w:rsid w:val="00F24C58"/>
    <w:rsid w:val="00F24F71"/>
    <w:rsid w:val="00F25479"/>
    <w:rsid w:val="00F255F4"/>
    <w:rsid w:val="00F25660"/>
    <w:rsid w:val="00F257BC"/>
    <w:rsid w:val="00F259E2"/>
    <w:rsid w:val="00F25E0C"/>
    <w:rsid w:val="00F25E25"/>
    <w:rsid w:val="00F25EE5"/>
    <w:rsid w:val="00F25F9A"/>
    <w:rsid w:val="00F25F9C"/>
    <w:rsid w:val="00F2614B"/>
    <w:rsid w:val="00F2645B"/>
    <w:rsid w:val="00F26487"/>
    <w:rsid w:val="00F264B9"/>
    <w:rsid w:val="00F2653F"/>
    <w:rsid w:val="00F26718"/>
    <w:rsid w:val="00F267CD"/>
    <w:rsid w:val="00F267F5"/>
    <w:rsid w:val="00F267F8"/>
    <w:rsid w:val="00F26868"/>
    <w:rsid w:val="00F269CA"/>
    <w:rsid w:val="00F26A92"/>
    <w:rsid w:val="00F26B1C"/>
    <w:rsid w:val="00F26B47"/>
    <w:rsid w:val="00F26B9E"/>
    <w:rsid w:val="00F26C11"/>
    <w:rsid w:val="00F26F20"/>
    <w:rsid w:val="00F26FB8"/>
    <w:rsid w:val="00F27004"/>
    <w:rsid w:val="00F27249"/>
    <w:rsid w:val="00F27317"/>
    <w:rsid w:val="00F27461"/>
    <w:rsid w:val="00F274D0"/>
    <w:rsid w:val="00F274DA"/>
    <w:rsid w:val="00F27667"/>
    <w:rsid w:val="00F27791"/>
    <w:rsid w:val="00F277C8"/>
    <w:rsid w:val="00F27A5F"/>
    <w:rsid w:val="00F27A65"/>
    <w:rsid w:val="00F27A90"/>
    <w:rsid w:val="00F27C41"/>
    <w:rsid w:val="00F27D8C"/>
    <w:rsid w:val="00F2C651"/>
    <w:rsid w:val="00F3002E"/>
    <w:rsid w:val="00F30045"/>
    <w:rsid w:val="00F302A7"/>
    <w:rsid w:val="00F302CB"/>
    <w:rsid w:val="00F3034A"/>
    <w:rsid w:val="00F3036C"/>
    <w:rsid w:val="00F303E2"/>
    <w:rsid w:val="00F303F7"/>
    <w:rsid w:val="00F3045D"/>
    <w:rsid w:val="00F3051E"/>
    <w:rsid w:val="00F3072E"/>
    <w:rsid w:val="00F3075D"/>
    <w:rsid w:val="00F30BA0"/>
    <w:rsid w:val="00F30BCD"/>
    <w:rsid w:val="00F30C25"/>
    <w:rsid w:val="00F30D42"/>
    <w:rsid w:val="00F30DA1"/>
    <w:rsid w:val="00F30DAC"/>
    <w:rsid w:val="00F30DF2"/>
    <w:rsid w:val="00F30F6A"/>
    <w:rsid w:val="00F31045"/>
    <w:rsid w:val="00F31216"/>
    <w:rsid w:val="00F31296"/>
    <w:rsid w:val="00F3145E"/>
    <w:rsid w:val="00F315A2"/>
    <w:rsid w:val="00F315F2"/>
    <w:rsid w:val="00F317CB"/>
    <w:rsid w:val="00F31A2F"/>
    <w:rsid w:val="00F31A5E"/>
    <w:rsid w:val="00F31ADF"/>
    <w:rsid w:val="00F31C35"/>
    <w:rsid w:val="00F31DEC"/>
    <w:rsid w:val="00F31E64"/>
    <w:rsid w:val="00F31E6D"/>
    <w:rsid w:val="00F3220C"/>
    <w:rsid w:val="00F32316"/>
    <w:rsid w:val="00F3231F"/>
    <w:rsid w:val="00F323B7"/>
    <w:rsid w:val="00F324CD"/>
    <w:rsid w:val="00F326AB"/>
    <w:rsid w:val="00F327C3"/>
    <w:rsid w:val="00F32861"/>
    <w:rsid w:val="00F329B0"/>
    <w:rsid w:val="00F32C73"/>
    <w:rsid w:val="00F32CDE"/>
    <w:rsid w:val="00F32CF9"/>
    <w:rsid w:val="00F33012"/>
    <w:rsid w:val="00F3344C"/>
    <w:rsid w:val="00F33460"/>
    <w:rsid w:val="00F33512"/>
    <w:rsid w:val="00F33866"/>
    <w:rsid w:val="00F3386E"/>
    <w:rsid w:val="00F33894"/>
    <w:rsid w:val="00F338AD"/>
    <w:rsid w:val="00F338B3"/>
    <w:rsid w:val="00F33933"/>
    <w:rsid w:val="00F3397E"/>
    <w:rsid w:val="00F33D01"/>
    <w:rsid w:val="00F33D23"/>
    <w:rsid w:val="00F33E0D"/>
    <w:rsid w:val="00F33FAC"/>
    <w:rsid w:val="00F3413F"/>
    <w:rsid w:val="00F3417C"/>
    <w:rsid w:val="00F34185"/>
    <w:rsid w:val="00F3438F"/>
    <w:rsid w:val="00F343A1"/>
    <w:rsid w:val="00F344A1"/>
    <w:rsid w:val="00F34638"/>
    <w:rsid w:val="00F347A4"/>
    <w:rsid w:val="00F34A4C"/>
    <w:rsid w:val="00F34B11"/>
    <w:rsid w:val="00F34C05"/>
    <w:rsid w:val="00F34CAF"/>
    <w:rsid w:val="00F34D23"/>
    <w:rsid w:val="00F34D85"/>
    <w:rsid w:val="00F34DC9"/>
    <w:rsid w:val="00F34ED1"/>
    <w:rsid w:val="00F35010"/>
    <w:rsid w:val="00F350C8"/>
    <w:rsid w:val="00F35160"/>
    <w:rsid w:val="00F351AB"/>
    <w:rsid w:val="00F3557B"/>
    <w:rsid w:val="00F3572F"/>
    <w:rsid w:val="00F35832"/>
    <w:rsid w:val="00F3587E"/>
    <w:rsid w:val="00F35906"/>
    <w:rsid w:val="00F359EB"/>
    <w:rsid w:val="00F35A0F"/>
    <w:rsid w:val="00F35B39"/>
    <w:rsid w:val="00F35B5E"/>
    <w:rsid w:val="00F35BBB"/>
    <w:rsid w:val="00F35BE4"/>
    <w:rsid w:val="00F35C1E"/>
    <w:rsid w:val="00F35D60"/>
    <w:rsid w:val="00F35EC1"/>
    <w:rsid w:val="00F35F63"/>
    <w:rsid w:val="00F35F90"/>
    <w:rsid w:val="00F36006"/>
    <w:rsid w:val="00F360E7"/>
    <w:rsid w:val="00F361E0"/>
    <w:rsid w:val="00F3620D"/>
    <w:rsid w:val="00F36305"/>
    <w:rsid w:val="00F3634D"/>
    <w:rsid w:val="00F363B5"/>
    <w:rsid w:val="00F363D8"/>
    <w:rsid w:val="00F36404"/>
    <w:rsid w:val="00F36555"/>
    <w:rsid w:val="00F3665C"/>
    <w:rsid w:val="00F36680"/>
    <w:rsid w:val="00F36707"/>
    <w:rsid w:val="00F3678A"/>
    <w:rsid w:val="00F369B8"/>
    <w:rsid w:val="00F369BC"/>
    <w:rsid w:val="00F36C21"/>
    <w:rsid w:val="00F36D4B"/>
    <w:rsid w:val="00F36E2D"/>
    <w:rsid w:val="00F36E4D"/>
    <w:rsid w:val="00F36EF5"/>
    <w:rsid w:val="00F36F0D"/>
    <w:rsid w:val="00F36FD6"/>
    <w:rsid w:val="00F37049"/>
    <w:rsid w:val="00F37463"/>
    <w:rsid w:val="00F37596"/>
    <w:rsid w:val="00F3760E"/>
    <w:rsid w:val="00F379F9"/>
    <w:rsid w:val="00F37D60"/>
    <w:rsid w:val="00F37DB0"/>
    <w:rsid w:val="00F37E6D"/>
    <w:rsid w:val="00F37E83"/>
    <w:rsid w:val="00F4017A"/>
    <w:rsid w:val="00F401E0"/>
    <w:rsid w:val="00F40246"/>
    <w:rsid w:val="00F4034F"/>
    <w:rsid w:val="00F404C7"/>
    <w:rsid w:val="00F40672"/>
    <w:rsid w:val="00F406CF"/>
    <w:rsid w:val="00F40723"/>
    <w:rsid w:val="00F40790"/>
    <w:rsid w:val="00F4079F"/>
    <w:rsid w:val="00F4088B"/>
    <w:rsid w:val="00F40915"/>
    <w:rsid w:val="00F40B51"/>
    <w:rsid w:val="00F40D54"/>
    <w:rsid w:val="00F4105E"/>
    <w:rsid w:val="00F412C7"/>
    <w:rsid w:val="00F4136B"/>
    <w:rsid w:val="00F414D8"/>
    <w:rsid w:val="00F4162B"/>
    <w:rsid w:val="00F4187A"/>
    <w:rsid w:val="00F41881"/>
    <w:rsid w:val="00F4189D"/>
    <w:rsid w:val="00F418B6"/>
    <w:rsid w:val="00F4198B"/>
    <w:rsid w:val="00F419F0"/>
    <w:rsid w:val="00F41A22"/>
    <w:rsid w:val="00F41C21"/>
    <w:rsid w:val="00F41C25"/>
    <w:rsid w:val="00F41CF3"/>
    <w:rsid w:val="00F41DC4"/>
    <w:rsid w:val="00F41EAC"/>
    <w:rsid w:val="00F41F12"/>
    <w:rsid w:val="00F41F42"/>
    <w:rsid w:val="00F41F4C"/>
    <w:rsid w:val="00F41FA8"/>
    <w:rsid w:val="00F41FA9"/>
    <w:rsid w:val="00F42124"/>
    <w:rsid w:val="00F4212E"/>
    <w:rsid w:val="00F42196"/>
    <w:rsid w:val="00F422FF"/>
    <w:rsid w:val="00F424AD"/>
    <w:rsid w:val="00F42722"/>
    <w:rsid w:val="00F42730"/>
    <w:rsid w:val="00F4291C"/>
    <w:rsid w:val="00F42A42"/>
    <w:rsid w:val="00F42A5A"/>
    <w:rsid w:val="00F42DDD"/>
    <w:rsid w:val="00F4312E"/>
    <w:rsid w:val="00F43142"/>
    <w:rsid w:val="00F43164"/>
    <w:rsid w:val="00F43287"/>
    <w:rsid w:val="00F434D8"/>
    <w:rsid w:val="00F435FB"/>
    <w:rsid w:val="00F43631"/>
    <w:rsid w:val="00F43648"/>
    <w:rsid w:val="00F43A0C"/>
    <w:rsid w:val="00F43B65"/>
    <w:rsid w:val="00F43BC4"/>
    <w:rsid w:val="00F43C3D"/>
    <w:rsid w:val="00F43C51"/>
    <w:rsid w:val="00F43C73"/>
    <w:rsid w:val="00F43D2D"/>
    <w:rsid w:val="00F43DAC"/>
    <w:rsid w:val="00F43E68"/>
    <w:rsid w:val="00F43EA0"/>
    <w:rsid w:val="00F43F82"/>
    <w:rsid w:val="00F4427B"/>
    <w:rsid w:val="00F442BE"/>
    <w:rsid w:val="00F4469C"/>
    <w:rsid w:val="00F4487A"/>
    <w:rsid w:val="00F44989"/>
    <w:rsid w:val="00F44AFE"/>
    <w:rsid w:val="00F44BE1"/>
    <w:rsid w:val="00F44C52"/>
    <w:rsid w:val="00F44C62"/>
    <w:rsid w:val="00F44C6A"/>
    <w:rsid w:val="00F44C84"/>
    <w:rsid w:val="00F44CC1"/>
    <w:rsid w:val="00F44E99"/>
    <w:rsid w:val="00F44F0E"/>
    <w:rsid w:val="00F44F2C"/>
    <w:rsid w:val="00F44F85"/>
    <w:rsid w:val="00F44FA5"/>
    <w:rsid w:val="00F451DC"/>
    <w:rsid w:val="00F4528C"/>
    <w:rsid w:val="00F45384"/>
    <w:rsid w:val="00F455D6"/>
    <w:rsid w:val="00F455F3"/>
    <w:rsid w:val="00F45910"/>
    <w:rsid w:val="00F459DD"/>
    <w:rsid w:val="00F45A5A"/>
    <w:rsid w:val="00F45ACB"/>
    <w:rsid w:val="00F45B28"/>
    <w:rsid w:val="00F45B54"/>
    <w:rsid w:val="00F45B66"/>
    <w:rsid w:val="00F45C3A"/>
    <w:rsid w:val="00F45C6B"/>
    <w:rsid w:val="00F46048"/>
    <w:rsid w:val="00F461FF"/>
    <w:rsid w:val="00F46230"/>
    <w:rsid w:val="00F46236"/>
    <w:rsid w:val="00F46264"/>
    <w:rsid w:val="00F4650C"/>
    <w:rsid w:val="00F46564"/>
    <w:rsid w:val="00F4659A"/>
    <w:rsid w:val="00F4685F"/>
    <w:rsid w:val="00F468C8"/>
    <w:rsid w:val="00F468FD"/>
    <w:rsid w:val="00F4699D"/>
    <w:rsid w:val="00F469BC"/>
    <w:rsid w:val="00F46C72"/>
    <w:rsid w:val="00F46D53"/>
    <w:rsid w:val="00F46FC9"/>
    <w:rsid w:val="00F47195"/>
    <w:rsid w:val="00F47457"/>
    <w:rsid w:val="00F47586"/>
    <w:rsid w:val="00F47630"/>
    <w:rsid w:val="00F4763D"/>
    <w:rsid w:val="00F4770C"/>
    <w:rsid w:val="00F47739"/>
    <w:rsid w:val="00F4794E"/>
    <w:rsid w:val="00F479AD"/>
    <w:rsid w:val="00F47C3D"/>
    <w:rsid w:val="00F47CAB"/>
    <w:rsid w:val="00F501E2"/>
    <w:rsid w:val="00F501E8"/>
    <w:rsid w:val="00F504A7"/>
    <w:rsid w:val="00F5062E"/>
    <w:rsid w:val="00F50651"/>
    <w:rsid w:val="00F50908"/>
    <w:rsid w:val="00F50A4C"/>
    <w:rsid w:val="00F50B69"/>
    <w:rsid w:val="00F50B8D"/>
    <w:rsid w:val="00F50BCA"/>
    <w:rsid w:val="00F50BDA"/>
    <w:rsid w:val="00F51295"/>
    <w:rsid w:val="00F513B4"/>
    <w:rsid w:val="00F513D1"/>
    <w:rsid w:val="00F515E5"/>
    <w:rsid w:val="00F51656"/>
    <w:rsid w:val="00F517A3"/>
    <w:rsid w:val="00F51801"/>
    <w:rsid w:val="00F5189B"/>
    <w:rsid w:val="00F51B70"/>
    <w:rsid w:val="00F51B91"/>
    <w:rsid w:val="00F51BF0"/>
    <w:rsid w:val="00F51BFC"/>
    <w:rsid w:val="00F51CF2"/>
    <w:rsid w:val="00F52236"/>
    <w:rsid w:val="00F5233F"/>
    <w:rsid w:val="00F523E4"/>
    <w:rsid w:val="00F524DC"/>
    <w:rsid w:val="00F52989"/>
    <w:rsid w:val="00F52AD4"/>
    <w:rsid w:val="00F52B35"/>
    <w:rsid w:val="00F52BDE"/>
    <w:rsid w:val="00F52BF6"/>
    <w:rsid w:val="00F52E7D"/>
    <w:rsid w:val="00F52FD9"/>
    <w:rsid w:val="00F530CD"/>
    <w:rsid w:val="00F5314C"/>
    <w:rsid w:val="00F53198"/>
    <w:rsid w:val="00F5321E"/>
    <w:rsid w:val="00F53363"/>
    <w:rsid w:val="00F5363B"/>
    <w:rsid w:val="00F53677"/>
    <w:rsid w:val="00F5367F"/>
    <w:rsid w:val="00F53784"/>
    <w:rsid w:val="00F537BC"/>
    <w:rsid w:val="00F53859"/>
    <w:rsid w:val="00F539E6"/>
    <w:rsid w:val="00F53AC3"/>
    <w:rsid w:val="00F53B0E"/>
    <w:rsid w:val="00F53B19"/>
    <w:rsid w:val="00F53BC1"/>
    <w:rsid w:val="00F53BEC"/>
    <w:rsid w:val="00F53C0F"/>
    <w:rsid w:val="00F53C4D"/>
    <w:rsid w:val="00F53D23"/>
    <w:rsid w:val="00F53E45"/>
    <w:rsid w:val="00F54350"/>
    <w:rsid w:val="00F544F6"/>
    <w:rsid w:val="00F54513"/>
    <w:rsid w:val="00F54545"/>
    <w:rsid w:val="00F54546"/>
    <w:rsid w:val="00F545B9"/>
    <w:rsid w:val="00F5468C"/>
    <w:rsid w:val="00F54770"/>
    <w:rsid w:val="00F548A3"/>
    <w:rsid w:val="00F54A69"/>
    <w:rsid w:val="00F54AFB"/>
    <w:rsid w:val="00F54B60"/>
    <w:rsid w:val="00F54C35"/>
    <w:rsid w:val="00F54C4F"/>
    <w:rsid w:val="00F54C76"/>
    <w:rsid w:val="00F54D1B"/>
    <w:rsid w:val="00F54D5B"/>
    <w:rsid w:val="00F54DE6"/>
    <w:rsid w:val="00F54F68"/>
    <w:rsid w:val="00F5504B"/>
    <w:rsid w:val="00F55261"/>
    <w:rsid w:val="00F552D1"/>
    <w:rsid w:val="00F555FA"/>
    <w:rsid w:val="00F55615"/>
    <w:rsid w:val="00F55638"/>
    <w:rsid w:val="00F55680"/>
    <w:rsid w:val="00F556EE"/>
    <w:rsid w:val="00F558B7"/>
    <w:rsid w:val="00F55A8F"/>
    <w:rsid w:val="00F55AF8"/>
    <w:rsid w:val="00F55BED"/>
    <w:rsid w:val="00F55C1D"/>
    <w:rsid w:val="00F55C49"/>
    <w:rsid w:val="00F55C8D"/>
    <w:rsid w:val="00F55C9F"/>
    <w:rsid w:val="00F55D0B"/>
    <w:rsid w:val="00F55E38"/>
    <w:rsid w:val="00F55EB5"/>
    <w:rsid w:val="00F55F72"/>
    <w:rsid w:val="00F55FAF"/>
    <w:rsid w:val="00F55FB9"/>
    <w:rsid w:val="00F56170"/>
    <w:rsid w:val="00F56517"/>
    <w:rsid w:val="00F56526"/>
    <w:rsid w:val="00F56872"/>
    <w:rsid w:val="00F568E7"/>
    <w:rsid w:val="00F56A9E"/>
    <w:rsid w:val="00F56BC4"/>
    <w:rsid w:val="00F56D46"/>
    <w:rsid w:val="00F57123"/>
    <w:rsid w:val="00F5730D"/>
    <w:rsid w:val="00F57484"/>
    <w:rsid w:val="00F5753E"/>
    <w:rsid w:val="00F57578"/>
    <w:rsid w:val="00F577C0"/>
    <w:rsid w:val="00F577DC"/>
    <w:rsid w:val="00F57899"/>
    <w:rsid w:val="00F5790D"/>
    <w:rsid w:val="00F57926"/>
    <w:rsid w:val="00F57A7E"/>
    <w:rsid w:val="00F57BA0"/>
    <w:rsid w:val="00F57ECF"/>
    <w:rsid w:val="00F6010D"/>
    <w:rsid w:val="00F60332"/>
    <w:rsid w:val="00F604ED"/>
    <w:rsid w:val="00F6076F"/>
    <w:rsid w:val="00F607CD"/>
    <w:rsid w:val="00F60864"/>
    <w:rsid w:val="00F60A40"/>
    <w:rsid w:val="00F60E66"/>
    <w:rsid w:val="00F60ED4"/>
    <w:rsid w:val="00F60FCF"/>
    <w:rsid w:val="00F60FD6"/>
    <w:rsid w:val="00F60FEA"/>
    <w:rsid w:val="00F610E8"/>
    <w:rsid w:val="00F6114D"/>
    <w:rsid w:val="00F6135D"/>
    <w:rsid w:val="00F613CF"/>
    <w:rsid w:val="00F6146A"/>
    <w:rsid w:val="00F614EB"/>
    <w:rsid w:val="00F61514"/>
    <w:rsid w:val="00F61579"/>
    <w:rsid w:val="00F615A2"/>
    <w:rsid w:val="00F6184E"/>
    <w:rsid w:val="00F6194A"/>
    <w:rsid w:val="00F61B9D"/>
    <w:rsid w:val="00F61C23"/>
    <w:rsid w:val="00F61EA4"/>
    <w:rsid w:val="00F61F52"/>
    <w:rsid w:val="00F61F92"/>
    <w:rsid w:val="00F62039"/>
    <w:rsid w:val="00F62133"/>
    <w:rsid w:val="00F621E5"/>
    <w:rsid w:val="00F622AA"/>
    <w:rsid w:val="00F623E9"/>
    <w:rsid w:val="00F62401"/>
    <w:rsid w:val="00F624BB"/>
    <w:rsid w:val="00F624F7"/>
    <w:rsid w:val="00F627D9"/>
    <w:rsid w:val="00F62A9E"/>
    <w:rsid w:val="00F62BE0"/>
    <w:rsid w:val="00F62D08"/>
    <w:rsid w:val="00F63035"/>
    <w:rsid w:val="00F63178"/>
    <w:rsid w:val="00F63185"/>
    <w:rsid w:val="00F63337"/>
    <w:rsid w:val="00F633C2"/>
    <w:rsid w:val="00F633E0"/>
    <w:rsid w:val="00F63436"/>
    <w:rsid w:val="00F634A2"/>
    <w:rsid w:val="00F6392C"/>
    <w:rsid w:val="00F63A0B"/>
    <w:rsid w:val="00F63AC7"/>
    <w:rsid w:val="00F63B1B"/>
    <w:rsid w:val="00F63D19"/>
    <w:rsid w:val="00F63D39"/>
    <w:rsid w:val="00F64332"/>
    <w:rsid w:val="00F643D7"/>
    <w:rsid w:val="00F643DC"/>
    <w:rsid w:val="00F644D0"/>
    <w:rsid w:val="00F6453F"/>
    <w:rsid w:val="00F645BF"/>
    <w:rsid w:val="00F6461A"/>
    <w:rsid w:val="00F646CB"/>
    <w:rsid w:val="00F646E1"/>
    <w:rsid w:val="00F6472D"/>
    <w:rsid w:val="00F64756"/>
    <w:rsid w:val="00F64A87"/>
    <w:rsid w:val="00F64B1F"/>
    <w:rsid w:val="00F64C34"/>
    <w:rsid w:val="00F64CB7"/>
    <w:rsid w:val="00F64DCD"/>
    <w:rsid w:val="00F64E58"/>
    <w:rsid w:val="00F65057"/>
    <w:rsid w:val="00F65251"/>
    <w:rsid w:val="00F65326"/>
    <w:rsid w:val="00F65432"/>
    <w:rsid w:val="00F654AB"/>
    <w:rsid w:val="00F65507"/>
    <w:rsid w:val="00F65527"/>
    <w:rsid w:val="00F6563B"/>
    <w:rsid w:val="00F65664"/>
    <w:rsid w:val="00F656D3"/>
    <w:rsid w:val="00F65862"/>
    <w:rsid w:val="00F658EE"/>
    <w:rsid w:val="00F65B44"/>
    <w:rsid w:val="00F65B5C"/>
    <w:rsid w:val="00F65B72"/>
    <w:rsid w:val="00F65C82"/>
    <w:rsid w:val="00F65CBF"/>
    <w:rsid w:val="00F65D19"/>
    <w:rsid w:val="00F65D98"/>
    <w:rsid w:val="00F65DAD"/>
    <w:rsid w:val="00F65EF0"/>
    <w:rsid w:val="00F65F09"/>
    <w:rsid w:val="00F65FF7"/>
    <w:rsid w:val="00F66037"/>
    <w:rsid w:val="00F66052"/>
    <w:rsid w:val="00F6621E"/>
    <w:rsid w:val="00F6633C"/>
    <w:rsid w:val="00F6634B"/>
    <w:rsid w:val="00F66738"/>
    <w:rsid w:val="00F67044"/>
    <w:rsid w:val="00F67068"/>
    <w:rsid w:val="00F67129"/>
    <w:rsid w:val="00F67249"/>
    <w:rsid w:val="00F673C3"/>
    <w:rsid w:val="00F673F9"/>
    <w:rsid w:val="00F67495"/>
    <w:rsid w:val="00F675FB"/>
    <w:rsid w:val="00F67625"/>
    <w:rsid w:val="00F6778D"/>
    <w:rsid w:val="00F67956"/>
    <w:rsid w:val="00F67958"/>
    <w:rsid w:val="00F679BB"/>
    <w:rsid w:val="00F67A69"/>
    <w:rsid w:val="00F67AF0"/>
    <w:rsid w:val="00F67C0E"/>
    <w:rsid w:val="00F67CAE"/>
    <w:rsid w:val="00F67D45"/>
    <w:rsid w:val="00F67E92"/>
    <w:rsid w:val="00F67EA2"/>
    <w:rsid w:val="00F67F0A"/>
    <w:rsid w:val="00F70063"/>
    <w:rsid w:val="00F7010D"/>
    <w:rsid w:val="00F70301"/>
    <w:rsid w:val="00F70416"/>
    <w:rsid w:val="00F7050B"/>
    <w:rsid w:val="00F7056E"/>
    <w:rsid w:val="00F7073E"/>
    <w:rsid w:val="00F707BA"/>
    <w:rsid w:val="00F70902"/>
    <w:rsid w:val="00F7091B"/>
    <w:rsid w:val="00F70AFE"/>
    <w:rsid w:val="00F70B39"/>
    <w:rsid w:val="00F70B6D"/>
    <w:rsid w:val="00F70B77"/>
    <w:rsid w:val="00F70C8D"/>
    <w:rsid w:val="00F70CE8"/>
    <w:rsid w:val="00F70DC9"/>
    <w:rsid w:val="00F70E05"/>
    <w:rsid w:val="00F70E87"/>
    <w:rsid w:val="00F71132"/>
    <w:rsid w:val="00F7120C"/>
    <w:rsid w:val="00F712B5"/>
    <w:rsid w:val="00F7155F"/>
    <w:rsid w:val="00F7173B"/>
    <w:rsid w:val="00F71840"/>
    <w:rsid w:val="00F7193A"/>
    <w:rsid w:val="00F71AE1"/>
    <w:rsid w:val="00F71C66"/>
    <w:rsid w:val="00F71D92"/>
    <w:rsid w:val="00F71E5E"/>
    <w:rsid w:val="00F71F58"/>
    <w:rsid w:val="00F71F78"/>
    <w:rsid w:val="00F7219D"/>
    <w:rsid w:val="00F721D8"/>
    <w:rsid w:val="00F72333"/>
    <w:rsid w:val="00F7249C"/>
    <w:rsid w:val="00F72671"/>
    <w:rsid w:val="00F726B6"/>
    <w:rsid w:val="00F72709"/>
    <w:rsid w:val="00F72732"/>
    <w:rsid w:val="00F72741"/>
    <w:rsid w:val="00F7281F"/>
    <w:rsid w:val="00F7284E"/>
    <w:rsid w:val="00F72894"/>
    <w:rsid w:val="00F728B6"/>
    <w:rsid w:val="00F729E3"/>
    <w:rsid w:val="00F72CB6"/>
    <w:rsid w:val="00F72D48"/>
    <w:rsid w:val="00F72D83"/>
    <w:rsid w:val="00F72DF8"/>
    <w:rsid w:val="00F72F4B"/>
    <w:rsid w:val="00F73214"/>
    <w:rsid w:val="00F733CB"/>
    <w:rsid w:val="00F73420"/>
    <w:rsid w:val="00F7343E"/>
    <w:rsid w:val="00F73477"/>
    <w:rsid w:val="00F73613"/>
    <w:rsid w:val="00F73860"/>
    <w:rsid w:val="00F738AA"/>
    <w:rsid w:val="00F73918"/>
    <w:rsid w:val="00F73925"/>
    <w:rsid w:val="00F739C9"/>
    <w:rsid w:val="00F73A57"/>
    <w:rsid w:val="00F73B02"/>
    <w:rsid w:val="00F73BB3"/>
    <w:rsid w:val="00F73E0B"/>
    <w:rsid w:val="00F73EC0"/>
    <w:rsid w:val="00F73F96"/>
    <w:rsid w:val="00F74010"/>
    <w:rsid w:val="00F74094"/>
    <w:rsid w:val="00F7412F"/>
    <w:rsid w:val="00F741E0"/>
    <w:rsid w:val="00F7438B"/>
    <w:rsid w:val="00F74409"/>
    <w:rsid w:val="00F74452"/>
    <w:rsid w:val="00F744E6"/>
    <w:rsid w:val="00F745AA"/>
    <w:rsid w:val="00F74643"/>
    <w:rsid w:val="00F74647"/>
    <w:rsid w:val="00F74649"/>
    <w:rsid w:val="00F746B8"/>
    <w:rsid w:val="00F74711"/>
    <w:rsid w:val="00F7474C"/>
    <w:rsid w:val="00F74812"/>
    <w:rsid w:val="00F7481A"/>
    <w:rsid w:val="00F7496C"/>
    <w:rsid w:val="00F74A7F"/>
    <w:rsid w:val="00F74ABD"/>
    <w:rsid w:val="00F74AEB"/>
    <w:rsid w:val="00F74BD8"/>
    <w:rsid w:val="00F74D0F"/>
    <w:rsid w:val="00F74DB6"/>
    <w:rsid w:val="00F74E1D"/>
    <w:rsid w:val="00F75035"/>
    <w:rsid w:val="00F750FB"/>
    <w:rsid w:val="00F7515D"/>
    <w:rsid w:val="00F752AC"/>
    <w:rsid w:val="00F752F3"/>
    <w:rsid w:val="00F75539"/>
    <w:rsid w:val="00F75544"/>
    <w:rsid w:val="00F75660"/>
    <w:rsid w:val="00F75662"/>
    <w:rsid w:val="00F757AC"/>
    <w:rsid w:val="00F758B5"/>
    <w:rsid w:val="00F75909"/>
    <w:rsid w:val="00F75A6E"/>
    <w:rsid w:val="00F75B0B"/>
    <w:rsid w:val="00F75B12"/>
    <w:rsid w:val="00F75B34"/>
    <w:rsid w:val="00F75B5C"/>
    <w:rsid w:val="00F75C3B"/>
    <w:rsid w:val="00F760CE"/>
    <w:rsid w:val="00F760D2"/>
    <w:rsid w:val="00F76171"/>
    <w:rsid w:val="00F761FF"/>
    <w:rsid w:val="00F76298"/>
    <w:rsid w:val="00F762A1"/>
    <w:rsid w:val="00F764E7"/>
    <w:rsid w:val="00F7658A"/>
    <w:rsid w:val="00F76629"/>
    <w:rsid w:val="00F76689"/>
    <w:rsid w:val="00F7668F"/>
    <w:rsid w:val="00F768E9"/>
    <w:rsid w:val="00F76968"/>
    <w:rsid w:val="00F769D6"/>
    <w:rsid w:val="00F76B53"/>
    <w:rsid w:val="00F76CAF"/>
    <w:rsid w:val="00F76D15"/>
    <w:rsid w:val="00F76F1C"/>
    <w:rsid w:val="00F76F5A"/>
    <w:rsid w:val="00F7704C"/>
    <w:rsid w:val="00F77117"/>
    <w:rsid w:val="00F7719B"/>
    <w:rsid w:val="00F771B3"/>
    <w:rsid w:val="00F772F3"/>
    <w:rsid w:val="00F773E3"/>
    <w:rsid w:val="00F773EE"/>
    <w:rsid w:val="00F7758C"/>
    <w:rsid w:val="00F7758F"/>
    <w:rsid w:val="00F77597"/>
    <w:rsid w:val="00F776AB"/>
    <w:rsid w:val="00F77808"/>
    <w:rsid w:val="00F7780F"/>
    <w:rsid w:val="00F778FD"/>
    <w:rsid w:val="00F77904"/>
    <w:rsid w:val="00F77BAF"/>
    <w:rsid w:val="00F77BF2"/>
    <w:rsid w:val="00F77C27"/>
    <w:rsid w:val="00F77CA4"/>
    <w:rsid w:val="00F77E64"/>
    <w:rsid w:val="00F77F19"/>
    <w:rsid w:val="00F77F6D"/>
    <w:rsid w:val="00F80095"/>
    <w:rsid w:val="00F80098"/>
    <w:rsid w:val="00F800EA"/>
    <w:rsid w:val="00F80194"/>
    <w:rsid w:val="00F8021A"/>
    <w:rsid w:val="00F803C6"/>
    <w:rsid w:val="00F80555"/>
    <w:rsid w:val="00F806BD"/>
    <w:rsid w:val="00F8089E"/>
    <w:rsid w:val="00F808B8"/>
    <w:rsid w:val="00F809B0"/>
    <w:rsid w:val="00F809FD"/>
    <w:rsid w:val="00F80BF5"/>
    <w:rsid w:val="00F80C9B"/>
    <w:rsid w:val="00F80EA7"/>
    <w:rsid w:val="00F80F6D"/>
    <w:rsid w:val="00F81141"/>
    <w:rsid w:val="00F813D0"/>
    <w:rsid w:val="00F814B0"/>
    <w:rsid w:val="00F815AE"/>
    <w:rsid w:val="00F8169E"/>
    <w:rsid w:val="00F816AF"/>
    <w:rsid w:val="00F819DA"/>
    <w:rsid w:val="00F81A6C"/>
    <w:rsid w:val="00F81A7B"/>
    <w:rsid w:val="00F81A88"/>
    <w:rsid w:val="00F81B34"/>
    <w:rsid w:val="00F81DD5"/>
    <w:rsid w:val="00F81DE4"/>
    <w:rsid w:val="00F81E0B"/>
    <w:rsid w:val="00F81E66"/>
    <w:rsid w:val="00F81EA4"/>
    <w:rsid w:val="00F81F09"/>
    <w:rsid w:val="00F82067"/>
    <w:rsid w:val="00F820A5"/>
    <w:rsid w:val="00F823B6"/>
    <w:rsid w:val="00F827BC"/>
    <w:rsid w:val="00F8282C"/>
    <w:rsid w:val="00F828E6"/>
    <w:rsid w:val="00F82912"/>
    <w:rsid w:val="00F82C51"/>
    <w:rsid w:val="00F82CC6"/>
    <w:rsid w:val="00F82CCE"/>
    <w:rsid w:val="00F82D54"/>
    <w:rsid w:val="00F82E4F"/>
    <w:rsid w:val="00F82EE4"/>
    <w:rsid w:val="00F83023"/>
    <w:rsid w:val="00F831A6"/>
    <w:rsid w:val="00F83467"/>
    <w:rsid w:val="00F83604"/>
    <w:rsid w:val="00F836BF"/>
    <w:rsid w:val="00F838D3"/>
    <w:rsid w:val="00F839C2"/>
    <w:rsid w:val="00F83ABB"/>
    <w:rsid w:val="00F83DB4"/>
    <w:rsid w:val="00F8400D"/>
    <w:rsid w:val="00F8414B"/>
    <w:rsid w:val="00F84215"/>
    <w:rsid w:val="00F842AC"/>
    <w:rsid w:val="00F84485"/>
    <w:rsid w:val="00F8458B"/>
    <w:rsid w:val="00F846B4"/>
    <w:rsid w:val="00F84811"/>
    <w:rsid w:val="00F8491A"/>
    <w:rsid w:val="00F849EC"/>
    <w:rsid w:val="00F84A4F"/>
    <w:rsid w:val="00F84D07"/>
    <w:rsid w:val="00F84D9F"/>
    <w:rsid w:val="00F85157"/>
    <w:rsid w:val="00F85187"/>
    <w:rsid w:val="00F851A8"/>
    <w:rsid w:val="00F852EB"/>
    <w:rsid w:val="00F853A2"/>
    <w:rsid w:val="00F853BF"/>
    <w:rsid w:val="00F853CB"/>
    <w:rsid w:val="00F855FD"/>
    <w:rsid w:val="00F85710"/>
    <w:rsid w:val="00F85816"/>
    <w:rsid w:val="00F8583B"/>
    <w:rsid w:val="00F85985"/>
    <w:rsid w:val="00F85B6C"/>
    <w:rsid w:val="00F85B78"/>
    <w:rsid w:val="00F85B9A"/>
    <w:rsid w:val="00F85C87"/>
    <w:rsid w:val="00F85C88"/>
    <w:rsid w:val="00F85D55"/>
    <w:rsid w:val="00F85D70"/>
    <w:rsid w:val="00F85E4E"/>
    <w:rsid w:val="00F85E85"/>
    <w:rsid w:val="00F85F5C"/>
    <w:rsid w:val="00F86067"/>
    <w:rsid w:val="00F86072"/>
    <w:rsid w:val="00F860EA"/>
    <w:rsid w:val="00F8623F"/>
    <w:rsid w:val="00F862F4"/>
    <w:rsid w:val="00F86375"/>
    <w:rsid w:val="00F863AD"/>
    <w:rsid w:val="00F86593"/>
    <w:rsid w:val="00F8660D"/>
    <w:rsid w:val="00F867FF"/>
    <w:rsid w:val="00F8691C"/>
    <w:rsid w:val="00F86926"/>
    <w:rsid w:val="00F86B17"/>
    <w:rsid w:val="00F86B80"/>
    <w:rsid w:val="00F86D0C"/>
    <w:rsid w:val="00F86E1D"/>
    <w:rsid w:val="00F86E21"/>
    <w:rsid w:val="00F87030"/>
    <w:rsid w:val="00F8703E"/>
    <w:rsid w:val="00F870C1"/>
    <w:rsid w:val="00F872B0"/>
    <w:rsid w:val="00F8745E"/>
    <w:rsid w:val="00F874CC"/>
    <w:rsid w:val="00F87542"/>
    <w:rsid w:val="00F876AE"/>
    <w:rsid w:val="00F8784C"/>
    <w:rsid w:val="00F879A2"/>
    <w:rsid w:val="00F879E2"/>
    <w:rsid w:val="00F87AD8"/>
    <w:rsid w:val="00F87C18"/>
    <w:rsid w:val="00F87E0D"/>
    <w:rsid w:val="00F87E0F"/>
    <w:rsid w:val="00F87E14"/>
    <w:rsid w:val="00F87EA3"/>
    <w:rsid w:val="00F900A0"/>
    <w:rsid w:val="00F90542"/>
    <w:rsid w:val="00F90548"/>
    <w:rsid w:val="00F9054C"/>
    <w:rsid w:val="00F906A3"/>
    <w:rsid w:val="00F907B6"/>
    <w:rsid w:val="00F90889"/>
    <w:rsid w:val="00F908B5"/>
    <w:rsid w:val="00F9093E"/>
    <w:rsid w:val="00F909A1"/>
    <w:rsid w:val="00F909B8"/>
    <w:rsid w:val="00F90B3E"/>
    <w:rsid w:val="00F90F26"/>
    <w:rsid w:val="00F90FB7"/>
    <w:rsid w:val="00F90FC5"/>
    <w:rsid w:val="00F90FDA"/>
    <w:rsid w:val="00F90FEE"/>
    <w:rsid w:val="00F9114D"/>
    <w:rsid w:val="00F91176"/>
    <w:rsid w:val="00F91572"/>
    <w:rsid w:val="00F9163B"/>
    <w:rsid w:val="00F91664"/>
    <w:rsid w:val="00F9177C"/>
    <w:rsid w:val="00F9183E"/>
    <w:rsid w:val="00F91873"/>
    <w:rsid w:val="00F91920"/>
    <w:rsid w:val="00F91975"/>
    <w:rsid w:val="00F91B66"/>
    <w:rsid w:val="00F91C8B"/>
    <w:rsid w:val="00F91D02"/>
    <w:rsid w:val="00F91DCA"/>
    <w:rsid w:val="00F91FA1"/>
    <w:rsid w:val="00F92341"/>
    <w:rsid w:val="00F92437"/>
    <w:rsid w:val="00F92492"/>
    <w:rsid w:val="00F92540"/>
    <w:rsid w:val="00F92635"/>
    <w:rsid w:val="00F92939"/>
    <w:rsid w:val="00F92975"/>
    <w:rsid w:val="00F92A99"/>
    <w:rsid w:val="00F92BBC"/>
    <w:rsid w:val="00F92D5A"/>
    <w:rsid w:val="00F92D7A"/>
    <w:rsid w:val="00F92ED6"/>
    <w:rsid w:val="00F92F27"/>
    <w:rsid w:val="00F931DF"/>
    <w:rsid w:val="00F9322D"/>
    <w:rsid w:val="00F933C1"/>
    <w:rsid w:val="00F9341B"/>
    <w:rsid w:val="00F934CF"/>
    <w:rsid w:val="00F935F4"/>
    <w:rsid w:val="00F93629"/>
    <w:rsid w:val="00F936C1"/>
    <w:rsid w:val="00F93829"/>
    <w:rsid w:val="00F9391D"/>
    <w:rsid w:val="00F9394C"/>
    <w:rsid w:val="00F93B66"/>
    <w:rsid w:val="00F93BE9"/>
    <w:rsid w:val="00F93CB6"/>
    <w:rsid w:val="00F93D5D"/>
    <w:rsid w:val="00F93DD0"/>
    <w:rsid w:val="00F93E17"/>
    <w:rsid w:val="00F94101"/>
    <w:rsid w:val="00F9411E"/>
    <w:rsid w:val="00F941EB"/>
    <w:rsid w:val="00F943D0"/>
    <w:rsid w:val="00F943F7"/>
    <w:rsid w:val="00F94475"/>
    <w:rsid w:val="00F9449D"/>
    <w:rsid w:val="00F944D3"/>
    <w:rsid w:val="00F94561"/>
    <w:rsid w:val="00F94762"/>
    <w:rsid w:val="00F947FF"/>
    <w:rsid w:val="00F94A26"/>
    <w:rsid w:val="00F94BB3"/>
    <w:rsid w:val="00F94C65"/>
    <w:rsid w:val="00F94D05"/>
    <w:rsid w:val="00F94D35"/>
    <w:rsid w:val="00F94D53"/>
    <w:rsid w:val="00F94EBF"/>
    <w:rsid w:val="00F9500C"/>
    <w:rsid w:val="00F95216"/>
    <w:rsid w:val="00F9526F"/>
    <w:rsid w:val="00F95270"/>
    <w:rsid w:val="00F95385"/>
    <w:rsid w:val="00F953D0"/>
    <w:rsid w:val="00F9545E"/>
    <w:rsid w:val="00F95494"/>
    <w:rsid w:val="00F9553E"/>
    <w:rsid w:val="00F95864"/>
    <w:rsid w:val="00F958EA"/>
    <w:rsid w:val="00F95AA3"/>
    <w:rsid w:val="00F95AA5"/>
    <w:rsid w:val="00F95AE5"/>
    <w:rsid w:val="00F95D27"/>
    <w:rsid w:val="00F95D81"/>
    <w:rsid w:val="00F95FB9"/>
    <w:rsid w:val="00F95FDB"/>
    <w:rsid w:val="00F960C1"/>
    <w:rsid w:val="00F960F0"/>
    <w:rsid w:val="00F96108"/>
    <w:rsid w:val="00F96125"/>
    <w:rsid w:val="00F9622E"/>
    <w:rsid w:val="00F963E6"/>
    <w:rsid w:val="00F96496"/>
    <w:rsid w:val="00F964A8"/>
    <w:rsid w:val="00F964CA"/>
    <w:rsid w:val="00F968F7"/>
    <w:rsid w:val="00F96B4A"/>
    <w:rsid w:val="00F96C6D"/>
    <w:rsid w:val="00F96C7A"/>
    <w:rsid w:val="00F96DE3"/>
    <w:rsid w:val="00F96E3D"/>
    <w:rsid w:val="00F96F3D"/>
    <w:rsid w:val="00F96F7A"/>
    <w:rsid w:val="00F97063"/>
    <w:rsid w:val="00F971CD"/>
    <w:rsid w:val="00F9728D"/>
    <w:rsid w:val="00F97634"/>
    <w:rsid w:val="00F9766F"/>
    <w:rsid w:val="00F9769D"/>
    <w:rsid w:val="00F976BF"/>
    <w:rsid w:val="00F97C54"/>
    <w:rsid w:val="00F97CCF"/>
    <w:rsid w:val="00F97E1C"/>
    <w:rsid w:val="00FA0167"/>
    <w:rsid w:val="00FA0211"/>
    <w:rsid w:val="00FA0328"/>
    <w:rsid w:val="00FA036C"/>
    <w:rsid w:val="00FA0537"/>
    <w:rsid w:val="00FA065B"/>
    <w:rsid w:val="00FA07EC"/>
    <w:rsid w:val="00FA0962"/>
    <w:rsid w:val="00FA0A06"/>
    <w:rsid w:val="00FA0A6B"/>
    <w:rsid w:val="00FA0AA6"/>
    <w:rsid w:val="00FA0AAA"/>
    <w:rsid w:val="00FA0B11"/>
    <w:rsid w:val="00FA0F59"/>
    <w:rsid w:val="00FA0FDF"/>
    <w:rsid w:val="00FA101D"/>
    <w:rsid w:val="00FA10D0"/>
    <w:rsid w:val="00FA1249"/>
    <w:rsid w:val="00FA1390"/>
    <w:rsid w:val="00FA14B9"/>
    <w:rsid w:val="00FA1550"/>
    <w:rsid w:val="00FA175C"/>
    <w:rsid w:val="00FA1890"/>
    <w:rsid w:val="00FA196B"/>
    <w:rsid w:val="00FA1A89"/>
    <w:rsid w:val="00FA1BB9"/>
    <w:rsid w:val="00FA1DCE"/>
    <w:rsid w:val="00FA1F8F"/>
    <w:rsid w:val="00FA2054"/>
    <w:rsid w:val="00FA214C"/>
    <w:rsid w:val="00FA21B9"/>
    <w:rsid w:val="00FA220B"/>
    <w:rsid w:val="00FA2353"/>
    <w:rsid w:val="00FA2390"/>
    <w:rsid w:val="00FA242F"/>
    <w:rsid w:val="00FA24C9"/>
    <w:rsid w:val="00FA2575"/>
    <w:rsid w:val="00FA25B8"/>
    <w:rsid w:val="00FA2679"/>
    <w:rsid w:val="00FA282D"/>
    <w:rsid w:val="00FA2A8A"/>
    <w:rsid w:val="00FA2C64"/>
    <w:rsid w:val="00FA2C81"/>
    <w:rsid w:val="00FA2DBF"/>
    <w:rsid w:val="00FA2DDC"/>
    <w:rsid w:val="00FA2E38"/>
    <w:rsid w:val="00FA2ED9"/>
    <w:rsid w:val="00FA2FD3"/>
    <w:rsid w:val="00FA2FD6"/>
    <w:rsid w:val="00FA3032"/>
    <w:rsid w:val="00FA3264"/>
    <w:rsid w:val="00FA3284"/>
    <w:rsid w:val="00FA32F5"/>
    <w:rsid w:val="00FA340C"/>
    <w:rsid w:val="00FA3526"/>
    <w:rsid w:val="00FA384F"/>
    <w:rsid w:val="00FA391D"/>
    <w:rsid w:val="00FA39EF"/>
    <w:rsid w:val="00FA3B2F"/>
    <w:rsid w:val="00FA3E51"/>
    <w:rsid w:val="00FA3F08"/>
    <w:rsid w:val="00FA404A"/>
    <w:rsid w:val="00FA40D3"/>
    <w:rsid w:val="00FA40D4"/>
    <w:rsid w:val="00FA40E5"/>
    <w:rsid w:val="00FA43F3"/>
    <w:rsid w:val="00FA4402"/>
    <w:rsid w:val="00FA4710"/>
    <w:rsid w:val="00FA476A"/>
    <w:rsid w:val="00FA487C"/>
    <w:rsid w:val="00FA4988"/>
    <w:rsid w:val="00FA4995"/>
    <w:rsid w:val="00FA4A2F"/>
    <w:rsid w:val="00FA4B11"/>
    <w:rsid w:val="00FA4B1F"/>
    <w:rsid w:val="00FA4C6D"/>
    <w:rsid w:val="00FA4C77"/>
    <w:rsid w:val="00FA4C8B"/>
    <w:rsid w:val="00FA4CAD"/>
    <w:rsid w:val="00FA4F22"/>
    <w:rsid w:val="00FA4FF2"/>
    <w:rsid w:val="00FA500B"/>
    <w:rsid w:val="00FA506B"/>
    <w:rsid w:val="00FA50B3"/>
    <w:rsid w:val="00FA50C8"/>
    <w:rsid w:val="00FA51AA"/>
    <w:rsid w:val="00FA5455"/>
    <w:rsid w:val="00FA5610"/>
    <w:rsid w:val="00FA563E"/>
    <w:rsid w:val="00FA5A48"/>
    <w:rsid w:val="00FA5B8B"/>
    <w:rsid w:val="00FA5C6C"/>
    <w:rsid w:val="00FA5CE8"/>
    <w:rsid w:val="00FA5F51"/>
    <w:rsid w:val="00FA6125"/>
    <w:rsid w:val="00FA61BA"/>
    <w:rsid w:val="00FA61FF"/>
    <w:rsid w:val="00FA635A"/>
    <w:rsid w:val="00FA6388"/>
    <w:rsid w:val="00FA6423"/>
    <w:rsid w:val="00FA64B5"/>
    <w:rsid w:val="00FA65B9"/>
    <w:rsid w:val="00FA6830"/>
    <w:rsid w:val="00FA69BD"/>
    <w:rsid w:val="00FA6A1C"/>
    <w:rsid w:val="00FA6A59"/>
    <w:rsid w:val="00FA6C32"/>
    <w:rsid w:val="00FA6C97"/>
    <w:rsid w:val="00FA6DB9"/>
    <w:rsid w:val="00FA6E3A"/>
    <w:rsid w:val="00FA6E4C"/>
    <w:rsid w:val="00FA6E61"/>
    <w:rsid w:val="00FA6F1E"/>
    <w:rsid w:val="00FA7056"/>
    <w:rsid w:val="00FA708D"/>
    <w:rsid w:val="00FA711E"/>
    <w:rsid w:val="00FA71E7"/>
    <w:rsid w:val="00FA72B5"/>
    <w:rsid w:val="00FA72FF"/>
    <w:rsid w:val="00FA73F8"/>
    <w:rsid w:val="00FA75C7"/>
    <w:rsid w:val="00FA7638"/>
    <w:rsid w:val="00FA7A7B"/>
    <w:rsid w:val="00FA7B78"/>
    <w:rsid w:val="00FA7F0C"/>
    <w:rsid w:val="00FA7FBB"/>
    <w:rsid w:val="00FB0076"/>
    <w:rsid w:val="00FB0192"/>
    <w:rsid w:val="00FB02A6"/>
    <w:rsid w:val="00FB0301"/>
    <w:rsid w:val="00FB0331"/>
    <w:rsid w:val="00FB05D9"/>
    <w:rsid w:val="00FB06A0"/>
    <w:rsid w:val="00FB06C7"/>
    <w:rsid w:val="00FB0749"/>
    <w:rsid w:val="00FB08BA"/>
    <w:rsid w:val="00FB0971"/>
    <w:rsid w:val="00FB0A5A"/>
    <w:rsid w:val="00FB0A86"/>
    <w:rsid w:val="00FB0AB4"/>
    <w:rsid w:val="00FB0BFC"/>
    <w:rsid w:val="00FB0C5F"/>
    <w:rsid w:val="00FB0D66"/>
    <w:rsid w:val="00FB0E36"/>
    <w:rsid w:val="00FB131A"/>
    <w:rsid w:val="00FB1388"/>
    <w:rsid w:val="00FB1781"/>
    <w:rsid w:val="00FB17B7"/>
    <w:rsid w:val="00FB188E"/>
    <w:rsid w:val="00FB1A78"/>
    <w:rsid w:val="00FB1B73"/>
    <w:rsid w:val="00FB1C40"/>
    <w:rsid w:val="00FB1D99"/>
    <w:rsid w:val="00FB1EDA"/>
    <w:rsid w:val="00FB1FEA"/>
    <w:rsid w:val="00FB22F3"/>
    <w:rsid w:val="00FB2304"/>
    <w:rsid w:val="00FB264B"/>
    <w:rsid w:val="00FB265E"/>
    <w:rsid w:val="00FB270C"/>
    <w:rsid w:val="00FB2779"/>
    <w:rsid w:val="00FB29DC"/>
    <w:rsid w:val="00FB2B03"/>
    <w:rsid w:val="00FB2E00"/>
    <w:rsid w:val="00FB2ED8"/>
    <w:rsid w:val="00FB2F17"/>
    <w:rsid w:val="00FB2F5F"/>
    <w:rsid w:val="00FB2F8F"/>
    <w:rsid w:val="00FB3071"/>
    <w:rsid w:val="00FB321D"/>
    <w:rsid w:val="00FB33B9"/>
    <w:rsid w:val="00FB35EC"/>
    <w:rsid w:val="00FB377D"/>
    <w:rsid w:val="00FB3789"/>
    <w:rsid w:val="00FB37C0"/>
    <w:rsid w:val="00FB37E8"/>
    <w:rsid w:val="00FB3841"/>
    <w:rsid w:val="00FB3848"/>
    <w:rsid w:val="00FB393F"/>
    <w:rsid w:val="00FB3972"/>
    <w:rsid w:val="00FB3AB5"/>
    <w:rsid w:val="00FB3AC0"/>
    <w:rsid w:val="00FB3AEA"/>
    <w:rsid w:val="00FB3B81"/>
    <w:rsid w:val="00FB3BB9"/>
    <w:rsid w:val="00FB3C7A"/>
    <w:rsid w:val="00FB3CC3"/>
    <w:rsid w:val="00FB3D43"/>
    <w:rsid w:val="00FB3E7B"/>
    <w:rsid w:val="00FB3F9D"/>
    <w:rsid w:val="00FB4395"/>
    <w:rsid w:val="00FB460E"/>
    <w:rsid w:val="00FB4715"/>
    <w:rsid w:val="00FB4781"/>
    <w:rsid w:val="00FB49FC"/>
    <w:rsid w:val="00FB4A14"/>
    <w:rsid w:val="00FB4A5E"/>
    <w:rsid w:val="00FB4B6C"/>
    <w:rsid w:val="00FB4E85"/>
    <w:rsid w:val="00FB4F82"/>
    <w:rsid w:val="00FB4FCF"/>
    <w:rsid w:val="00FB516E"/>
    <w:rsid w:val="00FB565A"/>
    <w:rsid w:val="00FB59C1"/>
    <w:rsid w:val="00FB5A8D"/>
    <w:rsid w:val="00FB5AC2"/>
    <w:rsid w:val="00FB5C5E"/>
    <w:rsid w:val="00FB5CB8"/>
    <w:rsid w:val="00FB5CD0"/>
    <w:rsid w:val="00FB5D76"/>
    <w:rsid w:val="00FB5DAB"/>
    <w:rsid w:val="00FB5DFF"/>
    <w:rsid w:val="00FB6110"/>
    <w:rsid w:val="00FB61F5"/>
    <w:rsid w:val="00FB65DC"/>
    <w:rsid w:val="00FB6676"/>
    <w:rsid w:val="00FB66E4"/>
    <w:rsid w:val="00FB67B6"/>
    <w:rsid w:val="00FB67F9"/>
    <w:rsid w:val="00FB69F3"/>
    <w:rsid w:val="00FB6DF4"/>
    <w:rsid w:val="00FB6E80"/>
    <w:rsid w:val="00FB7000"/>
    <w:rsid w:val="00FB71FE"/>
    <w:rsid w:val="00FB7201"/>
    <w:rsid w:val="00FB73D4"/>
    <w:rsid w:val="00FB740D"/>
    <w:rsid w:val="00FB7489"/>
    <w:rsid w:val="00FB780A"/>
    <w:rsid w:val="00FB79E4"/>
    <w:rsid w:val="00FB7CC7"/>
    <w:rsid w:val="00FB7F11"/>
    <w:rsid w:val="00FB7FE1"/>
    <w:rsid w:val="00FC0039"/>
    <w:rsid w:val="00FC0176"/>
    <w:rsid w:val="00FC0399"/>
    <w:rsid w:val="00FC04CE"/>
    <w:rsid w:val="00FC05A5"/>
    <w:rsid w:val="00FC0607"/>
    <w:rsid w:val="00FC0653"/>
    <w:rsid w:val="00FC08DC"/>
    <w:rsid w:val="00FC096F"/>
    <w:rsid w:val="00FC0A55"/>
    <w:rsid w:val="00FC0B29"/>
    <w:rsid w:val="00FC0BD4"/>
    <w:rsid w:val="00FC0CA0"/>
    <w:rsid w:val="00FC0E52"/>
    <w:rsid w:val="00FC0FD4"/>
    <w:rsid w:val="00FC1096"/>
    <w:rsid w:val="00FC134E"/>
    <w:rsid w:val="00FC15C8"/>
    <w:rsid w:val="00FC1753"/>
    <w:rsid w:val="00FC1C43"/>
    <w:rsid w:val="00FC1DAC"/>
    <w:rsid w:val="00FC1EFD"/>
    <w:rsid w:val="00FC1F30"/>
    <w:rsid w:val="00FC20D3"/>
    <w:rsid w:val="00FC2222"/>
    <w:rsid w:val="00FC22F1"/>
    <w:rsid w:val="00FC2372"/>
    <w:rsid w:val="00FC239B"/>
    <w:rsid w:val="00FC24A4"/>
    <w:rsid w:val="00FC24AA"/>
    <w:rsid w:val="00FC24D7"/>
    <w:rsid w:val="00FC257A"/>
    <w:rsid w:val="00FC26E4"/>
    <w:rsid w:val="00FC28B3"/>
    <w:rsid w:val="00FC2975"/>
    <w:rsid w:val="00FC29AA"/>
    <w:rsid w:val="00FC2C59"/>
    <w:rsid w:val="00FC2E60"/>
    <w:rsid w:val="00FC2F1C"/>
    <w:rsid w:val="00FC2F47"/>
    <w:rsid w:val="00FC2FC1"/>
    <w:rsid w:val="00FC309B"/>
    <w:rsid w:val="00FC30EE"/>
    <w:rsid w:val="00FC317F"/>
    <w:rsid w:val="00FC32D7"/>
    <w:rsid w:val="00FC34B8"/>
    <w:rsid w:val="00FC34D2"/>
    <w:rsid w:val="00FC3644"/>
    <w:rsid w:val="00FC3667"/>
    <w:rsid w:val="00FC36A7"/>
    <w:rsid w:val="00FC36C8"/>
    <w:rsid w:val="00FC3A33"/>
    <w:rsid w:val="00FC3CAE"/>
    <w:rsid w:val="00FC3CE1"/>
    <w:rsid w:val="00FC3D5F"/>
    <w:rsid w:val="00FC417C"/>
    <w:rsid w:val="00FC4373"/>
    <w:rsid w:val="00FC4386"/>
    <w:rsid w:val="00FC48B7"/>
    <w:rsid w:val="00FC4987"/>
    <w:rsid w:val="00FC4A4E"/>
    <w:rsid w:val="00FC4C82"/>
    <w:rsid w:val="00FC4CB8"/>
    <w:rsid w:val="00FC4E86"/>
    <w:rsid w:val="00FC504B"/>
    <w:rsid w:val="00FC508C"/>
    <w:rsid w:val="00FC50D8"/>
    <w:rsid w:val="00FC50E0"/>
    <w:rsid w:val="00FC52BA"/>
    <w:rsid w:val="00FC5363"/>
    <w:rsid w:val="00FC54D6"/>
    <w:rsid w:val="00FC55B4"/>
    <w:rsid w:val="00FC55F8"/>
    <w:rsid w:val="00FC57B0"/>
    <w:rsid w:val="00FC5838"/>
    <w:rsid w:val="00FC583E"/>
    <w:rsid w:val="00FC5974"/>
    <w:rsid w:val="00FC5B11"/>
    <w:rsid w:val="00FC5BB9"/>
    <w:rsid w:val="00FC5E76"/>
    <w:rsid w:val="00FC5EDD"/>
    <w:rsid w:val="00FC5F8F"/>
    <w:rsid w:val="00FC5FA1"/>
    <w:rsid w:val="00FC6013"/>
    <w:rsid w:val="00FC6176"/>
    <w:rsid w:val="00FC61B4"/>
    <w:rsid w:val="00FC62C4"/>
    <w:rsid w:val="00FC63DB"/>
    <w:rsid w:val="00FC63FF"/>
    <w:rsid w:val="00FC645B"/>
    <w:rsid w:val="00FC648C"/>
    <w:rsid w:val="00FC652A"/>
    <w:rsid w:val="00FC65BE"/>
    <w:rsid w:val="00FC6646"/>
    <w:rsid w:val="00FC6719"/>
    <w:rsid w:val="00FC67F8"/>
    <w:rsid w:val="00FC6848"/>
    <w:rsid w:val="00FC6868"/>
    <w:rsid w:val="00FC688E"/>
    <w:rsid w:val="00FC6A9B"/>
    <w:rsid w:val="00FC6C7E"/>
    <w:rsid w:val="00FC6DF6"/>
    <w:rsid w:val="00FC6E71"/>
    <w:rsid w:val="00FC6FC5"/>
    <w:rsid w:val="00FC7072"/>
    <w:rsid w:val="00FC71E1"/>
    <w:rsid w:val="00FC730A"/>
    <w:rsid w:val="00FC74C4"/>
    <w:rsid w:val="00FC7581"/>
    <w:rsid w:val="00FC75D7"/>
    <w:rsid w:val="00FC761F"/>
    <w:rsid w:val="00FC7709"/>
    <w:rsid w:val="00FC7719"/>
    <w:rsid w:val="00FC772E"/>
    <w:rsid w:val="00FC7778"/>
    <w:rsid w:val="00FC7B64"/>
    <w:rsid w:val="00FC7BB0"/>
    <w:rsid w:val="00FC7C4B"/>
    <w:rsid w:val="00FC7D5A"/>
    <w:rsid w:val="00FC7DAA"/>
    <w:rsid w:val="00FC982F"/>
    <w:rsid w:val="00FD00B6"/>
    <w:rsid w:val="00FD0125"/>
    <w:rsid w:val="00FD014C"/>
    <w:rsid w:val="00FD0215"/>
    <w:rsid w:val="00FD032B"/>
    <w:rsid w:val="00FD0420"/>
    <w:rsid w:val="00FD04CD"/>
    <w:rsid w:val="00FD04F6"/>
    <w:rsid w:val="00FD09CC"/>
    <w:rsid w:val="00FD09E6"/>
    <w:rsid w:val="00FD0AE2"/>
    <w:rsid w:val="00FD0AE7"/>
    <w:rsid w:val="00FD0B53"/>
    <w:rsid w:val="00FD0BA2"/>
    <w:rsid w:val="00FD0C71"/>
    <w:rsid w:val="00FD0D57"/>
    <w:rsid w:val="00FD0F2F"/>
    <w:rsid w:val="00FD1027"/>
    <w:rsid w:val="00FD1116"/>
    <w:rsid w:val="00FD116D"/>
    <w:rsid w:val="00FD13EA"/>
    <w:rsid w:val="00FD141E"/>
    <w:rsid w:val="00FD14A2"/>
    <w:rsid w:val="00FD15E0"/>
    <w:rsid w:val="00FD16C1"/>
    <w:rsid w:val="00FD16F8"/>
    <w:rsid w:val="00FD17CD"/>
    <w:rsid w:val="00FD1852"/>
    <w:rsid w:val="00FD1A6F"/>
    <w:rsid w:val="00FD1AFC"/>
    <w:rsid w:val="00FD1B89"/>
    <w:rsid w:val="00FD1BF7"/>
    <w:rsid w:val="00FD1CCF"/>
    <w:rsid w:val="00FD1E93"/>
    <w:rsid w:val="00FD223F"/>
    <w:rsid w:val="00FD228C"/>
    <w:rsid w:val="00FD2407"/>
    <w:rsid w:val="00FD2626"/>
    <w:rsid w:val="00FD2692"/>
    <w:rsid w:val="00FD2831"/>
    <w:rsid w:val="00FD2841"/>
    <w:rsid w:val="00FD288A"/>
    <w:rsid w:val="00FD2964"/>
    <w:rsid w:val="00FD296E"/>
    <w:rsid w:val="00FD2ADD"/>
    <w:rsid w:val="00FD2B39"/>
    <w:rsid w:val="00FD2D1F"/>
    <w:rsid w:val="00FD2DE0"/>
    <w:rsid w:val="00FD2DF6"/>
    <w:rsid w:val="00FD2F2D"/>
    <w:rsid w:val="00FD3101"/>
    <w:rsid w:val="00FD33DE"/>
    <w:rsid w:val="00FD3428"/>
    <w:rsid w:val="00FD34EC"/>
    <w:rsid w:val="00FD351E"/>
    <w:rsid w:val="00FD35B0"/>
    <w:rsid w:val="00FD377C"/>
    <w:rsid w:val="00FD37F7"/>
    <w:rsid w:val="00FD3861"/>
    <w:rsid w:val="00FD38B7"/>
    <w:rsid w:val="00FD3A81"/>
    <w:rsid w:val="00FD3AE6"/>
    <w:rsid w:val="00FD3CC7"/>
    <w:rsid w:val="00FD410E"/>
    <w:rsid w:val="00FD4252"/>
    <w:rsid w:val="00FD431A"/>
    <w:rsid w:val="00FD432A"/>
    <w:rsid w:val="00FD4336"/>
    <w:rsid w:val="00FD4349"/>
    <w:rsid w:val="00FD44D7"/>
    <w:rsid w:val="00FD4547"/>
    <w:rsid w:val="00FD45C4"/>
    <w:rsid w:val="00FD4633"/>
    <w:rsid w:val="00FD46CF"/>
    <w:rsid w:val="00FD478B"/>
    <w:rsid w:val="00FD483B"/>
    <w:rsid w:val="00FD48D2"/>
    <w:rsid w:val="00FD48D6"/>
    <w:rsid w:val="00FD49A2"/>
    <w:rsid w:val="00FD4A91"/>
    <w:rsid w:val="00FD4ECD"/>
    <w:rsid w:val="00FD4F24"/>
    <w:rsid w:val="00FD4F36"/>
    <w:rsid w:val="00FD5049"/>
    <w:rsid w:val="00FD51D8"/>
    <w:rsid w:val="00FD5386"/>
    <w:rsid w:val="00FD53C1"/>
    <w:rsid w:val="00FD53D2"/>
    <w:rsid w:val="00FD557E"/>
    <w:rsid w:val="00FD5624"/>
    <w:rsid w:val="00FD56DA"/>
    <w:rsid w:val="00FD5759"/>
    <w:rsid w:val="00FD57A7"/>
    <w:rsid w:val="00FD589B"/>
    <w:rsid w:val="00FD5948"/>
    <w:rsid w:val="00FD5B5C"/>
    <w:rsid w:val="00FD5B64"/>
    <w:rsid w:val="00FD5DEA"/>
    <w:rsid w:val="00FD5E4D"/>
    <w:rsid w:val="00FD5E75"/>
    <w:rsid w:val="00FD5F0E"/>
    <w:rsid w:val="00FD5F1C"/>
    <w:rsid w:val="00FD6027"/>
    <w:rsid w:val="00FD613B"/>
    <w:rsid w:val="00FD639A"/>
    <w:rsid w:val="00FD63D4"/>
    <w:rsid w:val="00FD655B"/>
    <w:rsid w:val="00FD655F"/>
    <w:rsid w:val="00FD661D"/>
    <w:rsid w:val="00FD6844"/>
    <w:rsid w:val="00FD68A7"/>
    <w:rsid w:val="00FD68E4"/>
    <w:rsid w:val="00FD6C52"/>
    <w:rsid w:val="00FD6C64"/>
    <w:rsid w:val="00FD6CD2"/>
    <w:rsid w:val="00FD6FAB"/>
    <w:rsid w:val="00FD7094"/>
    <w:rsid w:val="00FD752A"/>
    <w:rsid w:val="00FD7618"/>
    <w:rsid w:val="00FD761A"/>
    <w:rsid w:val="00FD7682"/>
    <w:rsid w:val="00FD78D6"/>
    <w:rsid w:val="00FD7980"/>
    <w:rsid w:val="00FD79A0"/>
    <w:rsid w:val="00FD7B61"/>
    <w:rsid w:val="00FD7C76"/>
    <w:rsid w:val="00FD7CA6"/>
    <w:rsid w:val="00FD7D9C"/>
    <w:rsid w:val="00FD7DD2"/>
    <w:rsid w:val="00FD7FFE"/>
    <w:rsid w:val="00FDD474"/>
    <w:rsid w:val="00FE014F"/>
    <w:rsid w:val="00FE02E2"/>
    <w:rsid w:val="00FE06CF"/>
    <w:rsid w:val="00FE080D"/>
    <w:rsid w:val="00FE0862"/>
    <w:rsid w:val="00FE08BB"/>
    <w:rsid w:val="00FE0B27"/>
    <w:rsid w:val="00FE0CD7"/>
    <w:rsid w:val="00FE0EED"/>
    <w:rsid w:val="00FE0F08"/>
    <w:rsid w:val="00FE0F5D"/>
    <w:rsid w:val="00FE0FCD"/>
    <w:rsid w:val="00FE100F"/>
    <w:rsid w:val="00FE117D"/>
    <w:rsid w:val="00FE11CE"/>
    <w:rsid w:val="00FE1293"/>
    <w:rsid w:val="00FE14A3"/>
    <w:rsid w:val="00FE15E9"/>
    <w:rsid w:val="00FE1614"/>
    <w:rsid w:val="00FE1617"/>
    <w:rsid w:val="00FE16AE"/>
    <w:rsid w:val="00FE1973"/>
    <w:rsid w:val="00FE1A06"/>
    <w:rsid w:val="00FE1B6B"/>
    <w:rsid w:val="00FE1B9B"/>
    <w:rsid w:val="00FE1BC0"/>
    <w:rsid w:val="00FE1E97"/>
    <w:rsid w:val="00FE2000"/>
    <w:rsid w:val="00FE2053"/>
    <w:rsid w:val="00FE205F"/>
    <w:rsid w:val="00FE22CD"/>
    <w:rsid w:val="00FE24D0"/>
    <w:rsid w:val="00FE2586"/>
    <w:rsid w:val="00FE263C"/>
    <w:rsid w:val="00FE274A"/>
    <w:rsid w:val="00FE2CBC"/>
    <w:rsid w:val="00FE3099"/>
    <w:rsid w:val="00FE3299"/>
    <w:rsid w:val="00FE3333"/>
    <w:rsid w:val="00FE333B"/>
    <w:rsid w:val="00FE33C1"/>
    <w:rsid w:val="00FE359F"/>
    <w:rsid w:val="00FE36D7"/>
    <w:rsid w:val="00FE3765"/>
    <w:rsid w:val="00FE39D6"/>
    <w:rsid w:val="00FE3A33"/>
    <w:rsid w:val="00FE3E5E"/>
    <w:rsid w:val="00FE4003"/>
    <w:rsid w:val="00FE401D"/>
    <w:rsid w:val="00FE409B"/>
    <w:rsid w:val="00FE40A9"/>
    <w:rsid w:val="00FE4115"/>
    <w:rsid w:val="00FE41C2"/>
    <w:rsid w:val="00FE4428"/>
    <w:rsid w:val="00FE4467"/>
    <w:rsid w:val="00FE44AC"/>
    <w:rsid w:val="00FE4559"/>
    <w:rsid w:val="00FE45D9"/>
    <w:rsid w:val="00FE489C"/>
    <w:rsid w:val="00FE499D"/>
    <w:rsid w:val="00FE49DD"/>
    <w:rsid w:val="00FE4A29"/>
    <w:rsid w:val="00FE4EAC"/>
    <w:rsid w:val="00FE4ECE"/>
    <w:rsid w:val="00FE4F04"/>
    <w:rsid w:val="00FE4F43"/>
    <w:rsid w:val="00FE50CE"/>
    <w:rsid w:val="00FE5254"/>
    <w:rsid w:val="00FE53CB"/>
    <w:rsid w:val="00FE543D"/>
    <w:rsid w:val="00FE54AD"/>
    <w:rsid w:val="00FE55D1"/>
    <w:rsid w:val="00FE583D"/>
    <w:rsid w:val="00FE5918"/>
    <w:rsid w:val="00FE591A"/>
    <w:rsid w:val="00FE5923"/>
    <w:rsid w:val="00FE5942"/>
    <w:rsid w:val="00FE5A4A"/>
    <w:rsid w:val="00FE5B6E"/>
    <w:rsid w:val="00FE5D38"/>
    <w:rsid w:val="00FE5F3C"/>
    <w:rsid w:val="00FE6017"/>
    <w:rsid w:val="00FE6192"/>
    <w:rsid w:val="00FE63E6"/>
    <w:rsid w:val="00FE63FE"/>
    <w:rsid w:val="00FE64FD"/>
    <w:rsid w:val="00FE67CB"/>
    <w:rsid w:val="00FE68BD"/>
    <w:rsid w:val="00FE69BF"/>
    <w:rsid w:val="00FE69F1"/>
    <w:rsid w:val="00FE6A8D"/>
    <w:rsid w:val="00FE6AEC"/>
    <w:rsid w:val="00FE6B1B"/>
    <w:rsid w:val="00FE6BCC"/>
    <w:rsid w:val="00FE6E18"/>
    <w:rsid w:val="00FE6EAF"/>
    <w:rsid w:val="00FE6FB2"/>
    <w:rsid w:val="00FE7188"/>
    <w:rsid w:val="00FE71F3"/>
    <w:rsid w:val="00FE72D6"/>
    <w:rsid w:val="00FE72DF"/>
    <w:rsid w:val="00FE72F1"/>
    <w:rsid w:val="00FE7340"/>
    <w:rsid w:val="00FE7455"/>
    <w:rsid w:val="00FE75D2"/>
    <w:rsid w:val="00FE771C"/>
    <w:rsid w:val="00FE77E8"/>
    <w:rsid w:val="00FE788A"/>
    <w:rsid w:val="00FE7894"/>
    <w:rsid w:val="00FE7943"/>
    <w:rsid w:val="00FE7A2E"/>
    <w:rsid w:val="00FE7B3F"/>
    <w:rsid w:val="00FE7D01"/>
    <w:rsid w:val="00FE7E14"/>
    <w:rsid w:val="00FE7F5C"/>
    <w:rsid w:val="00FEE266"/>
    <w:rsid w:val="00FF0013"/>
    <w:rsid w:val="00FF01A0"/>
    <w:rsid w:val="00FF01A9"/>
    <w:rsid w:val="00FF025E"/>
    <w:rsid w:val="00FF02B5"/>
    <w:rsid w:val="00FF02EA"/>
    <w:rsid w:val="00FF040B"/>
    <w:rsid w:val="00FF0550"/>
    <w:rsid w:val="00FF05C1"/>
    <w:rsid w:val="00FF063E"/>
    <w:rsid w:val="00FF0A7E"/>
    <w:rsid w:val="00FF0B83"/>
    <w:rsid w:val="00FF0C66"/>
    <w:rsid w:val="00FF0CC7"/>
    <w:rsid w:val="00FF0D3F"/>
    <w:rsid w:val="00FF0E2E"/>
    <w:rsid w:val="00FF1016"/>
    <w:rsid w:val="00FF106E"/>
    <w:rsid w:val="00FF14E6"/>
    <w:rsid w:val="00FF1522"/>
    <w:rsid w:val="00FF1602"/>
    <w:rsid w:val="00FF16A7"/>
    <w:rsid w:val="00FF1737"/>
    <w:rsid w:val="00FF1837"/>
    <w:rsid w:val="00FF1885"/>
    <w:rsid w:val="00FF1978"/>
    <w:rsid w:val="00FF19E1"/>
    <w:rsid w:val="00FF1A98"/>
    <w:rsid w:val="00FF1AFF"/>
    <w:rsid w:val="00FF1BA2"/>
    <w:rsid w:val="00FF1CBC"/>
    <w:rsid w:val="00FF1F3E"/>
    <w:rsid w:val="00FF1FE2"/>
    <w:rsid w:val="00FF202D"/>
    <w:rsid w:val="00FF22BD"/>
    <w:rsid w:val="00FF233B"/>
    <w:rsid w:val="00FF23FC"/>
    <w:rsid w:val="00FF24F4"/>
    <w:rsid w:val="00FF25EB"/>
    <w:rsid w:val="00FF27C8"/>
    <w:rsid w:val="00FF2BE2"/>
    <w:rsid w:val="00FF2C66"/>
    <w:rsid w:val="00FF2D0B"/>
    <w:rsid w:val="00FF2D74"/>
    <w:rsid w:val="00FF2E0A"/>
    <w:rsid w:val="00FF30F7"/>
    <w:rsid w:val="00FF3143"/>
    <w:rsid w:val="00FF334D"/>
    <w:rsid w:val="00FF3392"/>
    <w:rsid w:val="00FF33E4"/>
    <w:rsid w:val="00FF3436"/>
    <w:rsid w:val="00FF34FB"/>
    <w:rsid w:val="00FF3677"/>
    <w:rsid w:val="00FF36BD"/>
    <w:rsid w:val="00FF3A01"/>
    <w:rsid w:val="00FF3A5B"/>
    <w:rsid w:val="00FF3A9F"/>
    <w:rsid w:val="00FF3B72"/>
    <w:rsid w:val="00FF3C20"/>
    <w:rsid w:val="00FF3C26"/>
    <w:rsid w:val="00FF3C51"/>
    <w:rsid w:val="00FF3D2E"/>
    <w:rsid w:val="00FF3D8B"/>
    <w:rsid w:val="00FF3DDE"/>
    <w:rsid w:val="00FF40AF"/>
    <w:rsid w:val="00FF4117"/>
    <w:rsid w:val="00FF41EE"/>
    <w:rsid w:val="00FF4262"/>
    <w:rsid w:val="00FF42EF"/>
    <w:rsid w:val="00FF43D2"/>
    <w:rsid w:val="00FF45A3"/>
    <w:rsid w:val="00FF45BF"/>
    <w:rsid w:val="00FF4635"/>
    <w:rsid w:val="00FF481F"/>
    <w:rsid w:val="00FF48FC"/>
    <w:rsid w:val="00FF4B7F"/>
    <w:rsid w:val="00FF4BC7"/>
    <w:rsid w:val="00FF4EAE"/>
    <w:rsid w:val="00FF4F4B"/>
    <w:rsid w:val="00FF4F63"/>
    <w:rsid w:val="00FF4F94"/>
    <w:rsid w:val="00FF52E7"/>
    <w:rsid w:val="00FF5367"/>
    <w:rsid w:val="00FF53A6"/>
    <w:rsid w:val="00FF53F9"/>
    <w:rsid w:val="00FF54BA"/>
    <w:rsid w:val="00FF54C7"/>
    <w:rsid w:val="00FF54FE"/>
    <w:rsid w:val="00FF559F"/>
    <w:rsid w:val="00FF5641"/>
    <w:rsid w:val="00FF578A"/>
    <w:rsid w:val="00FF58E1"/>
    <w:rsid w:val="00FF5911"/>
    <w:rsid w:val="00FF59A4"/>
    <w:rsid w:val="00FF59F1"/>
    <w:rsid w:val="00FF5A89"/>
    <w:rsid w:val="00FF5B1C"/>
    <w:rsid w:val="00FF5C97"/>
    <w:rsid w:val="00FF5D06"/>
    <w:rsid w:val="00FF5DD8"/>
    <w:rsid w:val="00FF5DF4"/>
    <w:rsid w:val="00FF5DFE"/>
    <w:rsid w:val="00FF5E03"/>
    <w:rsid w:val="00FF5E99"/>
    <w:rsid w:val="00FF6105"/>
    <w:rsid w:val="00FF6120"/>
    <w:rsid w:val="00FF617D"/>
    <w:rsid w:val="00FF6262"/>
    <w:rsid w:val="00FF6492"/>
    <w:rsid w:val="00FF6504"/>
    <w:rsid w:val="00FF6517"/>
    <w:rsid w:val="00FF652A"/>
    <w:rsid w:val="00FF663D"/>
    <w:rsid w:val="00FF6789"/>
    <w:rsid w:val="00FF6A6F"/>
    <w:rsid w:val="00FF6B56"/>
    <w:rsid w:val="00FF6C0B"/>
    <w:rsid w:val="00FF6C0D"/>
    <w:rsid w:val="00FF6D5D"/>
    <w:rsid w:val="00FF6FB2"/>
    <w:rsid w:val="00FF7093"/>
    <w:rsid w:val="00FF70AB"/>
    <w:rsid w:val="00FF7290"/>
    <w:rsid w:val="00FF72A1"/>
    <w:rsid w:val="00FF72FB"/>
    <w:rsid w:val="00FF7311"/>
    <w:rsid w:val="00FF7320"/>
    <w:rsid w:val="00FF752A"/>
    <w:rsid w:val="00FF7716"/>
    <w:rsid w:val="00FF77ED"/>
    <w:rsid w:val="00FF787F"/>
    <w:rsid w:val="00FF79E1"/>
    <w:rsid w:val="00FF7A9F"/>
    <w:rsid w:val="00FF7ABB"/>
    <w:rsid w:val="00FF7B66"/>
    <w:rsid w:val="00FF7C72"/>
    <w:rsid w:val="00FF7CEF"/>
    <w:rsid w:val="00FF7DE8"/>
    <w:rsid w:val="00FF7E4B"/>
    <w:rsid w:val="00FF7E4F"/>
    <w:rsid w:val="00FFBD8C"/>
    <w:rsid w:val="01029578"/>
    <w:rsid w:val="0103AE87"/>
    <w:rsid w:val="010522DC"/>
    <w:rsid w:val="01064081"/>
    <w:rsid w:val="01082502"/>
    <w:rsid w:val="0109C4F0"/>
    <w:rsid w:val="010AD716"/>
    <w:rsid w:val="010C9FB6"/>
    <w:rsid w:val="010D470A"/>
    <w:rsid w:val="010F6FF6"/>
    <w:rsid w:val="011091CC"/>
    <w:rsid w:val="0114D412"/>
    <w:rsid w:val="0114E440"/>
    <w:rsid w:val="0115433C"/>
    <w:rsid w:val="0119601F"/>
    <w:rsid w:val="011AAC20"/>
    <w:rsid w:val="011B375C"/>
    <w:rsid w:val="011C8EEE"/>
    <w:rsid w:val="011E0270"/>
    <w:rsid w:val="011F1F80"/>
    <w:rsid w:val="012034CE"/>
    <w:rsid w:val="01216AFC"/>
    <w:rsid w:val="0124BE90"/>
    <w:rsid w:val="01277C01"/>
    <w:rsid w:val="01282ED0"/>
    <w:rsid w:val="0128B3ED"/>
    <w:rsid w:val="0129967A"/>
    <w:rsid w:val="01299880"/>
    <w:rsid w:val="0132178B"/>
    <w:rsid w:val="01348F76"/>
    <w:rsid w:val="01358DBE"/>
    <w:rsid w:val="01374291"/>
    <w:rsid w:val="0137E645"/>
    <w:rsid w:val="013B32C9"/>
    <w:rsid w:val="013C66F9"/>
    <w:rsid w:val="013D7004"/>
    <w:rsid w:val="01440A5B"/>
    <w:rsid w:val="01466ECB"/>
    <w:rsid w:val="014BE6E5"/>
    <w:rsid w:val="014D6159"/>
    <w:rsid w:val="01560A96"/>
    <w:rsid w:val="0157449E"/>
    <w:rsid w:val="0157CF54"/>
    <w:rsid w:val="0158B0CF"/>
    <w:rsid w:val="0158C8C3"/>
    <w:rsid w:val="015992AC"/>
    <w:rsid w:val="015BBC9F"/>
    <w:rsid w:val="015C5A91"/>
    <w:rsid w:val="015DD5F3"/>
    <w:rsid w:val="016233F0"/>
    <w:rsid w:val="01636B88"/>
    <w:rsid w:val="01650074"/>
    <w:rsid w:val="016C3573"/>
    <w:rsid w:val="016FE4B7"/>
    <w:rsid w:val="01720C2B"/>
    <w:rsid w:val="0172498F"/>
    <w:rsid w:val="0173994A"/>
    <w:rsid w:val="0175DE3F"/>
    <w:rsid w:val="01781153"/>
    <w:rsid w:val="017C0C69"/>
    <w:rsid w:val="017C4D5D"/>
    <w:rsid w:val="017F08B9"/>
    <w:rsid w:val="017FF86C"/>
    <w:rsid w:val="0181268B"/>
    <w:rsid w:val="0183C418"/>
    <w:rsid w:val="01840D1C"/>
    <w:rsid w:val="01871DAE"/>
    <w:rsid w:val="018DCC40"/>
    <w:rsid w:val="018E62CD"/>
    <w:rsid w:val="018EB938"/>
    <w:rsid w:val="018FE4F9"/>
    <w:rsid w:val="0191156E"/>
    <w:rsid w:val="01917952"/>
    <w:rsid w:val="01939166"/>
    <w:rsid w:val="01944E16"/>
    <w:rsid w:val="0196CD81"/>
    <w:rsid w:val="019792AA"/>
    <w:rsid w:val="0197CD42"/>
    <w:rsid w:val="0198D9B3"/>
    <w:rsid w:val="019AFABC"/>
    <w:rsid w:val="019BA74F"/>
    <w:rsid w:val="019BAF04"/>
    <w:rsid w:val="019F3CA8"/>
    <w:rsid w:val="019F6402"/>
    <w:rsid w:val="01A0FA55"/>
    <w:rsid w:val="01A1A990"/>
    <w:rsid w:val="01A4B3D9"/>
    <w:rsid w:val="01A97549"/>
    <w:rsid w:val="01A9F237"/>
    <w:rsid w:val="01AC2613"/>
    <w:rsid w:val="01AC7E3C"/>
    <w:rsid w:val="01AC8992"/>
    <w:rsid w:val="01ACAB9F"/>
    <w:rsid w:val="01AF5733"/>
    <w:rsid w:val="01AFF45C"/>
    <w:rsid w:val="01B0F5F4"/>
    <w:rsid w:val="01B13A78"/>
    <w:rsid w:val="01B2BBA5"/>
    <w:rsid w:val="01BD8D44"/>
    <w:rsid w:val="01BDED99"/>
    <w:rsid w:val="01C1442A"/>
    <w:rsid w:val="01C15297"/>
    <w:rsid w:val="01C2DF8F"/>
    <w:rsid w:val="01C33375"/>
    <w:rsid w:val="01C3E459"/>
    <w:rsid w:val="01C858EE"/>
    <w:rsid w:val="01C92E7A"/>
    <w:rsid w:val="01CA7138"/>
    <w:rsid w:val="01CD5503"/>
    <w:rsid w:val="01CD58AE"/>
    <w:rsid w:val="01CDACDA"/>
    <w:rsid w:val="01CDC937"/>
    <w:rsid w:val="01CF6A3E"/>
    <w:rsid w:val="01D10B46"/>
    <w:rsid w:val="01D1128C"/>
    <w:rsid w:val="01D36923"/>
    <w:rsid w:val="01D9A112"/>
    <w:rsid w:val="01D9AFA8"/>
    <w:rsid w:val="01DC64EF"/>
    <w:rsid w:val="01E04801"/>
    <w:rsid w:val="01E19790"/>
    <w:rsid w:val="01E438F1"/>
    <w:rsid w:val="01E5D10E"/>
    <w:rsid w:val="01E78CDB"/>
    <w:rsid w:val="01E7B4D8"/>
    <w:rsid w:val="01E9947F"/>
    <w:rsid w:val="01EA2B7A"/>
    <w:rsid w:val="01EB77A4"/>
    <w:rsid w:val="01EC83A5"/>
    <w:rsid w:val="01ECA45B"/>
    <w:rsid w:val="01ECBF13"/>
    <w:rsid w:val="01EFCE2A"/>
    <w:rsid w:val="01EFF280"/>
    <w:rsid w:val="01F2BBDA"/>
    <w:rsid w:val="01F30328"/>
    <w:rsid w:val="01F6A6EA"/>
    <w:rsid w:val="01FB6691"/>
    <w:rsid w:val="01FDDF92"/>
    <w:rsid w:val="02044B24"/>
    <w:rsid w:val="02052B9B"/>
    <w:rsid w:val="0206B2DE"/>
    <w:rsid w:val="0206B874"/>
    <w:rsid w:val="02082755"/>
    <w:rsid w:val="02086596"/>
    <w:rsid w:val="02087EF4"/>
    <w:rsid w:val="020A67F8"/>
    <w:rsid w:val="020AA36D"/>
    <w:rsid w:val="021321A5"/>
    <w:rsid w:val="02152FE8"/>
    <w:rsid w:val="02163BE9"/>
    <w:rsid w:val="0217DC40"/>
    <w:rsid w:val="021965A2"/>
    <w:rsid w:val="021B1950"/>
    <w:rsid w:val="021C251A"/>
    <w:rsid w:val="021E4450"/>
    <w:rsid w:val="021FC633"/>
    <w:rsid w:val="022052E7"/>
    <w:rsid w:val="02259B38"/>
    <w:rsid w:val="0225ED32"/>
    <w:rsid w:val="022AB61E"/>
    <w:rsid w:val="022D1C82"/>
    <w:rsid w:val="022E0DA3"/>
    <w:rsid w:val="022E1EE6"/>
    <w:rsid w:val="02302F8F"/>
    <w:rsid w:val="0234160A"/>
    <w:rsid w:val="02347E93"/>
    <w:rsid w:val="0235D019"/>
    <w:rsid w:val="023733EA"/>
    <w:rsid w:val="0238E1DE"/>
    <w:rsid w:val="023B8DD2"/>
    <w:rsid w:val="023C5207"/>
    <w:rsid w:val="023DB903"/>
    <w:rsid w:val="023E6B5B"/>
    <w:rsid w:val="02405218"/>
    <w:rsid w:val="02407792"/>
    <w:rsid w:val="0242B1A1"/>
    <w:rsid w:val="0244813E"/>
    <w:rsid w:val="02458EE3"/>
    <w:rsid w:val="02478368"/>
    <w:rsid w:val="0247D6A5"/>
    <w:rsid w:val="02483F2B"/>
    <w:rsid w:val="024B37C0"/>
    <w:rsid w:val="024BC497"/>
    <w:rsid w:val="024BDA48"/>
    <w:rsid w:val="024D47C8"/>
    <w:rsid w:val="024E4711"/>
    <w:rsid w:val="02506FE9"/>
    <w:rsid w:val="025084DB"/>
    <w:rsid w:val="025106C1"/>
    <w:rsid w:val="0251CCF5"/>
    <w:rsid w:val="0252F1D7"/>
    <w:rsid w:val="02551199"/>
    <w:rsid w:val="02568C85"/>
    <w:rsid w:val="02595DD2"/>
    <w:rsid w:val="025AB73F"/>
    <w:rsid w:val="025DBA6D"/>
    <w:rsid w:val="026100CB"/>
    <w:rsid w:val="0265EF81"/>
    <w:rsid w:val="02673ED0"/>
    <w:rsid w:val="02699307"/>
    <w:rsid w:val="026A780B"/>
    <w:rsid w:val="026AA23C"/>
    <w:rsid w:val="0270AC85"/>
    <w:rsid w:val="027321AB"/>
    <w:rsid w:val="0274B47E"/>
    <w:rsid w:val="02753E70"/>
    <w:rsid w:val="0276F812"/>
    <w:rsid w:val="027775A3"/>
    <w:rsid w:val="027AFE45"/>
    <w:rsid w:val="027BF5EC"/>
    <w:rsid w:val="027C0EA1"/>
    <w:rsid w:val="0281B7AF"/>
    <w:rsid w:val="0282943E"/>
    <w:rsid w:val="0284A3F0"/>
    <w:rsid w:val="028633D8"/>
    <w:rsid w:val="02870CCB"/>
    <w:rsid w:val="028963C8"/>
    <w:rsid w:val="028AF7FB"/>
    <w:rsid w:val="028B9BCC"/>
    <w:rsid w:val="028DB1C6"/>
    <w:rsid w:val="028DED66"/>
    <w:rsid w:val="028F59FA"/>
    <w:rsid w:val="02947D8D"/>
    <w:rsid w:val="0299CCAC"/>
    <w:rsid w:val="029BC989"/>
    <w:rsid w:val="029C5B17"/>
    <w:rsid w:val="02A041EA"/>
    <w:rsid w:val="02A15553"/>
    <w:rsid w:val="02A5A740"/>
    <w:rsid w:val="02A5D0C1"/>
    <w:rsid w:val="02A6B797"/>
    <w:rsid w:val="02A9A6EA"/>
    <w:rsid w:val="02AB0DEB"/>
    <w:rsid w:val="02ABC851"/>
    <w:rsid w:val="02AC1A5A"/>
    <w:rsid w:val="02ACF86D"/>
    <w:rsid w:val="02AD3651"/>
    <w:rsid w:val="02ADFF9E"/>
    <w:rsid w:val="02AEFD98"/>
    <w:rsid w:val="02AF21B5"/>
    <w:rsid w:val="02B0FBB0"/>
    <w:rsid w:val="02B1EC02"/>
    <w:rsid w:val="02B339B2"/>
    <w:rsid w:val="02B59B21"/>
    <w:rsid w:val="02B75E0B"/>
    <w:rsid w:val="02B7DB20"/>
    <w:rsid w:val="02B94C59"/>
    <w:rsid w:val="02BA75A8"/>
    <w:rsid w:val="02BB01B0"/>
    <w:rsid w:val="02BBC98D"/>
    <w:rsid w:val="02BD88B6"/>
    <w:rsid w:val="02BDC59E"/>
    <w:rsid w:val="02BED8A7"/>
    <w:rsid w:val="02BFF6EA"/>
    <w:rsid w:val="02C31235"/>
    <w:rsid w:val="02C3B4EB"/>
    <w:rsid w:val="02C4A8F2"/>
    <w:rsid w:val="02C7051D"/>
    <w:rsid w:val="02C7A4F2"/>
    <w:rsid w:val="02CA2BD0"/>
    <w:rsid w:val="02CD7761"/>
    <w:rsid w:val="02CD7A60"/>
    <w:rsid w:val="02CD8E2A"/>
    <w:rsid w:val="02CDC5A4"/>
    <w:rsid w:val="02CF561A"/>
    <w:rsid w:val="02D0BE86"/>
    <w:rsid w:val="02D36DA9"/>
    <w:rsid w:val="02D4EA79"/>
    <w:rsid w:val="02D569AB"/>
    <w:rsid w:val="02D58A38"/>
    <w:rsid w:val="02D5ABD1"/>
    <w:rsid w:val="02D786BA"/>
    <w:rsid w:val="02DABC1B"/>
    <w:rsid w:val="02DBC34F"/>
    <w:rsid w:val="02DEAA74"/>
    <w:rsid w:val="02DEB47B"/>
    <w:rsid w:val="02E36FA3"/>
    <w:rsid w:val="02E487AE"/>
    <w:rsid w:val="02E5D177"/>
    <w:rsid w:val="02E69C25"/>
    <w:rsid w:val="02E7E43A"/>
    <w:rsid w:val="02E9A3E8"/>
    <w:rsid w:val="02EABF9D"/>
    <w:rsid w:val="02EAF056"/>
    <w:rsid w:val="02EBA601"/>
    <w:rsid w:val="02EEC243"/>
    <w:rsid w:val="02EF9894"/>
    <w:rsid w:val="02F67CE9"/>
    <w:rsid w:val="02F960E3"/>
    <w:rsid w:val="02FA5565"/>
    <w:rsid w:val="02FB13EE"/>
    <w:rsid w:val="02FC4E19"/>
    <w:rsid w:val="02FDE0F6"/>
    <w:rsid w:val="02FFF5AE"/>
    <w:rsid w:val="03062553"/>
    <w:rsid w:val="0307F969"/>
    <w:rsid w:val="03087037"/>
    <w:rsid w:val="030A19C5"/>
    <w:rsid w:val="030AB586"/>
    <w:rsid w:val="030BB3E0"/>
    <w:rsid w:val="030BDD8D"/>
    <w:rsid w:val="030C0794"/>
    <w:rsid w:val="030C2ECB"/>
    <w:rsid w:val="030ED6CA"/>
    <w:rsid w:val="030EF691"/>
    <w:rsid w:val="030F61BC"/>
    <w:rsid w:val="0310FC2C"/>
    <w:rsid w:val="0311B3AE"/>
    <w:rsid w:val="0312BD2E"/>
    <w:rsid w:val="0316084E"/>
    <w:rsid w:val="031E539D"/>
    <w:rsid w:val="032013A9"/>
    <w:rsid w:val="0321DFF9"/>
    <w:rsid w:val="03226A21"/>
    <w:rsid w:val="0324090B"/>
    <w:rsid w:val="03241C4E"/>
    <w:rsid w:val="032591A2"/>
    <w:rsid w:val="032884F2"/>
    <w:rsid w:val="03300827"/>
    <w:rsid w:val="03318BC9"/>
    <w:rsid w:val="0331A35F"/>
    <w:rsid w:val="03331792"/>
    <w:rsid w:val="03337BB6"/>
    <w:rsid w:val="0335E3B4"/>
    <w:rsid w:val="0337FA35"/>
    <w:rsid w:val="033A67EF"/>
    <w:rsid w:val="033AAC61"/>
    <w:rsid w:val="033FBDE8"/>
    <w:rsid w:val="03409998"/>
    <w:rsid w:val="0343F2D0"/>
    <w:rsid w:val="0344827C"/>
    <w:rsid w:val="03457E60"/>
    <w:rsid w:val="0347073E"/>
    <w:rsid w:val="0347DD72"/>
    <w:rsid w:val="03486D89"/>
    <w:rsid w:val="034AFE97"/>
    <w:rsid w:val="034CE761"/>
    <w:rsid w:val="034F9FA2"/>
    <w:rsid w:val="03502E02"/>
    <w:rsid w:val="035329DF"/>
    <w:rsid w:val="0353722C"/>
    <w:rsid w:val="03596654"/>
    <w:rsid w:val="035B22DF"/>
    <w:rsid w:val="0360A140"/>
    <w:rsid w:val="0361DF61"/>
    <w:rsid w:val="0365CE25"/>
    <w:rsid w:val="0365D5B8"/>
    <w:rsid w:val="03690544"/>
    <w:rsid w:val="03692F3C"/>
    <w:rsid w:val="036E79DC"/>
    <w:rsid w:val="036FA165"/>
    <w:rsid w:val="036FEF97"/>
    <w:rsid w:val="036FFF57"/>
    <w:rsid w:val="03707995"/>
    <w:rsid w:val="0370DEC6"/>
    <w:rsid w:val="03714757"/>
    <w:rsid w:val="03742214"/>
    <w:rsid w:val="0374CA02"/>
    <w:rsid w:val="03757221"/>
    <w:rsid w:val="03771EC5"/>
    <w:rsid w:val="03797306"/>
    <w:rsid w:val="037AD819"/>
    <w:rsid w:val="037B03EA"/>
    <w:rsid w:val="037D9C94"/>
    <w:rsid w:val="0380DAD9"/>
    <w:rsid w:val="038551DC"/>
    <w:rsid w:val="0385F169"/>
    <w:rsid w:val="03864676"/>
    <w:rsid w:val="03866CAC"/>
    <w:rsid w:val="03871682"/>
    <w:rsid w:val="038758EE"/>
    <w:rsid w:val="038A985D"/>
    <w:rsid w:val="038BE4AA"/>
    <w:rsid w:val="038E780D"/>
    <w:rsid w:val="038E9C41"/>
    <w:rsid w:val="038F17FE"/>
    <w:rsid w:val="0390BC21"/>
    <w:rsid w:val="0392EC6A"/>
    <w:rsid w:val="0397ACD0"/>
    <w:rsid w:val="039B41F5"/>
    <w:rsid w:val="039BE921"/>
    <w:rsid w:val="039E9627"/>
    <w:rsid w:val="03A83AF6"/>
    <w:rsid w:val="03A86CEF"/>
    <w:rsid w:val="03AB4A39"/>
    <w:rsid w:val="03AD67D0"/>
    <w:rsid w:val="03AE1960"/>
    <w:rsid w:val="03B00DEA"/>
    <w:rsid w:val="03B06B4E"/>
    <w:rsid w:val="03B0E44A"/>
    <w:rsid w:val="03B1740F"/>
    <w:rsid w:val="03B3270B"/>
    <w:rsid w:val="03B33F8B"/>
    <w:rsid w:val="03B66C67"/>
    <w:rsid w:val="03B87FE7"/>
    <w:rsid w:val="03BB0725"/>
    <w:rsid w:val="03BB72EE"/>
    <w:rsid w:val="03BBDD7A"/>
    <w:rsid w:val="03BC90CE"/>
    <w:rsid w:val="03BDED62"/>
    <w:rsid w:val="03BEDD27"/>
    <w:rsid w:val="03C5EAD4"/>
    <w:rsid w:val="03C5F8C2"/>
    <w:rsid w:val="03C97223"/>
    <w:rsid w:val="03CA9CFF"/>
    <w:rsid w:val="03CCAC38"/>
    <w:rsid w:val="03CF099B"/>
    <w:rsid w:val="03D151F6"/>
    <w:rsid w:val="03D1CCE2"/>
    <w:rsid w:val="03D56721"/>
    <w:rsid w:val="03D68D6F"/>
    <w:rsid w:val="03D6CD25"/>
    <w:rsid w:val="03D705FE"/>
    <w:rsid w:val="03D87F51"/>
    <w:rsid w:val="03D94F69"/>
    <w:rsid w:val="03D96C6E"/>
    <w:rsid w:val="03DC8A85"/>
    <w:rsid w:val="03DD0DD6"/>
    <w:rsid w:val="03DE14EE"/>
    <w:rsid w:val="03DE30EA"/>
    <w:rsid w:val="03DFA527"/>
    <w:rsid w:val="03E18AB8"/>
    <w:rsid w:val="03E7542C"/>
    <w:rsid w:val="03E80F66"/>
    <w:rsid w:val="03E9670F"/>
    <w:rsid w:val="03E98A07"/>
    <w:rsid w:val="03E9C33A"/>
    <w:rsid w:val="03E9C994"/>
    <w:rsid w:val="03ED50B0"/>
    <w:rsid w:val="03ED6643"/>
    <w:rsid w:val="03EE6D6B"/>
    <w:rsid w:val="03F21967"/>
    <w:rsid w:val="03F5B2F3"/>
    <w:rsid w:val="03F90A21"/>
    <w:rsid w:val="03FC80EF"/>
    <w:rsid w:val="03FCB10C"/>
    <w:rsid w:val="04018BFF"/>
    <w:rsid w:val="0402575F"/>
    <w:rsid w:val="0403C74C"/>
    <w:rsid w:val="0404280D"/>
    <w:rsid w:val="04046AB0"/>
    <w:rsid w:val="040CCB24"/>
    <w:rsid w:val="040FE1AD"/>
    <w:rsid w:val="04120C16"/>
    <w:rsid w:val="041855EF"/>
    <w:rsid w:val="0418AA4F"/>
    <w:rsid w:val="041D46DF"/>
    <w:rsid w:val="041FC383"/>
    <w:rsid w:val="04225BA0"/>
    <w:rsid w:val="04241B84"/>
    <w:rsid w:val="04243FC8"/>
    <w:rsid w:val="04265DFB"/>
    <w:rsid w:val="042674F6"/>
    <w:rsid w:val="0426B209"/>
    <w:rsid w:val="0426B5A5"/>
    <w:rsid w:val="0427A9BB"/>
    <w:rsid w:val="04290D4D"/>
    <w:rsid w:val="042EB693"/>
    <w:rsid w:val="04332310"/>
    <w:rsid w:val="043852B2"/>
    <w:rsid w:val="0439CF89"/>
    <w:rsid w:val="043B60D2"/>
    <w:rsid w:val="043D8F5C"/>
    <w:rsid w:val="043EFDED"/>
    <w:rsid w:val="043F74BA"/>
    <w:rsid w:val="0440C791"/>
    <w:rsid w:val="044582B7"/>
    <w:rsid w:val="0446BB52"/>
    <w:rsid w:val="0447D273"/>
    <w:rsid w:val="044C9C92"/>
    <w:rsid w:val="044DC89E"/>
    <w:rsid w:val="044DF94C"/>
    <w:rsid w:val="044F6CE2"/>
    <w:rsid w:val="04539C9A"/>
    <w:rsid w:val="04570990"/>
    <w:rsid w:val="0459A350"/>
    <w:rsid w:val="045D9934"/>
    <w:rsid w:val="045DC3D3"/>
    <w:rsid w:val="045FDDC0"/>
    <w:rsid w:val="0464473E"/>
    <w:rsid w:val="046FD912"/>
    <w:rsid w:val="0470BBEF"/>
    <w:rsid w:val="04713EDA"/>
    <w:rsid w:val="0471899F"/>
    <w:rsid w:val="0471DB46"/>
    <w:rsid w:val="04733539"/>
    <w:rsid w:val="04749D1E"/>
    <w:rsid w:val="04781084"/>
    <w:rsid w:val="047D751E"/>
    <w:rsid w:val="047DE835"/>
    <w:rsid w:val="0486929B"/>
    <w:rsid w:val="048B1C8F"/>
    <w:rsid w:val="048EB43D"/>
    <w:rsid w:val="04903089"/>
    <w:rsid w:val="04948113"/>
    <w:rsid w:val="04948C65"/>
    <w:rsid w:val="0496D3C5"/>
    <w:rsid w:val="049912DF"/>
    <w:rsid w:val="0499E067"/>
    <w:rsid w:val="049AB2BB"/>
    <w:rsid w:val="049BE7A9"/>
    <w:rsid w:val="049C3123"/>
    <w:rsid w:val="049C4A20"/>
    <w:rsid w:val="049F713A"/>
    <w:rsid w:val="04A2D22A"/>
    <w:rsid w:val="04A31338"/>
    <w:rsid w:val="04A4FB43"/>
    <w:rsid w:val="04A7C5C0"/>
    <w:rsid w:val="04A7EBDE"/>
    <w:rsid w:val="04A95214"/>
    <w:rsid w:val="04AC392D"/>
    <w:rsid w:val="04AD27DC"/>
    <w:rsid w:val="04AD8506"/>
    <w:rsid w:val="04AE730C"/>
    <w:rsid w:val="04AFE909"/>
    <w:rsid w:val="04B05D0E"/>
    <w:rsid w:val="04B31737"/>
    <w:rsid w:val="04B531B4"/>
    <w:rsid w:val="04B66CC9"/>
    <w:rsid w:val="04B7DAF6"/>
    <w:rsid w:val="04B8971C"/>
    <w:rsid w:val="04BA33AF"/>
    <w:rsid w:val="04BC45D5"/>
    <w:rsid w:val="04BEA19F"/>
    <w:rsid w:val="04C00C0C"/>
    <w:rsid w:val="04C2CB4E"/>
    <w:rsid w:val="04CBF81C"/>
    <w:rsid w:val="04CC1E66"/>
    <w:rsid w:val="04CDC73E"/>
    <w:rsid w:val="04CE53FE"/>
    <w:rsid w:val="04D17065"/>
    <w:rsid w:val="04D193DB"/>
    <w:rsid w:val="04D1BD0A"/>
    <w:rsid w:val="04D6C68F"/>
    <w:rsid w:val="04D78A3A"/>
    <w:rsid w:val="04D85638"/>
    <w:rsid w:val="04D8770B"/>
    <w:rsid w:val="04DCDC86"/>
    <w:rsid w:val="04DD0CBE"/>
    <w:rsid w:val="04DD2061"/>
    <w:rsid w:val="04E212FA"/>
    <w:rsid w:val="04E5BB75"/>
    <w:rsid w:val="04E61815"/>
    <w:rsid w:val="04E648EA"/>
    <w:rsid w:val="04E9F461"/>
    <w:rsid w:val="04EA795E"/>
    <w:rsid w:val="04ED5C72"/>
    <w:rsid w:val="04EEEA6F"/>
    <w:rsid w:val="04EEFE34"/>
    <w:rsid w:val="04EF0BC6"/>
    <w:rsid w:val="04EF6AA0"/>
    <w:rsid w:val="04F20D4D"/>
    <w:rsid w:val="04F2AD82"/>
    <w:rsid w:val="04F499DC"/>
    <w:rsid w:val="04F85992"/>
    <w:rsid w:val="04F9BF06"/>
    <w:rsid w:val="04FBE19F"/>
    <w:rsid w:val="050125C3"/>
    <w:rsid w:val="050373F1"/>
    <w:rsid w:val="0505013B"/>
    <w:rsid w:val="050737F4"/>
    <w:rsid w:val="05085C89"/>
    <w:rsid w:val="050AB221"/>
    <w:rsid w:val="050E2BBA"/>
    <w:rsid w:val="050E8F12"/>
    <w:rsid w:val="050EA32D"/>
    <w:rsid w:val="0513FAB4"/>
    <w:rsid w:val="05157E44"/>
    <w:rsid w:val="0518C338"/>
    <w:rsid w:val="05194E2F"/>
    <w:rsid w:val="0521B593"/>
    <w:rsid w:val="05254765"/>
    <w:rsid w:val="0526FA57"/>
    <w:rsid w:val="05296929"/>
    <w:rsid w:val="052CF8EC"/>
    <w:rsid w:val="052FB293"/>
    <w:rsid w:val="053176E9"/>
    <w:rsid w:val="0532DA01"/>
    <w:rsid w:val="053334DB"/>
    <w:rsid w:val="053580B3"/>
    <w:rsid w:val="0535B11D"/>
    <w:rsid w:val="0538924A"/>
    <w:rsid w:val="053BC53F"/>
    <w:rsid w:val="0540A3B9"/>
    <w:rsid w:val="05413E8B"/>
    <w:rsid w:val="05415196"/>
    <w:rsid w:val="054502BE"/>
    <w:rsid w:val="054703B6"/>
    <w:rsid w:val="054AE7C9"/>
    <w:rsid w:val="054BA334"/>
    <w:rsid w:val="054D011E"/>
    <w:rsid w:val="054E04A2"/>
    <w:rsid w:val="054E58D5"/>
    <w:rsid w:val="0550E1BB"/>
    <w:rsid w:val="05530CA3"/>
    <w:rsid w:val="05575089"/>
    <w:rsid w:val="05584957"/>
    <w:rsid w:val="055C5C65"/>
    <w:rsid w:val="055D1A1B"/>
    <w:rsid w:val="05606DF1"/>
    <w:rsid w:val="05614D19"/>
    <w:rsid w:val="05624707"/>
    <w:rsid w:val="0564DFFE"/>
    <w:rsid w:val="05686066"/>
    <w:rsid w:val="056954FB"/>
    <w:rsid w:val="056A640E"/>
    <w:rsid w:val="056A72B2"/>
    <w:rsid w:val="056C6931"/>
    <w:rsid w:val="05700583"/>
    <w:rsid w:val="057087FE"/>
    <w:rsid w:val="0575A99D"/>
    <w:rsid w:val="0577E213"/>
    <w:rsid w:val="057920ED"/>
    <w:rsid w:val="057BBDE5"/>
    <w:rsid w:val="057D822C"/>
    <w:rsid w:val="05845927"/>
    <w:rsid w:val="058479C0"/>
    <w:rsid w:val="0584DE66"/>
    <w:rsid w:val="05852DAC"/>
    <w:rsid w:val="0585E0DF"/>
    <w:rsid w:val="05875254"/>
    <w:rsid w:val="0588A56D"/>
    <w:rsid w:val="058A2AA3"/>
    <w:rsid w:val="058B9DEE"/>
    <w:rsid w:val="058BAA4E"/>
    <w:rsid w:val="058C0708"/>
    <w:rsid w:val="058DE65E"/>
    <w:rsid w:val="058EDE53"/>
    <w:rsid w:val="058F1C6F"/>
    <w:rsid w:val="05949263"/>
    <w:rsid w:val="05960F92"/>
    <w:rsid w:val="0596F3A4"/>
    <w:rsid w:val="05971088"/>
    <w:rsid w:val="0599F760"/>
    <w:rsid w:val="059E5BA4"/>
    <w:rsid w:val="059FA889"/>
    <w:rsid w:val="05A1E834"/>
    <w:rsid w:val="05A1FF78"/>
    <w:rsid w:val="05A5082F"/>
    <w:rsid w:val="05A615AA"/>
    <w:rsid w:val="05AC2068"/>
    <w:rsid w:val="05AD4E08"/>
    <w:rsid w:val="05ADCA0D"/>
    <w:rsid w:val="05B170EA"/>
    <w:rsid w:val="05B88988"/>
    <w:rsid w:val="05B92011"/>
    <w:rsid w:val="05BB37F8"/>
    <w:rsid w:val="05BCDB88"/>
    <w:rsid w:val="05BD79F6"/>
    <w:rsid w:val="05BE4E0C"/>
    <w:rsid w:val="05BEC8AF"/>
    <w:rsid w:val="05BF8BD2"/>
    <w:rsid w:val="05C28FB7"/>
    <w:rsid w:val="05C3D2F5"/>
    <w:rsid w:val="05C6B491"/>
    <w:rsid w:val="05C83362"/>
    <w:rsid w:val="05C9FEA8"/>
    <w:rsid w:val="05CB46B3"/>
    <w:rsid w:val="05D24DC4"/>
    <w:rsid w:val="05D4F2A7"/>
    <w:rsid w:val="05D78741"/>
    <w:rsid w:val="05D79712"/>
    <w:rsid w:val="05D88B11"/>
    <w:rsid w:val="05D9A610"/>
    <w:rsid w:val="05D9BA3D"/>
    <w:rsid w:val="05D9C666"/>
    <w:rsid w:val="05DA9E4F"/>
    <w:rsid w:val="05DBA560"/>
    <w:rsid w:val="05DBF65F"/>
    <w:rsid w:val="05DCA6E7"/>
    <w:rsid w:val="05DCE545"/>
    <w:rsid w:val="05E25E32"/>
    <w:rsid w:val="05E981F7"/>
    <w:rsid w:val="05EA484F"/>
    <w:rsid w:val="05EB05A5"/>
    <w:rsid w:val="05EC67BB"/>
    <w:rsid w:val="05EE14F5"/>
    <w:rsid w:val="05EEC855"/>
    <w:rsid w:val="05F01371"/>
    <w:rsid w:val="05F0FF44"/>
    <w:rsid w:val="05F21363"/>
    <w:rsid w:val="05F27156"/>
    <w:rsid w:val="05F436E3"/>
    <w:rsid w:val="05F4E346"/>
    <w:rsid w:val="05F6F98F"/>
    <w:rsid w:val="05F7377D"/>
    <w:rsid w:val="05F89728"/>
    <w:rsid w:val="05F8B4CF"/>
    <w:rsid w:val="05F9A9B9"/>
    <w:rsid w:val="05FBE896"/>
    <w:rsid w:val="05FC5C02"/>
    <w:rsid w:val="05FE277F"/>
    <w:rsid w:val="06050D58"/>
    <w:rsid w:val="0606F4D4"/>
    <w:rsid w:val="06082013"/>
    <w:rsid w:val="060DDF67"/>
    <w:rsid w:val="060E2D7D"/>
    <w:rsid w:val="060FFC18"/>
    <w:rsid w:val="0612B0A0"/>
    <w:rsid w:val="0614CFC9"/>
    <w:rsid w:val="06162C78"/>
    <w:rsid w:val="06164388"/>
    <w:rsid w:val="06178EDF"/>
    <w:rsid w:val="061CFDB1"/>
    <w:rsid w:val="061DA472"/>
    <w:rsid w:val="061E5EAC"/>
    <w:rsid w:val="061E961E"/>
    <w:rsid w:val="061EE109"/>
    <w:rsid w:val="06247A50"/>
    <w:rsid w:val="0624CE14"/>
    <w:rsid w:val="062500B5"/>
    <w:rsid w:val="0627EE40"/>
    <w:rsid w:val="062999F6"/>
    <w:rsid w:val="06330A58"/>
    <w:rsid w:val="0636544F"/>
    <w:rsid w:val="0638E33D"/>
    <w:rsid w:val="063A6B8F"/>
    <w:rsid w:val="063C110C"/>
    <w:rsid w:val="063D489B"/>
    <w:rsid w:val="063E3980"/>
    <w:rsid w:val="063EF1B8"/>
    <w:rsid w:val="063F38C8"/>
    <w:rsid w:val="063FFCB0"/>
    <w:rsid w:val="06410BB5"/>
    <w:rsid w:val="06432285"/>
    <w:rsid w:val="06461C82"/>
    <w:rsid w:val="064FDC86"/>
    <w:rsid w:val="06534FA7"/>
    <w:rsid w:val="06561E7F"/>
    <w:rsid w:val="065B3297"/>
    <w:rsid w:val="065C3E29"/>
    <w:rsid w:val="065CC781"/>
    <w:rsid w:val="065CEBDB"/>
    <w:rsid w:val="065CFBE7"/>
    <w:rsid w:val="065D54FC"/>
    <w:rsid w:val="06627ACF"/>
    <w:rsid w:val="0662D80F"/>
    <w:rsid w:val="066412B9"/>
    <w:rsid w:val="06647711"/>
    <w:rsid w:val="0666E3D8"/>
    <w:rsid w:val="0667980B"/>
    <w:rsid w:val="06692E62"/>
    <w:rsid w:val="066AF693"/>
    <w:rsid w:val="066B1A68"/>
    <w:rsid w:val="066B835D"/>
    <w:rsid w:val="066ECC8B"/>
    <w:rsid w:val="066EEDB2"/>
    <w:rsid w:val="066F08CC"/>
    <w:rsid w:val="0671BA53"/>
    <w:rsid w:val="067239FC"/>
    <w:rsid w:val="0672F8F2"/>
    <w:rsid w:val="0673ECC1"/>
    <w:rsid w:val="0673FB22"/>
    <w:rsid w:val="067850C1"/>
    <w:rsid w:val="067A74FA"/>
    <w:rsid w:val="067B7DF4"/>
    <w:rsid w:val="067E87E1"/>
    <w:rsid w:val="067F5E24"/>
    <w:rsid w:val="0681974D"/>
    <w:rsid w:val="0682118A"/>
    <w:rsid w:val="06830C31"/>
    <w:rsid w:val="0684CE34"/>
    <w:rsid w:val="068636ED"/>
    <w:rsid w:val="068805D5"/>
    <w:rsid w:val="06883230"/>
    <w:rsid w:val="068D942D"/>
    <w:rsid w:val="068FB84D"/>
    <w:rsid w:val="06935F0C"/>
    <w:rsid w:val="06938345"/>
    <w:rsid w:val="06945FE1"/>
    <w:rsid w:val="06959048"/>
    <w:rsid w:val="069B7A42"/>
    <w:rsid w:val="069E4D10"/>
    <w:rsid w:val="069EBB42"/>
    <w:rsid w:val="06A0EBE1"/>
    <w:rsid w:val="06A15E60"/>
    <w:rsid w:val="06A8C3A2"/>
    <w:rsid w:val="06AADB08"/>
    <w:rsid w:val="06AD0553"/>
    <w:rsid w:val="06AD9545"/>
    <w:rsid w:val="06B02C5F"/>
    <w:rsid w:val="06B16BFF"/>
    <w:rsid w:val="06B277E4"/>
    <w:rsid w:val="06B2A9D7"/>
    <w:rsid w:val="06B53092"/>
    <w:rsid w:val="06B60809"/>
    <w:rsid w:val="06B9EC13"/>
    <w:rsid w:val="06BB2743"/>
    <w:rsid w:val="06BB5DAE"/>
    <w:rsid w:val="06BB98F7"/>
    <w:rsid w:val="06BEA69B"/>
    <w:rsid w:val="06C0547D"/>
    <w:rsid w:val="06C14270"/>
    <w:rsid w:val="06C1571A"/>
    <w:rsid w:val="06C262D3"/>
    <w:rsid w:val="06C4EC4F"/>
    <w:rsid w:val="06CAF4E1"/>
    <w:rsid w:val="06CC0AFF"/>
    <w:rsid w:val="06D32126"/>
    <w:rsid w:val="06D45CA4"/>
    <w:rsid w:val="06D734E3"/>
    <w:rsid w:val="06D79511"/>
    <w:rsid w:val="06D97B40"/>
    <w:rsid w:val="06D9D662"/>
    <w:rsid w:val="06DE0502"/>
    <w:rsid w:val="06DF27A5"/>
    <w:rsid w:val="06E054BF"/>
    <w:rsid w:val="06E19597"/>
    <w:rsid w:val="06E3050C"/>
    <w:rsid w:val="06E4BB7E"/>
    <w:rsid w:val="06E7632F"/>
    <w:rsid w:val="06E80FEA"/>
    <w:rsid w:val="06E9B984"/>
    <w:rsid w:val="06EB56C8"/>
    <w:rsid w:val="06ED9489"/>
    <w:rsid w:val="06EF4FB4"/>
    <w:rsid w:val="06F261A9"/>
    <w:rsid w:val="06F2DCB7"/>
    <w:rsid w:val="06F5ED5B"/>
    <w:rsid w:val="06F72A5B"/>
    <w:rsid w:val="06F9182D"/>
    <w:rsid w:val="06FB6908"/>
    <w:rsid w:val="06FDC3B4"/>
    <w:rsid w:val="06FE9C10"/>
    <w:rsid w:val="070097A6"/>
    <w:rsid w:val="0700A5BA"/>
    <w:rsid w:val="07021788"/>
    <w:rsid w:val="0704AE57"/>
    <w:rsid w:val="07054987"/>
    <w:rsid w:val="07057B22"/>
    <w:rsid w:val="0706963E"/>
    <w:rsid w:val="0708D63F"/>
    <w:rsid w:val="0708DDDF"/>
    <w:rsid w:val="070AF3C8"/>
    <w:rsid w:val="070C676C"/>
    <w:rsid w:val="070CDED6"/>
    <w:rsid w:val="070E1225"/>
    <w:rsid w:val="0712B01C"/>
    <w:rsid w:val="0715C16E"/>
    <w:rsid w:val="0716C476"/>
    <w:rsid w:val="071701CD"/>
    <w:rsid w:val="0717F819"/>
    <w:rsid w:val="07185482"/>
    <w:rsid w:val="0718B9CE"/>
    <w:rsid w:val="071A4A8A"/>
    <w:rsid w:val="072217C0"/>
    <w:rsid w:val="072534A7"/>
    <w:rsid w:val="07258342"/>
    <w:rsid w:val="07259D22"/>
    <w:rsid w:val="0729F012"/>
    <w:rsid w:val="072A1B30"/>
    <w:rsid w:val="072AF371"/>
    <w:rsid w:val="072BA54D"/>
    <w:rsid w:val="072ED969"/>
    <w:rsid w:val="072EFF9D"/>
    <w:rsid w:val="07316A7A"/>
    <w:rsid w:val="07324471"/>
    <w:rsid w:val="07354494"/>
    <w:rsid w:val="07395996"/>
    <w:rsid w:val="07395C99"/>
    <w:rsid w:val="073A28CF"/>
    <w:rsid w:val="0743CF1C"/>
    <w:rsid w:val="0743F135"/>
    <w:rsid w:val="0743F77F"/>
    <w:rsid w:val="07453F2F"/>
    <w:rsid w:val="07458AB8"/>
    <w:rsid w:val="0745AB3B"/>
    <w:rsid w:val="07467EF4"/>
    <w:rsid w:val="0748CECA"/>
    <w:rsid w:val="07492698"/>
    <w:rsid w:val="074BAD99"/>
    <w:rsid w:val="074D6F5E"/>
    <w:rsid w:val="074DB934"/>
    <w:rsid w:val="074DFE30"/>
    <w:rsid w:val="074FAF67"/>
    <w:rsid w:val="0750A597"/>
    <w:rsid w:val="075307C0"/>
    <w:rsid w:val="07544604"/>
    <w:rsid w:val="075C1DE7"/>
    <w:rsid w:val="075D29DA"/>
    <w:rsid w:val="075F1715"/>
    <w:rsid w:val="0762A92E"/>
    <w:rsid w:val="0762E4CD"/>
    <w:rsid w:val="07630DD9"/>
    <w:rsid w:val="0763F3AC"/>
    <w:rsid w:val="0764B9D7"/>
    <w:rsid w:val="0767BE21"/>
    <w:rsid w:val="076B9B0E"/>
    <w:rsid w:val="076CA768"/>
    <w:rsid w:val="077A29FF"/>
    <w:rsid w:val="077D3DCA"/>
    <w:rsid w:val="077EDBED"/>
    <w:rsid w:val="0782C98E"/>
    <w:rsid w:val="0784B4D8"/>
    <w:rsid w:val="07851292"/>
    <w:rsid w:val="078540FD"/>
    <w:rsid w:val="0785B222"/>
    <w:rsid w:val="0785BD23"/>
    <w:rsid w:val="07868930"/>
    <w:rsid w:val="0787BCEF"/>
    <w:rsid w:val="078BB326"/>
    <w:rsid w:val="078C4541"/>
    <w:rsid w:val="078D0711"/>
    <w:rsid w:val="078E344E"/>
    <w:rsid w:val="07900BEA"/>
    <w:rsid w:val="0794962B"/>
    <w:rsid w:val="07958D8F"/>
    <w:rsid w:val="0796CC0F"/>
    <w:rsid w:val="0797FE07"/>
    <w:rsid w:val="079A7EA8"/>
    <w:rsid w:val="079B6BA1"/>
    <w:rsid w:val="079ED1A0"/>
    <w:rsid w:val="079F167D"/>
    <w:rsid w:val="07A823B2"/>
    <w:rsid w:val="07A92C74"/>
    <w:rsid w:val="07AA2728"/>
    <w:rsid w:val="07AA53D9"/>
    <w:rsid w:val="07AA5863"/>
    <w:rsid w:val="07AA9E51"/>
    <w:rsid w:val="07ADB325"/>
    <w:rsid w:val="07AE033B"/>
    <w:rsid w:val="07B31F49"/>
    <w:rsid w:val="07B4C068"/>
    <w:rsid w:val="07B5F144"/>
    <w:rsid w:val="07BBBB97"/>
    <w:rsid w:val="07BC0554"/>
    <w:rsid w:val="07BEE3CC"/>
    <w:rsid w:val="07C128E1"/>
    <w:rsid w:val="07C288AE"/>
    <w:rsid w:val="07C3DE46"/>
    <w:rsid w:val="07C51754"/>
    <w:rsid w:val="07C58612"/>
    <w:rsid w:val="07C97E21"/>
    <w:rsid w:val="07CB18D7"/>
    <w:rsid w:val="07CD374B"/>
    <w:rsid w:val="07CD73CA"/>
    <w:rsid w:val="07CF0EBF"/>
    <w:rsid w:val="07D0E698"/>
    <w:rsid w:val="07D225AF"/>
    <w:rsid w:val="07D2E118"/>
    <w:rsid w:val="07D2ED75"/>
    <w:rsid w:val="07D3010B"/>
    <w:rsid w:val="07D42B2A"/>
    <w:rsid w:val="07D74E30"/>
    <w:rsid w:val="07D81F3F"/>
    <w:rsid w:val="07DAF3D5"/>
    <w:rsid w:val="07DB9272"/>
    <w:rsid w:val="07DC57D7"/>
    <w:rsid w:val="07DE0348"/>
    <w:rsid w:val="07E236E8"/>
    <w:rsid w:val="07E50D2B"/>
    <w:rsid w:val="07E6DC81"/>
    <w:rsid w:val="07E741C3"/>
    <w:rsid w:val="07E75D69"/>
    <w:rsid w:val="07E7A7F7"/>
    <w:rsid w:val="07E7D397"/>
    <w:rsid w:val="07E9DE62"/>
    <w:rsid w:val="07EEB44C"/>
    <w:rsid w:val="07F10173"/>
    <w:rsid w:val="07F158B2"/>
    <w:rsid w:val="07F22202"/>
    <w:rsid w:val="07F3D7DC"/>
    <w:rsid w:val="07F4D9F6"/>
    <w:rsid w:val="07F54012"/>
    <w:rsid w:val="07F6B7B9"/>
    <w:rsid w:val="07F6C8E1"/>
    <w:rsid w:val="07F74D42"/>
    <w:rsid w:val="07FC00F0"/>
    <w:rsid w:val="07FDDB26"/>
    <w:rsid w:val="0800D894"/>
    <w:rsid w:val="0803B3A2"/>
    <w:rsid w:val="08058FBA"/>
    <w:rsid w:val="08079347"/>
    <w:rsid w:val="08098F1C"/>
    <w:rsid w:val="080AC977"/>
    <w:rsid w:val="080DD940"/>
    <w:rsid w:val="0810793D"/>
    <w:rsid w:val="0810E8C4"/>
    <w:rsid w:val="0812252D"/>
    <w:rsid w:val="08162903"/>
    <w:rsid w:val="08169942"/>
    <w:rsid w:val="08207984"/>
    <w:rsid w:val="0825581F"/>
    <w:rsid w:val="08263858"/>
    <w:rsid w:val="0828403D"/>
    <w:rsid w:val="08299493"/>
    <w:rsid w:val="082CF558"/>
    <w:rsid w:val="082D8D74"/>
    <w:rsid w:val="0831773F"/>
    <w:rsid w:val="0831B9DE"/>
    <w:rsid w:val="08328D90"/>
    <w:rsid w:val="083413F4"/>
    <w:rsid w:val="083666E5"/>
    <w:rsid w:val="0836B3F6"/>
    <w:rsid w:val="0836FE6E"/>
    <w:rsid w:val="0838EBEE"/>
    <w:rsid w:val="083AA07B"/>
    <w:rsid w:val="083ABF08"/>
    <w:rsid w:val="083F0FCC"/>
    <w:rsid w:val="0840D0CC"/>
    <w:rsid w:val="084338BB"/>
    <w:rsid w:val="0843A755"/>
    <w:rsid w:val="0843DA3D"/>
    <w:rsid w:val="08440EA6"/>
    <w:rsid w:val="0844A7E5"/>
    <w:rsid w:val="08451BCF"/>
    <w:rsid w:val="084797B0"/>
    <w:rsid w:val="0848155D"/>
    <w:rsid w:val="0848C93C"/>
    <w:rsid w:val="0849D054"/>
    <w:rsid w:val="084AC1F9"/>
    <w:rsid w:val="084DC595"/>
    <w:rsid w:val="084EC782"/>
    <w:rsid w:val="084FC2E7"/>
    <w:rsid w:val="08539EAE"/>
    <w:rsid w:val="08543D9D"/>
    <w:rsid w:val="0854AB18"/>
    <w:rsid w:val="085779EE"/>
    <w:rsid w:val="08584AE3"/>
    <w:rsid w:val="08588A72"/>
    <w:rsid w:val="085940DF"/>
    <w:rsid w:val="08598A13"/>
    <w:rsid w:val="085B11CF"/>
    <w:rsid w:val="085E6304"/>
    <w:rsid w:val="085E7963"/>
    <w:rsid w:val="08657077"/>
    <w:rsid w:val="0865995D"/>
    <w:rsid w:val="086837D6"/>
    <w:rsid w:val="0868B2AA"/>
    <w:rsid w:val="086B2CFB"/>
    <w:rsid w:val="087112F8"/>
    <w:rsid w:val="08712618"/>
    <w:rsid w:val="08712F66"/>
    <w:rsid w:val="08719E14"/>
    <w:rsid w:val="0871F764"/>
    <w:rsid w:val="0874725E"/>
    <w:rsid w:val="08760037"/>
    <w:rsid w:val="08772AA2"/>
    <w:rsid w:val="08776E6B"/>
    <w:rsid w:val="08791881"/>
    <w:rsid w:val="087D9B4C"/>
    <w:rsid w:val="08814175"/>
    <w:rsid w:val="0881A78C"/>
    <w:rsid w:val="0881D3EC"/>
    <w:rsid w:val="08822D39"/>
    <w:rsid w:val="08824FC4"/>
    <w:rsid w:val="0883E278"/>
    <w:rsid w:val="088417F4"/>
    <w:rsid w:val="08885E8F"/>
    <w:rsid w:val="0889958F"/>
    <w:rsid w:val="088CBE1A"/>
    <w:rsid w:val="088D99D7"/>
    <w:rsid w:val="088DCBA2"/>
    <w:rsid w:val="0890A98F"/>
    <w:rsid w:val="0890EA85"/>
    <w:rsid w:val="0892AC35"/>
    <w:rsid w:val="08932E67"/>
    <w:rsid w:val="0893D76E"/>
    <w:rsid w:val="089660FE"/>
    <w:rsid w:val="0898CA1C"/>
    <w:rsid w:val="0899FE3C"/>
    <w:rsid w:val="089C1C3B"/>
    <w:rsid w:val="089DF1CF"/>
    <w:rsid w:val="089E31C2"/>
    <w:rsid w:val="089EE187"/>
    <w:rsid w:val="089EE622"/>
    <w:rsid w:val="089FCFE7"/>
    <w:rsid w:val="08A1859E"/>
    <w:rsid w:val="08A3D2BE"/>
    <w:rsid w:val="08A4824D"/>
    <w:rsid w:val="08A51BF9"/>
    <w:rsid w:val="08A9EE06"/>
    <w:rsid w:val="08A9F678"/>
    <w:rsid w:val="08AAC749"/>
    <w:rsid w:val="08ABE7C0"/>
    <w:rsid w:val="08AC283A"/>
    <w:rsid w:val="08AD36F4"/>
    <w:rsid w:val="08AFA12C"/>
    <w:rsid w:val="08AFC53B"/>
    <w:rsid w:val="08B04096"/>
    <w:rsid w:val="08B1BA6E"/>
    <w:rsid w:val="08B34921"/>
    <w:rsid w:val="08B3D5AE"/>
    <w:rsid w:val="08B4F37A"/>
    <w:rsid w:val="08B75F5C"/>
    <w:rsid w:val="08B8838C"/>
    <w:rsid w:val="08BE6101"/>
    <w:rsid w:val="08C02A68"/>
    <w:rsid w:val="08C8AD76"/>
    <w:rsid w:val="08CA6496"/>
    <w:rsid w:val="08CF2BAE"/>
    <w:rsid w:val="08D5766F"/>
    <w:rsid w:val="08D6734F"/>
    <w:rsid w:val="08D9D6D1"/>
    <w:rsid w:val="08DBA37E"/>
    <w:rsid w:val="08DC1FBA"/>
    <w:rsid w:val="08DF7E92"/>
    <w:rsid w:val="08E09409"/>
    <w:rsid w:val="08E25D00"/>
    <w:rsid w:val="08E352D1"/>
    <w:rsid w:val="08E3E00F"/>
    <w:rsid w:val="08E469ED"/>
    <w:rsid w:val="08E504E5"/>
    <w:rsid w:val="08EAFFAD"/>
    <w:rsid w:val="08ED641B"/>
    <w:rsid w:val="08EF8612"/>
    <w:rsid w:val="08F106F8"/>
    <w:rsid w:val="08F15628"/>
    <w:rsid w:val="08F17130"/>
    <w:rsid w:val="08F4A197"/>
    <w:rsid w:val="08F505E0"/>
    <w:rsid w:val="08F6F090"/>
    <w:rsid w:val="08F6F69C"/>
    <w:rsid w:val="08F8D7F6"/>
    <w:rsid w:val="08FA3C23"/>
    <w:rsid w:val="08FF513C"/>
    <w:rsid w:val="09035961"/>
    <w:rsid w:val="09072CD5"/>
    <w:rsid w:val="090C685A"/>
    <w:rsid w:val="090FDBAA"/>
    <w:rsid w:val="09105F72"/>
    <w:rsid w:val="0911E4CD"/>
    <w:rsid w:val="0912BBEA"/>
    <w:rsid w:val="091350BE"/>
    <w:rsid w:val="0915854F"/>
    <w:rsid w:val="0917BE8E"/>
    <w:rsid w:val="0917C85D"/>
    <w:rsid w:val="0918D759"/>
    <w:rsid w:val="091BBD59"/>
    <w:rsid w:val="091D360D"/>
    <w:rsid w:val="091D6B64"/>
    <w:rsid w:val="091EE039"/>
    <w:rsid w:val="091F0D77"/>
    <w:rsid w:val="0922C638"/>
    <w:rsid w:val="0925BCB9"/>
    <w:rsid w:val="09264D8E"/>
    <w:rsid w:val="0927C0EE"/>
    <w:rsid w:val="0929D7F2"/>
    <w:rsid w:val="0929E8C9"/>
    <w:rsid w:val="092A4539"/>
    <w:rsid w:val="0932182C"/>
    <w:rsid w:val="0932BF32"/>
    <w:rsid w:val="0932F25E"/>
    <w:rsid w:val="093471F1"/>
    <w:rsid w:val="0936A24B"/>
    <w:rsid w:val="0937FBCB"/>
    <w:rsid w:val="093A5243"/>
    <w:rsid w:val="093B53A7"/>
    <w:rsid w:val="093C0B62"/>
    <w:rsid w:val="093C442B"/>
    <w:rsid w:val="09463044"/>
    <w:rsid w:val="09469727"/>
    <w:rsid w:val="094C6C63"/>
    <w:rsid w:val="094EAEA1"/>
    <w:rsid w:val="09500787"/>
    <w:rsid w:val="09538958"/>
    <w:rsid w:val="09560250"/>
    <w:rsid w:val="0957E183"/>
    <w:rsid w:val="095846BE"/>
    <w:rsid w:val="0959F8E1"/>
    <w:rsid w:val="095ACC4A"/>
    <w:rsid w:val="095BA56A"/>
    <w:rsid w:val="095C3ADE"/>
    <w:rsid w:val="095D2EBE"/>
    <w:rsid w:val="095F1268"/>
    <w:rsid w:val="09600DD6"/>
    <w:rsid w:val="09619ADF"/>
    <w:rsid w:val="0962D2F4"/>
    <w:rsid w:val="09631596"/>
    <w:rsid w:val="09653437"/>
    <w:rsid w:val="09698226"/>
    <w:rsid w:val="0969DFD2"/>
    <w:rsid w:val="096C5595"/>
    <w:rsid w:val="096C703B"/>
    <w:rsid w:val="096CDFB7"/>
    <w:rsid w:val="096DA516"/>
    <w:rsid w:val="096EDE66"/>
    <w:rsid w:val="096FDDC9"/>
    <w:rsid w:val="0971CF31"/>
    <w:rsid w:val="09726F03"/>
    <w:rsid w:val="0973909B"/>
    <w:rsid w:val="09752C10"/>
    <w:rsid w:val="097530D9"/>
    <w:rsid w:val="0977B998"/>
    <w:rsid w:val="0977FBD3"/>
    <w:rsid w:val="097B3D7C"/>
    <w:rsid w:val="097BC31D"/>
    <w:rsid w:val="097CD89E"/>
    <w:rsid w:val="097DC190"/>
    <w:rsid w:val="09801C8F"/>
    <w:rsid w:val="09802E2A"/>
    <w:rsid w:val="0987CEB3"/>
    <w:rsid w:val="0989FFEB"/>
    <w:rsid w:val="098A48EF"/>
    <w:rsid w:val="098A7317"/>
    <w:rsid w:val="098B03B9"/>
    <w:rsid w:val="098C1D73"/>
    <w:rsid w:val="098CCA3C"/>
    <w:rsid w:val="098FFC4D"/>
    <w:rsid w:val="09923C33"/>
    <w:rsid w:val="0993D323"/>
    <w:rsid w:val="0996BBCA"/>
    <w:rsid w:val="0996C39D"/>
    <w:rsid w:val="0997FA59"/>
    <w:rsid w:val="09981FDB"/>
    <w:rsid w:val="0999A598"/>
    <w:rsid w:val="099F0806"/>
    <w:rsid w:val="099F9B09"/>
    <w:rsid w:val="09A29120"/>
    <w:rsid w:val="09A29431"/>
    <w:rsid w:val="09A53DBA"/>
    <w:rsid w:val="09A8215B"/>
    <w:rsid w:val="09A8F17D"/>
    <w:rsid w:val="09A92F2A"/>
    <w:rsid w:val="09AC1466"/>
    <w:rsid w:val="09AD2ECF"/>
    <w:rsid w:val="09AEA25F"/>
    <w:rsid w:val="09B1815C"/>
    <w:rsid w:val="09B2785C"/>
    <w:rsid w:val="09B95371"/>
    <w:rsid w:val="09BA4722"/>
    <w:rsid w:val="09BA5883"/>
    <w:rsid w:val="09BB910C"/>
    <w:rsid w:val="09BC52EB"/>
    <w:rsid w:val="09BEFEB6"/>
    <w:rsid w:val="09C10458"/>
    <w:rsid w:val="09C202E8"/>
    <w:rsid w:val="09C2491D"/>
    <w:rsid w:val="09C79DCE"/>
    <w:rsid w:val="09C7F5AF"/>
    <w:rsid w:val="09C90BDE"/>
    <w:rsid w:val="09CA0867"/>
    <w:rsid w:val="09CBECD3"/>
    <w:rsid w:val="09CC3085"/>
    <w:rsid w:val="09CCDE32"/>
    <w:rsid w:val="09CD662B"/>
    <w:rsid w:val="09D08EB2"/>
    <w:rsid w:val="09D1E47D"/>
    <w:rsid w:val="09D28978"/>
    <w:rsid w:val="09D3E9C8"/>
    <w:rsid w:val="09D9B258"/>
    <w:rsid w:val="09DA99BD"/>
    <w:rsid w:val="09DB448C"/>
    <w:rsid w:val="09DBABB7"/>
    <w:rsid w:val="09DC8F1F"/>
    <w:rsid w:val="09DE906C"/>
    <w:rsid w:val="09DF0F9B"/>
    <w:rsid w:val="09E06FD0"/>
    <w:rsid w:val="09E360C6"/>
    <w:rsid w:val="09E533B9"/>
    <w:rsid w:val="09E66718"/>
    <w:rsid w:val="09E76C54"/>
    <w:rsid w:val="09E9B4E0"/>
    <w:rsid w:val="09EA9381"/>
    <w:rsid w:val="09EE1FEF"/>
    <w:rsid w:val="09EE69A2"/>
    <w:rsid w:val="09F249C6"/>
    <w:rsid w:val="09F30936"/>
    <w:rsid w:val="09F33A88"/>
    <w:rsid w:val="09F4DF09"/>
    <w:rsid w:val="09F59426"/>
    <w:rsid w:val="09F5BFFD"/>
    <w:rsid w:val="09F63E9D"/>
    <w:rsid w:val="09F6B4A5"/>
    <w:rsid w:val="09F89408"/>
    <w:rsid w:val="09FB768C"/>
    <w:rsid w:val="09FC64A0"/>
    <w:rsid w:val="09FC7174"/>
    <w:rsid w:val="09FE39A4"/>
    <w:rsid w:val="0A03203B"/>
    <w:rsid w:val="0A03D621"/>
    <w:rsid w:val="0A055E25"/>
    <w:rsid w:val="0A077D81"/>
    <w:rsid w:val="0A07C413"/>
    <w:rsid w:val="0A08CAA8"/>
    <w:rsid w:val="0A0972D8"/>
    <w:rsid w:val="0A0A0FFA"/>
    <w:rsid w:val="0A0D6AEA"/>
    <w:rsid w:val="0A0D6D0A"/>
    <w:rsid w:val="0A0F9BAC"/>
    <w:rsid w:val="0A107DE2"/>
    <w:rsid w:val="0A114B54"/>
    <w:rsid w:val="0A12A986"/>
    <w:rsid w:val="0A1757ED"/>
    <w:rsid w:val="0A185F9B"/>
    <w:rsid w:val="0A1E9E6C"/>
    <w:rsid w:val="0A207CA2"/>
    <w:rsid w:val="0A207F84"/>
    <w:rsid w:val="0A211DAC"/>
    <w:rsid w:val="0A252039"/>
    <w:rsid w:val="0A260581"/>
    <w:rsid w:val="0A26747C"/>
    <w:rsid w:val="0A28794B"/>
    <w:rsid w:val="0A2893BD"/>
    <w:rsid w:val="0A295A50"/>
    <w:rsid w:val="0A29A1EF"/>
    <w:rsid w:val="0A2C02E1"/>
    <w:rsid w:val="0A2D9ACF"/>
    <w:rsid w:val="0A302979"/>
    <w:rsid w:val="0A361933"/>
    <w:rsid w:val="0A37243B"/>
    <w:rsid w:val="0A376766"/>
    <w:rsid w:val="0A379772"/>
    <w:rsid w:val="0A37E6E0"/>
    <w:rsid w:val="0A3804E9"/>
    <w:rsid w:val="0A3889F3"/>
    <w:rsid w:val="0A39EC86"/>
    <w:rsid w:val="0A3C41FC"/>
    <w:rsid w:val="0A3D91CD"/>
    <w:rsid w:val="0A3E0489"/>
    <w:rsid w:val="0A4454AF"/>
    <w:rsid w:val="0A459C07"/>
    <w:rsid w:val="0A494285"/>
    <w:rsid w:val="0A4AAC5F"/>
    <w:rsid w:val="0A4B88DD"/>
    <w:rsid w:val="0A4CCBBD"/>
    <w:rsid w:val="0A51A50E"/>
    <w:rsid w:val="0A55155F"/>
    <w:rsid w:val="0A55A60F"/>
    <w:rsid w:val="0A560CF6"/>
    <w:rsid w:val="0A573BF3"/>
    <w:rsid w:val="0A580D76"/>
    <w:rsid w:val="0A582E06"/>
    <w:rsid w:val="0A5858C6"/>
    <w:rsid w:val="0A585B6C"/>
    <w:rsid w:val="0A596361"/>
    <w:rsid w:val="0A61109E"/>
    <w:rsid w:val="0A620B7A"/>
    <w:rsid w:val="0A635C6E"/>
    <w:rsid w:val="0A674E55"/>
    <w:rsid w:val="0A6950CC"/>
    <w:rsid w:val="0A69D935"/>
    <w:rsid w:val="0A6C5F1D"/>
    <w:rsid w:val="0A6DC5A8"/>
    <w:rsid w:val="0A7474DC"/>
    <w:rsid w:val="0A7517D8"/>
    <w:rsid w:val="0A753F49"/>
    <w:rsid w:val="0A7635BA"/>
    <w:rsid w:val="0A76612B"/>
    <w:rsid w:val="0A81F731"/>
    <w:rsid w:val="0A821A87"/>
    <w:rsid w:val="0A82DFB7"/>
    <w:rsid w:val="0A838769"/>
    <w:rsid w:val="0A8460F1"/>
    <w:rsid w:val="0A85BEA7"/>
    <w:rsid w:val="0A867A1B"/>
    <w:rsid w:val="0A87E187"/>
    <w:rsid w:val="0A891C44"/>
    <w:rsid w:val="0A8B2EE3"/>
    <w:rsid w:val="0A929FC7"/>
    <w:rsid w:val="0A94753F"/>
    <w:rsid w:val="0A96C230"/>
    <w:rsid w:val="0A96CAD1"/>
    <w:rsid w:val="0A9A51E7"/>
    <w:rsid w:val="0A9BC91C"/>
    <w:rsid w:val="0A9C2659"/>
    <w:rsid w:val="0A9D2CB7"/>
    <w:rsid w:val="0A9E9323"/>
    <w:rsid w:val="0A9F4320"/>
    <w:rsid w:val="0AA1E53C"/>
    <w:rsid w:val="0AA6984E"/>
    <w:rsid w:val="0AAA8F58"/>
    <w:rsid w:val="0AB1B9A6"/>
    <w:rsid w:val="0AB31774"/>
    <w:rsid w:val="0AB8B4AC"/>
    <w:rsid w:val="0ABC5D57"/>
    <w:rsid w:val="0AC009B4"/>
    <w:rsid w:val="0AC3F72C"/>
    <w:rsid w:val="0AC42DA2"/>
    <w:rsid w:val="0AC96686"/>
    <w:rsid w:val="0ACB9F7A"/>
    <w:rsid w:val="0ACDEB9C"/>
    <w:rsid w:val="0ACED2B2"/>
    <w:rsid w:val="0AD57690"/>
    <w:rsid w:val="0AD6BA66"/>
    <w:rsid w:val="0AD879EE"/>
    <w:rsid w:val="0ADABB5D"/>
    <w:rsid w:val="0ADB2AD0"/>
    <w:rsid w:val="0ADD03B7"/>
    <w:rsid w:val="0ADFC4C0"/>
    <w:rsid w:val="0AE0A8BA"/>
    <w:rsid w:val="0AE0B511"/>
    <w:rsid w:val="0AEAEB8D"/>
    <w:rsid w:val="0AF5D5F8"/>
    <w:rsid w:val="0AF840FF"/>
    <w:rsid w:val="0AF884D4"/>
    <w:rsid w:val="0AFDE68E"/>
    <w:rsid w:val="0AFE9F5F"/>
    <w:rsid w:val="0AFEF1BD"/>
    <w:rsid w:val="0B055764"/>
    <w:rsid w:val="0B058A0D"/>
    <w:rsid w:val="0B05E603"/>
    <w:rsid w:val="0B07B16C"/>
    <w:rsid w:val="0B0A8271"/>
    <w:rsid w:val="0B0AF017"/>
    <w:rsid w:val="0B0B3484"/>
    <w:rsid w:val="0B0C141C"/>
    <w:rsid w:val="0B0C882B"/>
    <w:rsid w:val="0B0E4815"/>
    <w:rsid w:val="0B0F0D62"/>
    <w:rsid w:val="0B11A7B0"/>
    <w:rsid w:val="0B13439F"/>
    <w:rsid w:val="0B155096"/>
    <w:rsid w:val="0B15FB2B"/>
    <w:rsid w:val="0B1767E6"/>
    <w:rsid w:val="0B17BE0D"/>
    <w:rsid w:val="0B1B0090"/>
    <w:rsid w:val="0B1CB9C0"/>
    <w:rsid w:val="0B1F0B64"/>
    <w:rsid w:val="0B2011AC"/>
    <w:rsid w:val="0B21A06D"/>
    <w:rsid w:val="0B237F66"/>
    <w:rsid w:val="0B2381C6"/>
    <w:rsid w:val="0B249AC5"/>
    <w:rsid w:val="0B25BC0D"/>
    <w:rsid w:val="0B2747A2"/>
    <w:rsid w:val="0B2B1AD0"/>
    <w:rsid w:val="0B2B91D1"/>
    <w:rsid w:val="0B2EDA19"/>
    <w:rsid w:val="0B30D5F4"/>
    <w:rsid w:val="0B33E410"/>
    <w:rsid w:val="0B34B14D"/>
    <w:rsid w:val="0B34BC0C"/>
    <w:rsid w:val="0B358195"/>
    <w:rsid w:val="0B368434"/>
    <w:rsid w:val="0B368B5B"/>
    <w:rsid w:val="0B39FEF1"/>
    <w:rsid w:val="0B3B277A"/>
    <w:rsid w:val="0B3F46EE"/>
    <w:rsid w:val="0B40941E"/>
    <w:rsid w:val="0B43EEAD"/>
    <w:rsid w:val="0B443CB6"/>
    <w:rsid w:val="0B469E95"/>
    <w:rsid w:val="0B48C9CD"/>
    <w:rsid w:val="0B49EC99"/>
    <w:rsid w:val="0B4B98C9"/>
    <w:rsid w:val="0B5083BE"/>
    <w:rsid w:val="0B5136E4"/>
    <w:rsid w:val="0B54B469"/>
    <w:rsid w:val="0B570C79"/>
    <w:rsid w:val="0B58CD01"/>
    <w:rsid w:val="0B594C4F"/>
    <w:rsid w:val="0B59ED0A"/>
    <w:rsid w:val="0B5CE40C"/>
    <w:rsid w:val="0B5D62BE"/>
    <w:rsid w:val="0B5E3109"/>
    <w:rsid w:val="0B5FC44F"/>
    <w:rsid w:val="0B5FCFAD"/>
    <w:rsid w:val="0B6281D3"/>
    <w:rsid w:val="0B65D84C"/>
    <w:rsid w:val="0B6A48C8"/>
    <w:rsid w:val="0B6C5BEC"/>
    <w:rsid w:val="0B6CFDFF"/>
    <w:rsid w:val="0B726C0F"/>
    <w:rsid w:val="0B72D838"/>
    <w:rsid w:val="0B73CF81"/>
    <w:rsid w:val="0B74C7B2"/>
    <w:rsid w:val="0B759988"/>
    <w:rsid w:val="0B77BB3B"/>
    <w:rsid w:val="0B7A13BA"/>
    <w:rsid w:val="0B7BE0EC"/>
    <w:rsid w:val="0B7D3A4E"/>
    <w:rsid w:val="0B7DAF75"/>
    <w:rsid w:val="0B7DBC96"/>
    <w:rsid w:val="0B7E75C9"/>
    <w:rsid w:val="0B7F9847"/>
    <w:rsid w:val="0B80D085"/>
    <w:rsid w:val="0B827A05"/>
    <w:rsid w:val="0B82CB7A"/>
    <w:rsid w:val="0B8391E0"/>
    <w:rsid w:val="0B8442C2"/>
    <w:rsid w:val="0B84F5E7"/>
    <w:rsid w:val="0B854E38"/>
    <w:rsid w:val="0B888830"/>
    <w:rsid w:val="0B941720"/>
    <w:rsid w:val="0B943B50"/>
    <w:rsid w:val="0B9941A9"/>
    <w:rsid w:val="0B9B825C"/>
    <w:rsid w:val="0B9BF944"/>
    <w:rsid w:val="0B9D6F94"/>
    <w:rsid w:val="0B9ED0E9"/>
    <w:rsid w:val="0B9F619E"/>
    <w:rsid w:val="0BA1DDBE"/>
    <w:rsid w:val="0BA8410B"/>
    <w:rsid w:val="0BAA0101"/>
    <w:rsid w:val="0BAB2AF6"/>
    <w:rsid w:val="0BAC7F3E"/>
    <w:rsid w:val="0BAD96B7"/>
    <w:rsid w:val="0BADDFCF"/>
    <w:rsid w:val="0BB00C60"/>
    <w:rsid w:val="0BB0C9E6"/>
    <w:rsid w:val="0BB1FBFE"/>
    <w:rsid w:val="0BB45755"/>
    <w:rsid w:val="0BB7CC8D"/>
    <w:rsid w:val="0BC2502F"/>
    <w:rsid w:val="0BC27C82"/>
    <w:rsid w:val="0BC27F81"/>
    <w:rsid w:val="0BC3E4EE"/>
    <w:rsid w:val="0BC4C8E5"/>
    <w:rsid w:val="0BC6DF4D"/>
    <w:rsid w:val="0BC82FEC"/>
    <w:rsid w:val="0BC8CD04"/>
    <w:rsid w:val="0BC94E7E"/>
    <w:rsid w:val="0BC9685B"/>
    <w:rsid w:val="0BCCF5AD"/>
    <w:rsid w:val="0BD3E7E5"/>
    <w:rsid w:val="0BD44063"/>
    <w:rsid w:val="0BD5DE46"/>
    <w:rsid w:val="0BD8F78C"/>
    <w:rsid w:val="0BDC782F"/>
    <w:rsid w:val="0BDCD178"/>
    <w:rsid w:val="0BDD412D"/>
    <w:rsid w:val="0BDE64B2"/>
    <w:rsid w:val="0BDEF5F7"/>
    <w:rsid w:val="0BE02594"/>
    <w:rsid w:val="0BE0848A"/>
    <w:rsid w:val="0BE22238"/>
    <w:rsid w:val="0BE4689B"/>
    <w:rsid w:val="0BE92BEB"/>
    <w:rsid w:val="0BE99A2E"/>
    <w:rsid w:val="0BEBC082"/>
    <w:rsid w:val="0BEFFF20"/>
    <w:rsid w:val="0BF0CBAD"/>
    <w:rsid w:val="0BF598E8"/>
    <w:rsid w:val="0BF79BFA"/>
    <w:rsid w:val="0BF80B07"/>
    <w:rsid w:val="0BFB1296"/>
    <w:rsid w:val="0BFB7078"/>
    <w:rsid w:val="0BFBD785"/>
    <w:rsid w:val="0BFD466F"/>
    <w:rsid w:val="0C013A6F"/>
    <w:rsid w:val="0C0214C6"/>
    <w:rsid w:val="0C0398BE"/>
    <w:rsid w:val="0C08422D"/>
    <w:rsid w:val="0C084D91"/>
    <w:rsid w:val="0C0A117B"/>
    <w:rsid w:val="0C0A2061"/>
    <w:rsid w:val="0C0C7B01"/>
    <w:rsid w:val="0C125BCC"/>
    <w:rsid w:val="0C143A9C"/>
    <w:rsid w:val="0C163570"/>
    <w:rsid w:val="0C17033A"/>
    <w:rsid w:val="0C17534A"/>
    <w:rsid w:val="0C184DF2"/>
    <w:rsid w:val="0C186CB9"/>
    <w:rsid w:val="0C19F49F"/>
    <w:rsid w:val="0C1D50CB"/>
    <w:rsid w:val="0C202C0A"/>
    <w:rsid w:val="0C2132E8"/>
    <w:rsid w:val="0C2340FF"/>
    <w:rsid w:val="0C24E965"/>
    <w:rsid w:val="0C25AD6C"/>
    <w:rsid w:val="0C2E70F3"/>
    <w:rsid w:val="0C3215F9"/>
    <w:rsid w:val="0C3582D2"/>
    <w:rsid w:val="0C3906AC"/>
    <w:rsid w:val="0C396982"/>
    <w:rsid w:val="0C3AD0D9"/>
    <w:rsid w:val="0C3D6E97"/>
    <w:rsid w:val="0C3F1062"/>
    <w:rsid w:val="0C3F3EDC"/>
    <w:rsid w:val="0C404036"/>
    <w:rsid w:val="0C459D4F"/>
    <w:rsid w:val="0C4824A9"/>
    <w:rsid w:val="0C4CB171"/>
    <w:rsid w:val="0C4D6927"/>
    <w:rsid w:val="0C4F6242"/>
    <w:rsid w:val="0C5121F3"/>
    <w:rsid w:val="0C58613F"/>
    <w:rsid w:val="0C587CB6"/>
    <w:rsid w:val="0C5AF606"/>
    <w:rsid w:val="0C5CDE04"/>
    <w:rsid w:val="0C5DA52E"/>
    <w:rsid w:val="0C5EB543"/>
    <w:rsid w:val="0C5F9456"/>
    <w:rsid w:val="0C60DA7F"/>
    <w:rsid w:val="0C63515D"/>
    <w:rsid w:val="0C637127"/>
    <w:rsid w:val="0C64F78C"/>
    <w:rsid w:val="0C65567B"/>
    <w:rsid w:val="0C656975"/>
    <w:rsid w:val="0C659DB2"/>
    <w:rsid w:val="0C679D7E"/>
    <w:rsid w:val="0C684130"/>
    <w:rsid w:val="0C6B5527"/>
    <w:rsid w:val="0C707014"/>
    <w:rsid w:val="0C716FB1"/>
    <w:rsid w:val="0C730AD8"/>
    <w:rsid w:val="0C735C2B"/>
    <w:rsid w:val="0C7531A4"/>
    <w:rsid w:val="0C764A65"/>
    <w:rsid w:val="0C7896BA"/>
    <w:rsid w:val="0C7966B5"/>
    <w:rsid w:val="0C7A7C65"/>
    <w:rsid w:val="0C7A8B8F"/>
    <w:rsid w:val="0C7ADBE7"/>
    <w:rsid w:val="0C7C998D"/>
    <w:rsid w:val="0C7DA99D"/>
    <w:rsid w:val="0C827186"/>
    <w:rsid w:val="0C83D4A1"/>
    <w:rsid w:val="0C856F1D"/>
    <w:rsid w:val="0C8E5B37"/>
    <w:rsid w:val="0C8F482D"/>
    <w:rsid w:val="0C903E13"/>
    <w:rsid w:val="0C9282A3"/>
    <w:rsid w:val="0C946EAC"/>
    <w:rsid w:val="0C9865EF"/>
    <w:rsid w:val="0C98858D"/>
    <w:rsid w:val="0C9BD334"/>
    <w:rsid w:val="0C9CAC56"/>
    <w:rsid w:val="0C9E0FB7"/>
    <w:rsid w:val="0C9FF426"/>
    <w:rsid w:val="0C9FF633"/>
    <w:rsid w:val="0CA2D866"/>
    <w:rsid w:val="0CA3DE24"/>
    <w:rsid w:val="0CA515F1"/>
    <w:rsid w:val="0CA53EDA"/>
    <w:rsid w:val="0CA59023"/>
    <w:rsid w:val="0CA6506E"/>
    <w:rsid w:val="0CA6D638"/>
    <w:rsid w:val="0CA8A00B"/>
    <w:rsid w:val="0CA9968D"/>
    <w:rsid w:val="0CB03CFA"/>
    <w:rsid w:val="0CB2E307"/>
    <w:rsid w:val="0CB443C5"/>
    <w:rsid w:val="0CB5D857"/>
    <w:rsid w:val="0CB5D8FE"/>
    <w:rsid w:val="0CB86656"/>
    <w:rsid w:val="0CB89C05"/>
    <w:rsid w:val="0CB8D9C0"/>
    <w:rsid w:val="0CB970BD"/>
    <w:rsid w:val="0CBE6983"/>
    <w:rsid w:val="0CC010CB"/>
    <w:rsid w:val="0CC0287E"/>
    <w:rsid w:val="0CCB08CD"/>
    <w:rsid w:val="0CCB71CB"/>
    <w:rsid w:val="0CCCBA49"/>
    <w:rsid w:val="0CCE3480"/>
    <w:rsid w:val="0CCEC47C"/>
    <w:rsid w:val="0CD15E5E"/>
    <w:rsid w:val="0CD1A716"/>
    <w:rsid w:val="0CD1F244"/>
    <w:rsid w:val="0CD286AD"/>
    <w:rsid w:val="0CD7DC98"/>
    <w:rsid w:val="0CDA14FB"/>
    <w:rsid w:val="0CDA3CBE"/>
    <w:rsid w:val="0CDB797C"/>
    <w:rsid w:val="0CDD449C"/>
    <w:rsid w:val="0CDD466C"/>
    <w:rsid w:val="0CDDAF86"/>
    <w:rsid w:val="0CDFD3E5"/>
    <w:rsid w:val="0CE028EA"/>
    <w:rsid w:val="0CE1D5FD"/>
    <w:rsid w:val="0CE64229"/>
    <w:rsid w:val="0CE828DB"/>
    <w:rsid w:val="0CE82D0D"/>
    <w:rsid w:val="0CEB96E4"/>
    <w:rsid w:val="0CEBCBC0"/>
    <w:rsid w:val="0CEE4AE9"/>
    <w:rsid w:val="0CEE5157"/>
    <w:rsid w:val="0CF11A14"/>
    <w:rsid w:val="0CF3931D"/>
    <w:rsid w:val="0CF3D9EC"/>
    <w:rsid w:val="0D03A6E6"/>
    <w:rsid w:val="0D05AC8E"/>
    <w:rsid w:val="0D08ED01"/>
    <w:rsid w:val="0D0930B7"/>
    <w:rsid w:val="0D0AFF50"/>
    <w:rsid w:val="0D0B47BA"/>
    <w:rsid w:val="0D0C2BE8"/>
    <w:rsid w:val="0D0EAC17"/>
    <w:rsid w:val="0D0F41A3"/>
    <w:rsid w:val="0D104B11"/>
    <w:rsid w:val="0D1478E2"/>
    <w:rsid w:val="0D16AA2F"/>
    <w:rsid w:val="0D181CC0"/>
    <w:rsid w:val="0D1854FF"/>
    <w:rsid w:val="0D196E4E"/>
    <w:rsid w:val="0D1F11E3"/>
    <w:rsid w:val="0D20BA5E"/>
    <w:rsid w:val="0D21671A"/>
    <w:rsid w:val="0D2220D2"/>
    <w:rsid w:val="0D251358"/>
    <w:rsid w:val="0D294069"/>
    <w:rsid w:val="0D296F4D"/>
    <w:rsid w:val="0D2AF173"/>
    <w:rsid w:val="0D2BCD6C"/>
    <w:rsid w:val="0D2C59A5"/>
    <w:rsid w:val="0D2E7C6E"/>
    <w:rsid w:val="0D31A8BD"/>
    <w:rsid w:val="0D3A566F"/>
    <w:rsid w:val="0D3F4075"/>
    <w:rsid w:val="0D40720B"/>
    <w:rsid w:val="0D4269D0"/>
    <w:rsid w:val="0D47BAE2"/>
    <w:rsid w:val="0D4C7F4F"/>
    <w:rsid w:val="0D51F8B3"/>
    <w:rsid w:val="0D55FF27"/>
    <w:rsid w:val="0D564419"/>
    <w:rsid w:val="0D5A962A"/>
    <w:rsid w:val="0D5A9A76"/>
    <w:rsid w:val="0D5B75F6"/>
    <w:rsid w:val="0D5B9D39"/>
    <w:rsid w:val="0D5C2A39"/>
    <w:rsid w:val="0D612733"/>
    <w:rsid w:val="0D65C8AF"/>
    <w:rsid w:val="0D6B3035"/>
    <w:rsid w:val="0D6E7D97"/>
    <w:rsid w:val="0D6F434F"/>
    <w:rsid w:val="0D704614"/>
    <w:rsid w:val="0D72EF44"/>
    <w:rsid w:val="0D761549"/>
    <w:rsid w:val="0D780A2C"/>
    <w:rsid w:val="0D7B22BC"/>
    <w:rsid w:val="0D8078D3"/>
    <w:rsid w:val="0D82C0B7"/>
    <w:rsid w:val="0D85E04E"/>
    <w:rsid w:val="0D86848B"/>
    <w:rsid w:val="0D878933"/>
    <w:rsid w:val="0D8ACE99"/>
    <w:rsid w:val="0D8D8F69"/>
    <w:rsid w:val="0D923A01"/>
    <w:rsid w:val="0D941517"/>
    <w:rsid w:val="0D9416A8"/>
    <w:rsid w:val="0D954E40"/>
    <w:rsid w:val="0D978683"/>
    <w:rsid w:val="0D97EA12"/>
    <w:rsid w:val="0D98F7F9"/>
    <w:rsid w:val="0D9A2DEA"/>
    <w:rsid w:val="0D9B5D00"/>
    <w:rsid w:val="0D9C0641"/>
    <w:rsid w:val="0D9C20E5"/>
    <w:rsid w:val="0D9C796F"/>
    <w:rsid w:val="0D9CD2EF"/>
    <w:rsid w:val="0D9D8F52"/>
    <w:rsid w:val="0DA29D0A"/>
    <w:rsid w:val="0DA34DF7"/>
    <w:rsid w:val="0DA63287"/>
    <w:rsid w:val="0DAA136E"/>
    <w:rsid w:val="0DABBD4B"/>
    <w:rsid w:val="0DACBAC9"/>
    <w:rsid w:val="0DADBB52"/>
    <w:rsid w:val="0DADF908"/>
    <w:rsid w:val="0DB08C0C"/>
    <w:rsid w:val="0DB3874A"/>
    <w:rsid w:val="0DB7CCAB"/>
    <w:rsid w:val="0DBA102A"/>
    <w:rsid w:val="0DBBBFBF"/>
    <w:rsid w:val="0DBD00CE"/>
    <w:rsid w:val="0DBD71FB"/>
    <w:rsid w:val="0DBDF750"/>
    <w:rsid w:val="0DBE71D9"/>
    <w:rsid w:val="0DC0ACE7"/>
    <w:rsid w:val="0DC10B71"/>
    <w:rsid w:val="0DC2AB35"/>
    <w:rsid w:val="0DC3D938"/>
    <w:rsid w:val="0DC44254"/>
    <w:rsid w:val="0DC70412"/>
    <w:rsid w:val="0DC714C9"/>
    <w:rsid w:val="0DCB1F88"/>
    <w:rsid w:val="0DCD5A20"/>
    <w:rsid w:val="0DCEE28E"/>
    <w:rsid w:val="0DD99A92"/>
    <w:rsid w:val="0DDAA674"/>
    <w:rsid w:val="0DDB61ED"/>
    <w:rsid w:val="0DDBEF84"/>
    <w:rsid w:val="0DDC6AE4"/>
    <w:rsid w:val="0DDF5A8F"/>
    <w:rsid w:val="0DE00408"/>
    <w:rsid w:val="0DE1523B"/>
    <w:rsid w:val="0DE3F80F"/>
    <w:rsid w:val="0DEBCF7A"/>
    <w:rsid w:val="0DEBF110"/>
    <w:rsid w:val="0DEE7D6C"/>
    <w:rsid w:val="0DEEACFF"/>
    <w:rsid w:val="0DEF9533"/>
    <w:rsid w:val="0DF0EB9E"/>
    <w:rsid w:val="0DF25FC7"/>
    <w:rsid w:val="0DF28339"/>
    <w:rsid w:val="0DF2BA81"/>
    <w:rsid w:val="0DF2ED22"/>
    <w:rsid w:val="0DF303A0"/>
    <w:rsid w:val="0DF518D0"/>
    <w:rsid w:val="0DF5A87C"/>
    <w:rsid w:val="0DF60025"/>
    <w:rsid w:val="0DFA5847"/>
    <w:rsid w:val="0DFBCE24"/>
    <w:rsid w:val="0DFD91E8"/>
    <w:rsid w:val="0DFE2F58"/>
    <w:rsid w:val="0E007B52"/>
    <w:rsid w:val="0E02BF4B"/>
    <w:rsid w:val="0E051F31"/>
    <w:rsid w:val="0E083358"/>
    <w:rsid w:val="0E0CDC42"/>
    <w:rsid w:val="0E0E2FF6"/>
    <w:rsid w:val="0E0F232A"/>
    <w:rsid w:val="0E1095E0"/>
    <w:rsid w:val="0E121DB1"/>
    <w:rsid w:val="0E15EB38"/>
    <w:rsid w:val="0E187121"/>
    <w:rsid w:val="0E188086"/>
    <w:rsid w:val="0E189C9F"/>
    <w:rsid w:val="0E1A128E"/>
    <w:rsid w:val="0E1A882E"/>
    <w:rsid w:val="0E1EC96E"/>
    <w:rsid w:val="0E1EE451"/>
    <w:rsid w:val="0E1F1DC9"/>
    <w:rsid w:val="0E20E67A"/>
    <w:rsid w:val="0E2244DB"/>
    <w:rsid w:val="0E240083"/>
    <w:rsid w:val="0E257136"/>
    <w:rsid w:val="0E25F7F4"/>
    <w:rsid w:val="0E280316"/>
    <w:rsid w:val="0E288D42"/>
    <w:rsid w:val="0E2F2AB1"/>
    <w:rsid w:val="0E30459C"/>
    <w:rsid w:val="0E305B95"/>
    <w:rsid w:val="0E319478"/>
    <w:rsid w:val="0E327CF7"/>
    <w:rsid w:val="0E357AC8"/>
    <w:rsid w:val="0E362DDC"/>
    <w:rsid w:val="0E364377"/>
    <w:rsid w:val="0E37E46E"/>
    <w:rsid w:val="0E3943AF"/>
    <w:rsid w:val="0E3A3BFA"/>
    <w:rsid w:val="0E3DCDD5"/>
    <w:rsid w:val="0E41F682"/>
    <w:rsid w:val="0E43ED45"/>
    <w:rsid w:val="0E506F86"/>
    <w:rsid w:val="0E53A82B"/>
    <w:rsid w:val="0E59C8DE"/>
    <w:rsid w:val="0E5A3C80"/>
    <w:rsid w:val="0E5B58FD"/>
    <w:rsid w:val="0E5C1599"/>
    <w:rsid w:val="0E600D29"/>
    <w:rsid w:val="0E614364"/>
    <w:rsid w:val="0E61DE3F"/>
    <w:rsid w:val="0E6491E0"/>
    <w:rsid w:val="0E64B3BD"/>
    <w:rsid w:val="0E6A048D"/>
    <w:rsid w:val="0E6A33D0"/>
    <w:rsid w:val="0E6D1E8E"/>
    <w:rsid w:val="0E6E8377"/>
    <w:rsid w:val="0E6EB059"/>
    <w:rsid w:val="0E713208"/>
    <w:rsid w:val="0E7224C8"/>
    <w:rsid w:val="0E7359C9"/>
    <w:rsid w:val="0E73A82D"/>
    <w:rsid w:val="0E7426D6"/>
    <w:rsid w:val="0E75762F"/>
    <w:rsid w:val="0E770273"/>
    <w:rsid w:val="0E78FEBE"/>
    <w:rsid w:val="0E7F8B82"/>
    <w:rsid w:val="0E8606B3"/>
    <w:rsid w:val="0E864721"/>
    <w:rsid w:val="0E8C403C"/>
    <w:rsid w:val="0E8C4497"/>
    <w:rsid w:val="0E8CB238"/>
    <w:rsid w:val="0E8F0C52"/>
    <w:rsid w:val="0E90829D"/>
    <w:rsid w:val="0E90F9B6"/>
    <w:rsid w:val="0E926C07"/>
    <w:rsid w:val="0E92784E"/>
    <w:rsid w:val="0E944F92"/>
    <w:rsid w:val="0E967020"/>
    <w:rsid w:val="0E9786C0"/>
    <w:rsid w:val="0E9AE57C"/>
    <w:rsid w:val="0E9BE342"/>
    <w:rsid w:val="0E9E9BB1"/>
    <w:rsid w:val="0EA06BDF"/>
    <w:rsid w:val="0EA5762C"/>
    <w:rsid w:val="0EA79AB5"/>
    <w:rsid w:val="0EA7BBB4"/>
    <w:rsid w:val="0EA8206E"/>
    <w:rsid w:val="0EA844F8"/>
    <w:rsid w:val="0EAAC538"/>
    <w:rsid w:val="0EB01E05"/>
    <w:rsid w:val="0EB0A5A6"/>
    <w:rsid w:val="0EB52FC1"/>
    <w:rsid w:val="0EB6A0B3"/>
    <w:rsid w:val="0EB70BF7"/>
    <w:rsid w:val="0EB793E0"/>
    <w:rsid w:val="0EB9120D"/>
    <w:rsid w:val="0EBD2504"/>
    <w:rsid w:val="0EC1B2D3"/>
    <w:rsid w:val="0EC4D4EE"/>
    <w:rsid w:val="0EC6619E"/>
    <w:rsid w:val="0EC853FD"/>
    <w:rsid w:val="0EC8C71A"/>
    <w:rsid w:val="0EC95F07"/>
    <w:rsid w:val="0ED1D0B9"/>
    <w:rsid w:val="0ED27826"/>
    <w:rsid w:val="0ED4C63E"/>
    <w:rsid w:val="0ED6DE2F"/>
    <w:rsid w:val="0ED81BE2"/>
    <w:rsid w:val="0ED8D487"/>
    <w:rsid w:val="0EDB8561"/>
    <w:rsid w:val="0EDC4032"/>
    <w:rsid w:val="0EDF5B53"/>
    <w:rsid w:val="0EDFF3FA"/>
    <w:rsid w:val="0EE395B2"/>
    <w:rsid w:val="0EE3ECEA"/>
    <w:rsid w:val="0EE504AE"/>
    <w:rsid w:val="0EE5EC9A"/>
    <w:rsid w:val="0EEC4C21"/>
    <w:rsid w:val="0EED4C63"/>
    <w:rsid w:val="0EEDE4EB"/>
    <w:rsid w:val="0EEF083E"/>
    <w:rsid w:val="0EF11917"/>
    <w:rsid w:val="0EF5DAD3"/>
    <w:rsid w:val="0EF62726"/>
    <w:rsid w:val="0EF6D36A"/>
    <w:rsid w:val="0EF6DB20"/>
    <w:rsid w:val="0EFA0DB9"/>
    <w:rsid w:val="0EFC423B"/>
    <w:rsid w:val="0EFF5E75"/>
    <w:rsid w:val="0F02673E"/>
    <w:rsid w:val="0F042DEA"/>
    <w:rsid w:val="0F061E50"/>
    <w:rsid w:val="0F0F83B7"/>
    <w:rsid w:val="0F1131EA"/>
    <w:rsid w:val="0F11395C"/>
    <w:rsid w:val="0F114220"/>
    <w:rsid w:val="0F12E10E"/>
    <w:rsid w:val="0F133A91"/>
    <w:rsid w:val="0F152951"/>
    <w:rsid w:val="0F15DB29"/>
    <w:rsid w:val="0F169E57"/>
    <w:rsid w:val="0F1782E3"/>
    <w:rsid w:val="0F1976AD"/>
    <w:rsid w:val="0F1B6B49"/>
    <w:rsid w:val="0F1B719E"/>
    <w:rsid w:val="0F1E11C9"/>
    <w:rsid w:val="0F1E2A3D"/>
    <w:rsid w:val="0F201659"/>
    <w:rsid w:val="0F2038D6"/>
    <w:rsid w:val="0F20493A"/>
    <w:rsid w:val="0F20E277"/>
    <w:rsid w:val="0F23BE26"/>
    <w:rsid w:val="0F23C849"/>
    <w:rsid w:val="0F242850"/>
    <w:rsid w:val="0F24F3AF"/>
    <w:rsid w:val="0F24F531"/>
    <w:rsid w:val="0F281C1B"/>
    <w:rsid w:val="0F2B912C"/>
    <w:rsid w:val="0F2D714E"/>
    <w:rsid w:val="0F2FDA3D"/>
    <w:rsid w:val="0F33312A"/>
    <w:rsid w:val="0F3628C3"/>
    <w:rsid w:val="0F3703AE"/>
    <w:rsid w:val="0F3A48C0"/>
    <w:rsid w:val="0F3BEC65"/>
    <w:rsid w:val="0F412C4E"/>
    <w:rsid w:val="0F47F3DD"/>
    <w:rsid w:val="0F480D82"/>
    <w:rsid w:val="0F4ECE5F"/>
    <w:rsid w:val="0F4F81B7"/>
    <w:rsid w:val="0F534E02"/>
    <w:rsid w:val="0F57A307"/>
    <w:rsid w:val="0F595AA4"/>
    <w:rsid w:val="0F5D8304"/>
    <w:rsid w:val="0F601570"/>
    <w:rsid w:val="0F616953"/>
    <w:rsid w:val="0F63ABCB"/>
    <w:rsid w:val="0F652683"/>
    <w:rsid w:val="0F658989"/>
    <w:rsid w:val="0F6725CE"/>
    <w:rsid w:val="0F67D00F"/>
    <w:rsid w:val="0F6B37DA"/>
    <w:rsid w:val="0F6B4CFE"/>
    <w:rsid w:val="0F6BB4B3"/>
    <w:rsid w:val="0F6CAB76"/>
    <w:rsid w:val="0F6D2FD3"/>
    <w:rsid w:val="0F6E4339"/>
    <w:rsid w:val="0F6E4B53"/>
    <w:rsid w:val="0F6F38E9"/>
    <w:rsid w:val="0F76FD35"/>
    <w:rsid w:val="0F80F5D3"/>
    <w:rsid w:val="0F8161F0"/>
    <w:rsid w:val="0F84E527"/>
    <w:rsid w:val="0F8A3D02"/>
    <w:rsid w:val="0F8AF377"/>
    <w:rsid w:val="0F8CB325"/>
    <w:rsid w:val="0F8E7EC1"/>
    <w:rsid w:val="0F9378C3"/>
    <w:rsid w:val="0F950C24"/>
    <w:rsid w:val="0F96EA9D"/>
    <w:rsid w:val="0F9741A6"/>
    <w:rsid w:val="0F977F4C"/>
    <w:rsid w:val="0F9B4BFC"/>
    <w:rsid w:val="0F9C2DAE"/>
    <w:rsid w:val="0F9C5FE0"/>
    <w:rsid w:val="0F9CC28C"/>
    <w:rsid w:val="0F9CEED8"/>
    <w:rsid w:val="0F9CF8C4"/>
    <w:rsid w:val="0F9DD32F"/>
    <w:rsid w:val="0F9E76FF"/>
    <w:rsid w:val="0F9FDE6B"/>
    <w:rsid w:val="0FA300E1"/>
    <w:rsid w:val="0FA4E90C"/>
    <w:rsid w:val="0FA7C974"/>
    <w:rsid w:val="0FA83BB4"/>
    <w:rsid w:val="0FA89B47"/>
    <w:rsid w:val="0FAAF2EB"/>
    <w:rsid w:val="0FAB9B3F"/>
    <w:rsid w:val="0FABD324"/>
    <w:rsid w:val="0FAC83EE"/>
    <w:rsid w:val="0FAD34D1"/>
    <w:rsid w:val="0FAE7AA8"/>
    <w:rsid w:val="0FAEB6C8"/>
    <w:rsid w:val="0FB11E38"/>
    <w:rsid w:val="0FB7FBE6"/>
    <w:rsid w:val="0FB85835"/>
    <w:rsid w:val="0FBDB274"/>
    <w:rsid w:val="0FBE62A5"/>
    <w:rsid w:val="0FBF4D2E"/>
    <w:rsid w:val="0FC009B3"/>
    <w:rsid w:val="0FC07FFF"/>
    <w:rsid w:val="0FC4B5B0"/>
    <w:rsid w:val="0FC5A90F"/>
    <w:rsid w:val="0FC7B05C"/>
    <w:rsid w:val="0FC8C2D1"/>
    <w:rsid w:val="0FC93946"/>
    <w:rsid w:val="0FC9AC42"/>
    <w:rsid w:val="0FCC0BF2"/>
    <w:rsid w:val="0FCF605F"/>
    <w:rsid w:val="0FD3384E"/>
    <w:rsid w:val="0FD3FBBA"/>
    <w:rsid w:val="0FDB5CF9"/>
    <w:rsid w:val="0FE02807"/>
    <w:rsid w:val="0FE03F49"/>
    <w:rsid w:val="0FE0E2A8"/>
    <w:rsid w:val="0FE1E667"/>
    <w:rsid w:val="0FE5E3C0"/>
    <w:rsid w:val="0FE84CF0"/>
    <w:rsid w:val="0FEB5454"/>
    <w:rsid w:val="0FEC787A"/>
    <w:rsid w:val="0FEC8966"/>
    <w:rsid w:val="0FED5868"/>
    <w:rsid w:val="0FEE4507"/>
    <w:rsid w:val="0FEE470B"/>
    <w:rsid w:val="0FEEA6BC"/>
    <w:rsid w:val="0FF21384"/>
    <w:rsid w:val="0FF25093"/>
    <w:rsid w:val="0FF2FEDF"/>
    <w:rsid w:val="0FF39767"/>
    <w:rsid w:val="0FF5697E"/>
    <w:rsid w:val="0FF5E947"/>
    <w:rsid w:val="0FF5F8B4"/>
    <w:rsid w:val="0FF62AC3"/>
    <w:rsid w:val="0FFC90A1"/>
    <w:rsid w:val="0FFD04E9"/>
    <w:rsid w:val="0FFDF1F9"/>
    <w:rsid w:val="10011871"/>
    <w:rsid w:val="1003CAA8"/>
    <w:rsid w:val="1003CD3E"/>
    <w:rsid w:val="1005547C"/>
    <w:rsid w:val="100980AF"/>
    <w:rsid w:val="100AB20C"/>
    <w:rsid w:val="100BD27C"/>
    <w:rsid w:val="100E3E3F"/>
    <w:rsid w:val="100E8CF5"/>
    <w:rsid w:val="100EE215"/>
    <w:rsid w:val="10104472"/>
    <w:rsid w:val="1012A0B5"/>
    <w:rsid w:val="1013C911"/>
    <w:rsid w:val="1014AD26"/>
    <w:rsid w:val="1015399C"/>
    <w:rsid w:val="1015B3DD"/>
    <w:rsid w:val="10167004"/>
    <w:rsid w:val="10169210"/>
    <w:rsid w:val="1016D900"/>
    <w:rsid w:val="1017BBCD"/>
    <w:rsid w:val="101958ED"/>
    <w:rsid w:val="101CA3A8"/>
    <w:rsid w:val="101DC165"/>
    <w:rsid w:val="101E04F3"/>
    <w:rsid w:val="101EAEDE"/>
    <w:rsid w:val="1021D297"/>
    <w:rsid w:val="10229FE0"/>
    <w:rsid w:val="10259737"/>
    <w:rsid w:val="1028DB75"/>
    <w:rsid w:val="102992D0"/>
    <w:rsid w:val="102CB55E"/>
    <w:rsid w:val="102EF7DA"/>
    <w:rsid w:val="1036257E"/>
    <w:rsid w:val="103C7C3F"/>
    <w:rsid w:val="10434CC3"/>
    <w:rsid w:val="104392ED"/>
    <w:rsid w:val="10445E0D"/>
    <w:rsid w:val="104B3422"/>
    <w:rsid w:val="104B5A4E"/>
    <w:rsid w:val="104DA3F0"/>
    <w:rsid w:val="105226BF"/>
    <w:rsid w:val="105281C9"/>
    <w:rsid w:val="10568854"/>
    <w:rsid w:val="10569D4A"/>
    <w:rsid w:val="10570183"/>
    <w:rsid w:val="105D4C1B"/>
    <w:rsid w:val="105E6EB0"/>
    <w:rsid w:val="105FA782"/>
    <w:rsid w:val="1060B756"/>
    <w:rsid w:val="10669931"/>
    <w:rsid w:val="10682162"/>
    <w:rsid w:val="1069E435"/>
    <w:rsid w:val="106A6FA5"/>
    <w:rsid w:val="106A7A05"/>
    <w:rsid w:val="106F5AAC"/>
    <w:rsid w:val="10718021"/>
    <w:rsid w:val="1073FD20"/>
    <w:rsid w:val="107BE4CE"/>
    <w:rsid w:val="107C6831"/>
    <w:rsid w:val="107C8F47"/>
    <w:rsid w:val="108200CC"/>
    <w:rsid w:val="10839814"/>
    <w:rsid w:val="1085F10E"/>
    <w:rsid w:val="10868660"/>
    <w:rsid w:val="1087CE74"/>
    <w:rsid w:val="10886550"/>
    <w:rsid w:val="1089B5D4"/>
    <w:rsid w:val="108D1441"/>
    <w:rsid w:val="108D22C7"/>
    <w:rsid w:val="108EAC7F"/>
    <w:rsid w:val="109582A9"/>
    <w:rsid w:val="1099AC9F"/>
    <w:rsid w:val="109A17C9"/>
    <w:rsid w:val="109A80D9"/>
    <w:rsid w:val="109DB379"/>
    <w:rsid w:val="109EEFFD"/>
    <w:rsid w:val="109F30BA"/>
    <w:rsid w:val="10A1C4A9"/>
    <w:rsid w:val="10A1E373"/>
    <w:rsid w:val="10A7D899"/>
    <w:rsid w:val="10AECDDD"/>
    <w:rsid w:val="10B8CDCD"/>
    <w:rsid w:val="10B8EDE2"/>
    <w:rsid w:val="10BD9923"/>
    <w:rsid w:val="10C06351"/>
    <w:rsid w:val="10CA50A9"/>
    <w:rsid w:val="10CFE5C6"/>
    <w:rsid w:val="10D60FD2"/>
    <w:rsid w:val="10D65C4F"/>
    <w:rsid w:val="10D685F2"/>
    <w:rsid w:val="10D9DCA7"/>
    <w:rsid w:val="10DAF3FE"/>
    <w:rsid w:val="10DB4069"/>
    <w:rsid w:val="10DE338A"/>
    <w:rsid w:val="10DE34C3"/>
    <w:rsid w:val="10DE7311"/>
    <w:rsid w:val="10DEC965"/>
    <w:rsid w:val="10E2A57D"/>
    <w:rsid w:val="10E342B4"/>
    <w:rsid w:val="10E505E8"/>
    <w:rsid w:val="10E621D9"/>
    <w:rsid w:val="10E66679"/>
    <w:rsid w:val="10E8F1A0"/>
    <w:rsid w:val="10E9CA3F"/>
    <w:rsid w:val="10EC16E4"/>
    <w:rsid w:val="10EFF4CD"/>
    <w:rsid w:val="10F0B44B"/>
    <w:rsid w:val="10F3D1E7"/>
    <w:rsid w:val="10F4BB32"/>
    <w:rsid w:val="10F8221F"/>
    <w:rsid w:val="10FAD15A"/>
    <w:rsid w:val="11020FD3"/>
    <w:rsid w:val="1103EFB1"/>
    <w:rsid w:val="1104EA33"/>
    <w:rsid w:val="110514F2"/>
    <w:rsid w:val="1105C6A7"/>
    <w:rsid w:val="110850FC"/>
    <w:rsid w:val="110E73C3"/>
    <w:rsid w:val="111002E2"/>
    <w:rsid w:val="1118AFCE"/>
    <w:rsid w:val="1119D27D"/>
    <w:rsid w:val="111DAB88"/>
    <w:rsid w:val="111E0F79"/>
    <w:rsid w:val="111E39FA"/>
    <w:rsid w:val="11223F37"/>
    <w:rsid w:val="11241947"/>
    <w:rsid w:val="1128E65B"/>
    <w:rsid w:val="112955B2"/>
    <w:rsid w:val="112AFB0F"/>
    <w:rsid w:val="112BC8B1"/>
    <w:rsid w:val="112F92FE"/>
    <w:rsid w:val="11325D7A"/>
    <w:rsid w:val="113470C3"/>
    <w:rsid w:val="11351582"/>
    <w:rsid w:val="11362597"/>
    <w:rsid w:val="1137C05E"/>
    <w:rsid w:val="1139C463"/>
    <w:rsid w:val="113C2E43"/>
    <w:rsid w:val="113D11E9"/>
    <w:rsid w:val="113F9198"/>
    <w:rsid w:val="1145B070"/>
    <w:rsid w:val="114A9FD2"/>
    <w:rsid w:val="11521AD6"/>
    <w:rsid w:val="115459AA"/>
    <w:rsid w:val="1157DFD6"/>
    <w:rsid w:val="115EBBDE"/>
    <w:rsid w:val="115FFB44"/>
    <w:rsid w:val="1160115B"/>
    <w:rsid w:val="11615ABF"/>
    <w:rsid w:val="1162750B"/>
    <w:rsid w:val="1162E291"/>
    <w:rsid w:val="1164EB03"/>
    <w:rsid w:val="11654C28"/>
    <w:rsid w:val="1168A7DD"/>
    <w:rsid w:val="1168B996"/>
    <w:rsid w:val="11696456"/>
    <w:rsid w:val="1169CCCE"/>
    <w:rsid w:val="116A3DA9"/>
    <w:rsid w:val="116C0D5B"/>
    <w:rsid w:val="116CAFAD"/>
    <w:rsid w:val="116DF4DF"/>
    <w:rsid w:val="116F02BF"/>
    <w:rsid w:val="116F5C4A"/>
    <w:rsid w:val="11704722"/>
    <w:rsid w:val="1171A294"/>
    <w:rsid w:val="1171F007"/>
    <w:rsid w:val="11724436"/>
    <w:rsid w:val="1172827C"/>
    <w:rsid w:val="117372D3"/>
    <w:rsid w:val="11740488"/>
    <w:rsid w:val="11748FDC"/>
    <w:rsid w:val="1176C496"/>
    <w:rsid w:val="1179F303"/>
    <w:rsid w:val="117C2766"/>
    <w:rsid w:val="1180E241"/>
    <w:rsid w:val="11835DF2"/>
    <w:rsid w:val="1184367B"/>
    <w:rsid w:val="118717B1"/>
    <w:rsid w:val="118D5C5D"/>
    <w:rsid w:val="1190120B"/>
    <w:rsid w:val="11927019"/>
    <w:rsid w:val="1193A4FD"/>
    <w:rsid w:val="1194D540"/>
    <w:rsid w:val="11956AB9"/>
    <w:rsid w:val="11960F4D"/>
    <w:rsid w:val="119B480F"/>
    <w:rsid w:val="119C0817"/>
    <w:rsid w:val="119C3FA6"/>
    <w:rsid w:val="119DDF22"/>
    <w:rsid w:val="11A08643"/>
    <w:rsid w:val="11A38829"/>
    <w:rsid w:val="11A3F015"/>
    <w:rsid w:val="11A8E1D8"/>
    <w:rsid w:val="11A99186"/>
    <w:rsid w:val="11A9C64D"/>
    <w:rsid w:val="11AC3C2F"/>
    <w:rsid w:val="11AC509A"/>
    <w:rsid w:val="11AC81F9"/>
    <w:rsid w:val="11ADDE11"/>
    <w:rsid w:val="11ADFF0F"/>
    <w:rsid w:val="11B076BA"/>
    <w:rsid w:val="11B307A6"/>
    <w:rsid w:val="11B4AE2E"/>
    <w:rsid w:val="11B4D214"/>
    <w:rsid w:val="11B5139D"/>
    <w:rsid w:val="11B6D97B"/>
    <w:rsid w:val="11B702C3"/>
    <w:rsid w:val="11B78984"/>
    <w:rsid w:val="11B8BABB"/>
    <w:rsid w:val="11B90ADB"/>
    <w:rsid w:val="11BA0D85"/>
    <w:rsid w:val="11BBC402"/>
    <w:rsid w:val="11BBD109"/>
    <w:rsid w:val="11BE5707"/>
    <w:rsid w:val="11C06BE5"/>
    <w:rsid w:val="11C32A9E"/>
    <w:rsid w:val="11C52DB8"/>
    <w:rsid w:val="11C55322"/>
    <w:rsid w:val="11C943FD"/>
    <w:rsid w:val="11CA4E16"/>
    <w:rsid w:val="11CAE7A4"/>
    <w:rsid w:val="11CC7BBE"/>
    <w:rsid w:val="11CDBC00"/>
    <w:rsid w:val="11D00EBF"/>
    <w:rsid w:val="11D21960"/>
    <w:rsid w:val="11D80EBD"/>
    <w:rsid w:val="11DA896E"/>
    <w:rsid w:val="11E0801D"/>
    <w:rsid w:val="11E0DEDC"/>
    <w:rsid w:val="11E2997B"/>
    <w:rsid w:val="11E3F9D4"/>
    <w:rsid w:val="11E49C22"/>
    <w:rsid w:val="11E68000"/>
    <w:rsid w:val="11EC814E"/>
    <w:rsid w:val="11ED00C4"/>
    <w:rsid w:val="11ED8381"/>
    <w:rsid w:val="11EE216E"/>
    <w:rsid w:val="11F05355"/>
    <w:rsid w:val="11F43CC1"/>
    <w:rsid w:val="11FC57EB"/>
    <w:rsid w:val="11FD2E75"/>
    <w:rsid w:val="12029287"/>
    <w:rsid w:val="12035375"/>
    <w:rsid w:val="12052F1B"/>
    <w:rsid w:val="120675A8"/>
    <w:rsid w:val="12070CF5"/>
    <w:rsid w:val="121050F6"/>
    <w:rsid w:val="12121F21"/>
    <w:rsid w:val="12127DF6"/>
    <w:rsid w:val="121E3102"/>
    <w:rsid w:val="1220311B"/>
    <w:rsid w:val="1220E0CE"/>
    <w:rsid w:val="12212C78"/>
    <w:rsid w:val="12220946"/>
    <w:rsid w:val="122306CB"/>
    <w:rsid w:val="12244CF9"/>
    <w:rsid w:val="1226E7C6"/>
    <w:rsid w:val="1228709E"/>
    <w:rsid w:val="12292D46"/>
    <w:rsid w:val="12297B26"/>
    <w:rsid w:val="1229971E"/>
    <w:rsid w:val="122A9E1A"/>
    <w:rsid w:val="122BBD87"/>
    <w:rsid w:val="122C84BB"/>
    <w:rsid w:val="122DDFD1"/>
    <w:rsid w:val="122FC6B7"/>
    <w:rsid w:val="1231024C"/>
    <w:rsid w:val="12313969"/>
    <w:rsid w:val="12313E83"/>
    <w:rsid w:val="1232FB88"/>
    <w:rsid w:val="1238353D"/>
    <w:rsid w:val="123B8CDC"/>
    <w:rsid w:val="123C0494"/>
    <w:rsid w:val="123D18AF"/>
    <w:rsid w:val="123E1FB4"/>
    <w:rsid w:val="123EA8E1"/>
    <w:rsid w:val="1245877B"/>
    <w:rsid w:val="1245F4C0"/>
    <w:rsid w:val="12485B88"/>
    <w:rsid w:val="124888EE"/>
    <w:rsid w:val="124C6740"/>
    <w:rsid w:val="124CCB7E"/>
    <w:rsid w:val="124F687D"/>
    <w:rsid w:val="12516F19"/>
    <w:rsid w:val="1252D6C2"/>
    <w:rsid w:val="12550630"/>
    <w:rsid w:val="12552FA5"/>
    <w:rsid w:val="1255F6E6"/>
    <w:rsid w:val="1259504D"/>
    <w:rsid w:val="1259EE17"/>
    <w:rsid w:val="125D7C48"/>
    <w:rsid w:val="125E7933"/>
    <w:rsid w:val="126180AE"/>
    <w:rsid w:val="1264BFAF"/>
    <w:rsid w:val="1267CB29"/>
    <w:rsid w:val="126ACA92"/>
    <w:rsid w:val="126AE4B8"/>
    <w:rsid w:val="126C8CD8"/>
    <w:rsid w:val="1270AAB0"/>
    <w:rsid w:val="1270B516"/>
    <w:rsid w:val="12736EB3"/>
    <w:rsid w:val="1273E5CC"/>
    <w:rsid w:val="12792C31"/>
    <w:rsid w:val="12797460"/>
    <w:rsid w:val="127C2342"/>
    <w:rsid w:val="12800C1B"/>
    <w:rsid w:val="128382B8"/>
    <w:rsid w:val="12852A93"/>
    <w:rsid w:val="128997BA"/>
    <w:rsid w:val="1289F43E"/>
    <w:rsid w:val="128A4B62"/>
    <w:rsid w:val="128DFCB0"/>
    <w:rsid w:val="128E875B"/>
    <w:rsid w:val="128EB69E"/>
    <w:rsid w:val="128FC745"/>
    <w:rsid w:val="12902D60"/>
    <w:rsid w:val="1292CC03"/>
    <w:rsid w:val="129534A2"/>
    <w:rsid w:val="129CB85D"/>
    <w:rsid w:val="129F61F3"/>
    <w:rsid w:val="12A13C14"/>
    <w:rsid w:val="12A3B5D8"/>
    <w:rsid w:val="12A42824"/>
    <w:rsid w:val="12A6BDA5"/>
    <w:rsid w:val="12A88743"/>
    <w:rsid w:val="12A8AC69"/>
    <w:rsid w:val="12AAE53B"/>
    <w:rsid w:val="12ADE508"/>
    <w:rsid w:val="12B017F3"/>
    <w:rsid w:val="12B0189B"/>
    <w:rsid w:val="12B2454B"/>
    <w:rsid w:val="12B3A7F2"/>
    <w:rsid w:val="12B44040"/>
    <w:rsid w:val="12B8D069"/>
    <w:rsid w:val="12B98366"/>
    <w:rsid w:val="12B9C8C2"/>
    <w:rsid w:val="12BA58D7"/>
    <w:rsid w:val="12BCE334"/>
    <w:rsid w:val="12BEC5BC"/>
    <w:rsid w:val="12BF8C67"/>
    <w:rsid w:val="12BFEDF0"/>
    <w:rsid w:val="12C3070C"/>
    <w:rsid w:val="12C44346"/>
    <w:rsid w:val="12C6073B"/>
    <w:rsid w:val="12C615A5"/>
    <w:rsid w:val="12C881E8"/>
    <w:rsid w:val="12CDEF98"/>
    <w:rsid w:val="12CE1D9F"/>
    <w:rsid w:val="12CE5707"/>
    <w:rsid w:val="12D20A5A"/>
    <w:rsid w:val="12D25AAE"/>
    <w:rsid w:val="12D32CD1"/>
    <w:rsid w:val="12D3832E"/>
    <w:rsid w:val="12D5493B"/>
    <w:rsid w:val="12D56702"/>
    <w:rsid w:val="12D9FB53"/>
    <w:rsid w:val="12E07249"/>
    <w:rsid w:val="12E0EFE0"/>
    <w:rsid w:val="12E244EE"/>
    <w:rsid w:val="12E649D1"/>
    <w:rsid w:val="12E659FC"/>
    <w:rsid w:val="12E6D7D3"/>
    <w:rsid w:val="12E80335"/>
    <w:rsid w:val="12E82681"/>
    <w:rsid w:val="12ECF597"/>
    <w:rsid w:val="12F0074B"/>
    <w:rsid w:val="12F0D1A7"/>
    <w:rsid w:val="12F21225"/>
    <w:rsid w:val="12F3E83A"/>
    <w:rsid w:val="12F657DD"/>
    <w:rsid w:val="12F84410"/>
    <w:rsid w:val="12F8DB0A"/>
    <w:rsid w:val="12F92D62"/>
    <w:rsid w:val="12FA7F7F"/>
    <w:rsid w:val="12FB2D33"/>
    <w:rsid w:val="12FD487A"/>
    <w:rsid w:val="12FE19D2"/>
    <w:rsid w:val="13021F68"/>
    <w:rsid w:val="13044F62"/>
    <w:rsid w:val="130876F8"/>
    <w:rsid w:val="130C6441"/>
    <w:rsid w:val="130D86B0"/>
    <w:rsid w:val="130E085F"/>
    <w:rsid w:val="130E463C"/>
    <w:rsid w:val="13124E01"/>
    <w:rsid w:val="1314E8C7"/>
    <w:rsid w:val="131592F3"/>
    <w:rsid w:val="1315D20F"/>
    <w:rsid w:val="13171469"/>
    <w:rsid w:val="131924D8"/>
    <w:rsid w:val="131D12D3"/>
    <w:rsid w:val="131DB8AB"/>
    <w:rsid w:val="131FFEBE"/>
    <w:rsid w:val="1322484B"/>
    <w:rsid w:val="13240177"/>
    <w:rsid w:val="1324574A"/>
    <w:rsid w:val="132536D3"/>
    <w:rsid w:val="1325B776"/>
    <w:rsid w:val="1326600F"/>
    <w:rsid w:val="1327727E"/>
    <w:rsid w:val="13290DB1"/>
    <w:rsid w:val="13293188"/>
    <w:rsid w:val="132958E6"/>
    <w:rsid w:val="13299092"/>
    <w:rsid w:val="132E075E"/>
    <w:rsid w:val="132EF246"/>
    <w:rsid w:val="132F87B9"/>
    <w:rsid w:val="13301D00"/>
    <w:rsid w:val="133185B2"/>
    <w:rsid w:val="13336FAB"/>
    <w:rsid w:val="13344F11"/>
    <w:rsid w:val="13351CEB"/>
    <w:rsid w:val="133B263A"/>
    <w:rsid w:val="13432E23"/>
    <w:rsid w:val="1346756A"/>
    <w:rsid w:val="13480FE6"/>
    <w:rsid w:val="13482FFF"/>
    <w:rsid w:val="13517CDF"/>
    <w:rsid w:val="1358BCC9"/>
    <w:rsid w:val="135A3759"/>
    <w:rsid w:val="135C1EAE"/>
    <w:rsid w:val="135C41B8"/>
    <w:rsid w:val="135C5195"/>
    <w:rsid w:val="135F96EF"/>
    <w:rsid w:val="135FE9AE"/>
    <w:rsid w:val="136142BF"/>
    <w:rsid w:val="13623CFF"/>
    <w:rsid w:val="13629A2F"/>
    <w:rsid w:val="136463B2"/>
    <w:rsid w:val="13668389"/>
    <w:rsid w:val="13674F5D"/>
    <w:rsid w:val="1367BD20"/>
    <w:rsid w:val="136EB938"/>
    <w:rsid w:val="13717E15"/>
    <w:rsid w:val="1375164F"/>
    <w:rsid w:val="137A5C14"/>
    <w:rsid w:val="137C9147"/>
    <w:rsid w:val="137FA018"/>
    <w:rsid w:val="13867027"/>
    <w:rsid w:val="1387147B"/>
    <w:rsid w:val="138F3238"/>
    <w:rsid w:val="13901E60"/>
    <w:rsid w:val="1390DE9B"/>
    <w:rsid w:val="1391F699"/>
    <w:rsid w:val="139350EE"/>
    <w:rsid w:val="13938483"/>
    <w:rsid w:val="1394B90B"/>
    <w:rsid w:val="1394FC1C"/>
    <w:rsid w:val="13951929"/>
    <w:rsid w:val="13961160"/>
    <w:rsid w:val="139A338F"/>
    <w:rsid w:val="139A5C10"/>
    <w:rsid w:val="139BF954"/>
    <w:rsid w:val="139D73DF"/>
    <w:rsid w:val="139FED22"/>
    <w:rsid w:val="13A0D137"/>
    <w:rsid w:val="13A0E61A"/>
    <w:rsid w:val="13A21364"/>
    <w:rsid w:val="13A3D2BA"/>
    <w:rsid w:val="13A41184"/>
    <w:rsid w:val="13A49FC0"/>
    <w:rsid w:val="13A5A5D4"/>
    <w:rsid w:val="13A7FD0E"/>
    <w:rsid w:val="13A88F06"/>
    <w:rsid w:val="13A99E1B"/>
    <w:rsid w:val="13A9B1F2"/>
    <w:rsid w:val="13AF550F"/>
    <w:rsid w:val="13B176BB"/>
    <w:rsid w:val="13B2670C"/>
    <w:rsid w:val="13B407E6"/>
    <w:rsid w:val="13B7E75B"/>
    <w:rsid w:val="13B8505F"/>
    <w:rsid w:val="13BABBA7"/>
    <w:rsid w:val="13BF3572"/>
    <w:rsid w:val="13C3E44C"/>
    <w:rsid w:val="13C7AE79"/>
    <w:rsid w:val="13CBEE5D"/>
    <w:rsid w:val="13CF224D"/>
    <w:rsid w:val="13D060FE"/>
    <w:rsid w:val="13D1400A"/>
    <w:rsid w:val="13D37501"/>
    <w:rsid w:val="13D3DF93"/>
    <w:rsid w:val="13D43A02"/>
    <w:rsid w:val="13D57A72"/>
    <w:rsid w:val="13D65F06"/>
    <w:rsid w:val="13D7217F"/>
    <w:rsid w:val="13DB242B"/>
    <w:rsid w:val="13DBC01F"/>
    <w:rsid w:val="13DDE60C"/>
    <w:rsid w:val="13DF500E"/>
    <w:rsid w:val="13E0709B"/>
    <w:rsid w:val="13E08D97"/>
    <w:rsid w:val="13E0C3A9"/>
    <w:rsid w:val="13E25E7F"/>
    <w:rsid w:val="13E34F7C"/>
    <w:rsid w:val="13E456E3"/>
    <w:rsid w:val="13E4EFEC"/>
    <w:rsid w:val="13E5C513"/>
    <w:rsid w:val="13E6390E"/>
    <w:rsid w:val="13E65C39"/>
    <w:rsid w:val="13E6AB01"/>
    <w:rsid w:val="13E6C939"/>
    <w:rsid w:val="13E8F864"/>
    <w:rsid w:val="13ED175B"/>
    <w:rsid w:val="13F55D9B"/>
    <w:rsid w:val="13FACA6E"/>
    <w:rsid w:val="13FBD3C1"/>
    <w:rsid w:val="13FCFB08"/>
    <w:rsid w:val="13FCFE3B"/>
    <w:rsid w:val="13FD4E58"/>
    <w:rsid w:val="13FDDB1E"/>
    <w:rsid w:val="13FEBC9C"/>
    <w:rsid w:val="14078824"/>
    <w:rsid w:val="1407CB3D"/>
    <w:rsid w:val="140A4CAB"/>
    <w:rsid w:val="140A52EE"/>
    <w:rsid w:val="140A9E2D"/>
    <w:rsid w:val="140AA915"/>
    <w:rsid w:val="140AC8A9"/>
    <w:rsid w:val="140CEF93"/>
    <w:rsid w:val="140D921B"/>
    <w:rsid w:val="140EBCBB"/>
    <w:rsid w:val="140FCC25"/>
    <w:rsid w:val="1410D54E"/>
    <w:rsid w:val="1417378C"/>
    <w:rsid w:val="1417D98F"/>
    <w:rsid w:val="141D0825"/>
    <w:rsid w:val="141DDCA5"/>
    <w:rsid w:val="141E5FFE"/>
    <w:rsid w:val="141EF1CE"/>
    <w:rsid w:val="14210D86"/>
    <w:rsid w:val="1421C059"/>
    <w:rsid w:val="14242190"/>
    <w:rsid w:val="1426A8FB"/>
    <w:rsid w:val="142A07F5"/>
    <w:rsid w:val="142AE23C"/>
    <w:rsid w:val="142AE7B7"/>
    <w:rsid w:val="142C0C4C"/>
    <w:rsid w:val="142E11F5"/>
    <w:rsid w:val="142FA53D"/>
    <w:rsid w:val="1434577E"/>
    <w:rsid w:val="1434A248"/>
    <w:rsid w:val="14363D5C"/>
    <w:rsid w:val="14371029"/>
    <w:rsid w:val="143780F9"/>
    <w:rsid w:val="143AA761"/>
    <w:rsid w:val="143CB0B5"/>
    <w:rsid w:val="143FC1CB"/>
    <w:rsid w:val="14412C21"/>
    <w:rsid w:val="1441DA15"/>
    <w:rsid w:val="144231C9"/>
    <w:rsid w:val="1443BC87"/>
    <w:rsid w:val="1444038C"/>
    <w:rsid w:val="144660AE"/>
    <w:rsid w:val="14472E6B"/>
    <w:rsid w:val="14486C88"/>
    <w:rsid w:val="144B8D91"/>
    <w:rsid w:val="144BF0C0"/>
    <w:rsid w:val="144D06D5"/>
    <w:rsid w:val="144F8319"/>
    <w:rsid w:val="14524B33"/>
    <w:rsid w:val="1452CE79"/>
    <w:rsid w:val="14551DCE"/>
    <w:rsid w:val="145780EC"/>
    <w:rsid w:val="145967F5"/>
    <w:rsid w:val="1459855C"/>
    <w:rsid w:val="145B18B2"/>
    <w:rsid w:val="1460473D"/>
    <w:rsid w:val="14633D90"/>
    <w:rsid w:val="14647720"/>
    <w:rsid w:val="146EA6FB"/>
    <w:rsid w:val="146F1EC9"/>
    <w:rsid w:val="1471C1FF"/>
    <w:rsid w:val="14748B65"/>
    <w:rsid w:val="1476650A"/>
    <w:rsid w:val="1476B649"/>
    <w:rsid w:val="1477653F"/>
    <w:rsid w:val="14789D41"/>
    <w:rsid w:val="147A73EB"/>
    <w:rsid w:val="147AE144"/>
    <w:rsid w:val="147B4885"/>
    <w:rsid w:val="147BB42E"/>
    <w:rsid w:val="147CF617"/>
    <w:rsid w:val="147E7246"/>
    <w:rsid w:val="147FDEB9"/>
    <w:rsid w:val="14801599"/>
    <w:rsid w:val="14807B19"/>
    <w:rsid w:val="148132A2"/>
    <w:rsid w:val="1486B8FA"/>
    <w:rsid w:val="14878E73"/>
    <w:rsid w:val="148A0D93"/>
    <w:rsid w:val="148C4DCC"/>
    <w:rsid w:val="14942527"/>
    <w:rsid w:val="14984922"/>
    <w:rsid w:val="1498CE81"/>
    <w:rsid w:val="1498D561"/>
    <w:rsid w:val="149C0ECE"/>
    <w:rsid w:val="149F0A27"/>
    <w:rsid w:val="14A239E1"/>
    <w:rsid w:val="14A29C57"/>
    <w:rsid w:val="14A34C3C"/>
    <w:rsid w:val="14A3DECA"/>
    <w:rsid w:val="14A6AB3B"/>
    <w:rsid w:val="14A8D92C"/>
    <w:rsid w:val="14AB9A12"/>
    <w:rsid w:val="14B02D49"/>
    <w:rsid w:val="14B3685E"/>
    <w:rsid w:val="14BCD043"/>
    <w:rsid w:val="14BDD8E5"/>
    <w:rsid w:val="14C0DDCD"/>
    <w:rsid w:val="14C18921"/>
    <w:rsid w:val="14CAE8BC"/>
    <w:rsid w:val="14CF7E96"/>
    <w:rsid w:val="14D2AD57"/>
    <w:rsid w:val="14D88785"/>
    <w:rsid w:val="14DA0ABF"/>
    <w:rsid w:val="14DA669B"/>
    <w:rsid w:val="14DAED90"/>
    <w:rsid w:val="14DF4096"/>
    <w:rsid w:val="14E022F9"/>
    <w:rsid w:val="14E0F1BB"/>
    <w:rsid w:val="14E1F4BD"/>
    <w:rsid w:val="14E66E56"/>
    <w:rsid w:val="14E72913"/>
    <w:rsid w:val="14E965C8"/>
    <w:rsid w:val="14EB3EB8"/>
    <w:rsid w:val="14EB8688"/>
    <w:rsid w:val="14F5A75A"/>
    <w:rsid w:val="14F6A7A0"/>
    <w:rsid w:val="14F96332"/>
    <w:rsid w:val="14FA90F4"/>
    <w:rsid w:val="14FAEA4D"/>
    <w:rsid w:val="14FE0438"/>
    <w:rsid w:val="14FE17DF"/>
    <w:rsid w:val="15014421"/>
    <w:rsid w:val="15036E04"/>
    <w:rsid w:val="15050535"/>
    <w:rsid w:val="15098E0B"/>
    <w:rsid w:val="150A5839"/>
    <w:rsid w:val="150B2AD4"/>
    <w:rsid w:val="150D6B6C"/>
    <w:rsid w:val="150D926B"/>
    <w:rsid w:val="151233C9"/>
    <w:rsid w:val="15158A9B"/>
    <w:rsid w:val="151785B8"/>
    <w:rsid w:val="15183AF7"/>
    <w:rsid w:val="1518B8D3"/>
    <w:rsid w:val="1519BA07"/>
    <w:rsid w:val="151C4157"/>
    <w:rsid w:val="151FB0CF"/>
    <w:rsid w:val="15244BA4"/>
    <w:rsid w:val="1524B049"/>
    <w:rsid w:val="15269CC5"/>
    <w:rsid w:val="15285056"/>
    <w:rsid w:val="152AD846"/>
    <w:rsid w:val="152C1CF0"/>
    <w:rsid w:val="152C2DF9"/>
    <w:rsid w:val="152D2D06"/>
    <w:rsid w:val="152E49AF"/>
    <w:rsid w:val="152E8EB0"/>
    <w:rsid w:val="15326705"/>
    <w:rsid w:val="1535FB33"/>
    <w:rsid w:val="153CB627"/>
    <w:rsid w:val="153FD790"/>
    <w:rsid w:val="15402BD5"/>
    <w:rsid w:val="15408F22"/>
    <w:rsid w:val="15419033"/>
    <w:rsid w:val="15430431"/>
    <w:rsid w:val="15436D76"/>
    <w:rsid w:val="1543ECCF"/>
    <w:rsid w:val="1544A78B"/>
    <w:rsid w:val="154759EE"/>
    <w:rsid w:val="15485586"/>
    <w:rsid w:val="15495970"/>
    <w:rsid w:val="154B8BD4"/>
    <w:rsid w:val="15508D8B"/>
    <w:rsid w:val="155231CA"/>
    <w:rsid w:val="15523F79"/>
    <w:rsid w:val="15553D7C"/>
    <w:rsid w:val="15560FEA"/>
    <w:rsid w:val="1558EACE"/>
    <w:rsid w:val="155B97B5"/>
    <w:rsid w:val="155BC8A6"/>
    <w:rsid w:val="155CFADC"/>
    <w:rsid w:val="155D2A22"/>
    <w:rsid w:val="156165D4"/>
    <w:rsid w:val="15655F32"/>
    <w:rsid w:val="1567ADC6"/>
    <w:rsid w:val="15698AAD"/>
    <w:rsid w:val="156A342A"/>
    <w:rsid w:val="156B1ADE"/>
    <w:rsid w:val="156DD67B"/>
    <w:rsid w:val="15702841"/>
    <w:rsid w:val="1571471D"/>
    <w:rsid w:val="15716D8D"/>
    <w:rsid w:val="15726260"/>
    <w:rsid w:val="1572DB97"/>
    <w:rsid w:val="157780D4"/>
    <w:rsid w:val="157A18F9"/>
    <w:rsid w:val="15854E93"/>
    <w:rsid w:val="1586AFDE"/>
    <w:rsid w:val="158B4767"/>
    <w:rsid w:val="159001D7"/>
    <w:rsid w:val="15901972"/>
    <w:rsid w:val="1590D7C5"/>
    <w:rsid w:val="1593D06E"/>
    <w:rsid w:val="15966121"/>
    <w:rsid w:val="15967160"/>
    <w:rsid w:val="159688B7"/>
    <w:rsid w:val="15968B20"/>
    <w:rsid w:val="159ACAE7"/>
    <w:rsid w:val="159F5895"/>
    <w:rsid w:val="15A03177"/>
    <w:rsid w:val="15A502B0"/>
    <w:rsid w:val="15A72EE1"/>
    <w:rsid w:val="15A7948D"/>
    <w:rsid w:val="15A8A8D7"/>
    <w:rsid w:val="15A94CA0"/>
    <w:rsid w:val="15AA4BFF"/>
    <w:rsid w:val="15AB1F14"/>
    <w:rsid w:val="15AB4B47"/>
    <w:rsid w:val="15ADE423"/>
    <w:rsid w:val="15B1DE2D"/>
    <w:rsid w:val="15B1EF3B"/>
    <w:rsid w:val="15B40DDC"/>
    <w:rsid w:val="15B49074"/>
    <w:rsid w:val="15B681A2"/>
    <w:rsid w:val="15B985F0"/>
    <w:rsid w:val="15BB45C1"/>
    <w:rsid w:val="15BC283F"/>
    <w:rsid w:val="15BF2280"/>
    <w:rsid w:val="15C04732"/>
    <w:rsid w:val="15C2AEBF"/>
    <w:rsid w:val="15C53A30"/>
    <w:rsid w:val="15C65E40"/>
    <w:rsid w:val="15CE91FC"/>
    <w:rsid w:val="15CF8823"/>
    <w:rsid w:val="15D0E512"/>
    <w:rsid w:val="15D27271"/>
    <w:rsid w:val="15D2EB77"/>
    <w:rsid w:val="15D3E64D"/>
    <w:rsid w:val="15D4EA31"/>
    <w:rsid w:val="15D5A098"/>
    <w:rsid w:val="15D84E94"/>
    <w:rsid w:val="15D881BE"/>
    <w:rsid w:val="15DAEABB"/>
    <w:rsid w:val="15DD6E38"/>
    <w:rsid w:val="15E13CA6"/>
    <w:rsid w:val="15E5100F"/>
    <w:rsid w:val="15E6649E"/>
    <w:rsid w:val="15E93856"/>
    <w:rsid w:val="15EBDB98"/>
    <w:rsid w:val="15ECE0E1"/>
    <w:rsid w:val="15F13D31"/>
    <w:rsid w:val="15F42085"/>
    <w:rsid w:val="15F687E3"/>
    <w:rsid w:val="15F84F26"/>
    <w:rsid w:val="15F93EF0"/>
    <w:rsid w:val="15FDCE63"/>
    <w:rsid w:val="15FF78E4"/>
    <w:rsid w:val="1602462D"/>
    <w:rsid w:val="1604792C"/>
    <w:rsid w:val="1604E1A6"/>
    <w:rsid w:val="1605906D"/>
    <w:rsid w:val="1605AC7A"/>
    <w:rsid w:val="1607753A"/>
    <w:rsid w:val="1607BB6B"/>
    <w:rsid w:val="1608225D"/>
    <w:rsid w:val="16094FEF"/>
    <w:rsid w:val="160ABCE9"/>
    <w:rsid w:val="160C1D3B"/>
    <w:rsid w:val="160C4D9E"/>
    <w:rsid w:val="160E7CDF"/>
    <w:rsid w:val="160F2607"/>
    <w:rsid w:val="160F47C0"/>
    <w:rsid w:val="16101AC0"/>
    <w:rsid w:val="16111486"/>
    <w:rsid w:val="161145CC"/>
    <w:rsid w:val="16134D8E"/>
    <w:rsid w:val="16149F8B"/>
    <w:rsid w:val="16152B1F"/>
    <w:rsid w:val="161D7D0B"/>
    <w:rsid w:val="161E0F78"/>
    <w:rsid w:val="161F1DB7"/>
    <w:rsid w:val="162150BE"/>
    <w:rsid w:val="16219AC6"/>
    <w:rsid w:val="162428CE"/>
    <w:rsid w:val="1625D297"/>
    <w:rsid w:val="1626FCF0"/>
    <w:rsid w:val="16274181"/>
    <w:rsid w:val="1628531E"/>
    <w:rsid w:val="162BF14F"/>
    <w:rsid w:val="162BF347"/>
    <w:rsid w:val="162E73B4"/>
    <w:rsid w:val="162EAD38"/>
    <w:rsid w:val="1630DBAF"/>
    <w:rsid w:val="16325CE0"/>
    <w:rsid w:val="163288FE"/>
    <w:rsid w:val="16366E3D"/>
    <w:rsid w:val="163885F2"/>
    <w:rsid w:val="163F86F2"/>
    <w:rsid w:val="16408867"/>
    <w:rsid w:val="164356C1"/>
    <w:rsid w:val="164463B5"/>
    <w:rsid w:val="1644CFD0"/>
    <w:rsid w:val="16465FE0"/>
    <w:rsid w:val="16468766"/>
    <w:rsid w:val="164B2B39"/>
    <w:rsid w:val="164BB538"/>
    <w:rsid w:val="164BCB42"/>
    <w:rsid w:val="164CD623"/>
    <w:rsid w:val="164D2606"/>
    <w:rsid w:val="164DF8BB"/>
    <w:rsid w:val="164E2F9B"/>
    <w:rsid w:val="164EC9DF"/>
    <w:rsid w:val="1650D6DC"/>
    <w:rsid w:val="16514AD0"/>
    <w:rsid w:val="16526B78"/>
    <w:rsid w:val="165309FC"/>
    <w:rsid w:val="16576775"/>
    <w:rsid w:val="165844FC"/>
    <w:rsid w:val="165A1AB8"/>
    <w:rsid w:val="165B83AD"/>
    <w:rsid w:val="165F1769"/>
    <w:rsid w:val="165F3B74"/>
    <w:rsid w:val="16619B95"/>
    <w:rsid w:val="16633BBD"/>
    <w:rsid w:val="1664C4BA"/>
    <w:rsid w:val="16656A21"/>
    <w:rsid w:val="1666837F"/>
    <w:rsid w:val="16692F98"/>
    <w:rsid w:val="166B4341"/>
    <w:rsid w:val="166CF9B7"/>
    <w:rsid w:val="166E60DB"/>
    <w:rsid w:val="166EE10D"/>
    <w:rsid w:val="1670264D"/>
    <w:rsid w:val="167080BD"/>
    <w:rsid w:val="167293AA"/>
    <w:rsid w:val="16729429"/>
    <w:rsid w:val="1675AE7F"/>
    <w:rsid w:val="16781971"/>
    <w:rsid w:val="167AD455"/>
    <w:rsid w:val="167F88B8"/>
    <w:rsid w:val="16841C35"/>
    <w:rsid w:val="1684737F"/>
    <w:rsid w:val="1684D57E"/>
    <w:rsid w:val="16854889"/>
    <w:rsid w:val="1685DC35"/>
    <w:rsid w:val="1686FD29"/>
    <w:rsid w:val="168802CE"/>
    <w:rsid w:val="168BCACC"/>
    <w:rsid w:val="168C02B8"/>
    <w:rsid w:val="168CF538"/>
    <w:rsid w:val="168F2AFC"/>
    <w:rsid w:val="168FAD9F"/>
    <w:rsid w:val="16937C6C"/>
    <w:rsid w:val="16951070"/>
    <w:rsid w:val="16958BBE"/>
    <w:rsid w:val="16960BC3"/>
    <w:rsid w:val="16974402"/>
    <w:rsid w:val="169892CD"/>
    <w:rsid w:val="1698BC6A"/>
    <w:rsid w:val="169BC65B"/>
    <w:rsid w:val="169DB162"/>
    <w:rsid w:val="169E2AE3"/>
    <w:rsid w:val="16A04D09"/>
    <w:rsid w:val="16A06DE4"/>
    <w:rsid w:val="16A0BC4A"/>
    <w:rsid w:val="16A13182"/>
    <w:rsid w:val="16A29114"/>
    <w:rsid w:val="16A3E2E6"/>
    <w:rsid w:val="16A58AB5"/>
    <w:rsid w:val="16A6433B"/>
    <w:rsid w:val="16A6C2D7"/>
    <w:rsid w:val="16A6CD0B"/>
    <w:rsid w:val="16A78192"/>
    <w:rsid w:val="16A81314"/>
    <w:rsid w:val="16AA3AAE"/>
    <w:rsid w:val="16ABDB26"/>
    <w:rsid w:val="16ABF662"/>
    <w:rsid w:val="16AD7AF8"/>
    <w:rsid w:val="16AF6607"/>
    <w:rsid w:val="16B3D894"/>
    <w:rsid w:val="16B7A1E9"/>
    <w:rsid w:val="16BAAAE8"/>
    <w:rsid w:val="16BC3BE5"/>
    <w:rsid w:val="16BCDE14"/>
    <w:rsid w:val="16C7E89D"/>
    <w:rsid w:val="16C9114D"/>
    <w:rsid w:val="16CA3F17"/>
    <w:rsid w:val="16CAB8FF"/>
    <w:rsid w:val="16CC68E3"/>
    <w:rsid w:val="16CDDAD0"/>
    <w:rsid w:val="16CE4B98"/>
    <w:rsid w:val="16D66E0C"/>
    <w:rsid w:val="16D9DE08"/>
    <w:rsid w:val="16DABE42"/>
    <w:rsid w:val="16E0951B"/>
    <w:rsid w:val="16E895E6"/>
    <w:rsid w:val="16ED106A"/>
    <w:rsid w:val="16EE24FA"/>
    <w:rsid w:val="16F0A696"/>
    <w:rsid w:val="16F1051E"/>
    <w:rsid w:val="16F265D7"/>
    <w:rsid w:val="16F53EDA"/>
    <w:rsid w:val="16FBFCDA"/>
    <w:rsid w:val="16FC77FE"/>
    <w:rsid w:val="16FCF79E"/>
    <w:rsid w:val="16FE2C98"/>
    <w:rsid w:val="16FF00B7"/>
    <w:rsid w:val="16FFE13D"/>
    <w:rsid w:val="170288D7"/>
    <w:rsid w:val="1704230A"/>
    <w:rsid w:val="170466E6"/>
    <w:rsid w:val="1704E4E4"/>
    <w:rsid w:val="170724AF"/>
    <w:rsid w:val="17081CE4"/>
    <w:rsid w:val="170AA57B"/>
    <w:rsid w:val="170AF95D"/>
    <w:rsid w:val="170B541A"/>
    <w:rsid w:val="170EB49C"/>
    <w:rsid w:val="170FEA94"/>
    <w:rsid w:val="171110AF"/>
    <w:rsid w:val="1711C6B8"/>
    <w:rsid w:val="1717648B"/>
    <w:rsid w:val="171811A3"/>
    <w:rsid w:val="171822AB"/>
    <w:rsid w:val="171906E7"/>
    <w:rsid w:val="171F38D1"/>
    <w:rsid w:val="171F5AB0"/>
    <w:rsid w:val="17247B5A"/>
    <w:rsid w:val="17285A4D"/>
    <w:rsid w:val="17297093"/>
    <w:rsid w:val="17297336"/>
    <w:rsid w:val="172AF201"/>
    <w:rsid w:val="172AF367"/>
    <w:rsid w:val="172B164D"/>
    <w:rsid w:val="172D9A43"/>
    <w:rsid w:val="17358025"/>
    <w:rsid w:val="1736E748"/>
    <w:rsid w:val="1737DAA7"/>
    <w:rsid w:val="173B803B"/>
    <w:rsid w:val="173C036D"/>
    <w:rsid w:val="173C8119"/>
    <w:rsid w:val="1745D246"/>
    <w:rsid w:val="1747F6E3"/>
    <w:rsid w:val="1749F117"/>
    <w:rsid w:val="174FB8F9"/>
    <w:rsid w:val="17540BF6"/>
    <w:rsid w:val="1756821F"/>
    <w:rsid w:val="1757E975"/>
    <w:rsid w:val="17584C96"/>
    <w:rsid w:val="175B3096"/>
    <w:rsid w:val="175CEC6C"/>
    <w:rsid w:val="175D6C6D"/>
    <w:rsid w:val="175DC226"/>
    <w:rsid w:val="1761E20F"/>
    <w:rsid w:val="1764B782"/>
    <w:rsid w:val="17652D78"/>
    <w:rsid w:val="176626B7"/>
    <w:rsid w:val="1767D0A7"/>
    <w:rsid w:val="17697A8C"/>
    <w:rsid w:val="17697C74"/>
    <w:rsid w:val="176A28FB"/>
    <w:rsid w:val="176BE177"/>
    <w:rsid w:val="176D1ED1"/>
    <w:rsid w:val="176D69CE"/>
    <w:rsid w:val="176F2EC8"/>
    <w:rsid w:val="1770D3BA"/>
    <w:rsid w:val="1770D4BD"/>
    <w:rsid w:val="177266D8"/>
    <w:rsid w:val="17731ACE"/>
    <w:rsid w:val="1775EE3D"/>
    <w:rsid w:val="177750EF"/>
    <w:rsid w:val="177A30BA"/>
    <w:rsid w:val="177CD766"/>
    <w:rsid w:val="177EB3AB"/>
    <w:rsid w:val="177F2EE7"/>
    <w:rsid w:val="1780E0FE"/>
    <w:rsid w:val="1781809E"/>
    <w:rsid w:val="1782E60C"/>
    <w:rsid w:val="1784B728"/>
    <w:rsid w:val="1785F84C"/>
    <w:rsid w:val="1785FEE2"/>
    <w:rsid w:val="1786332B"/>
    <w:rsid w:val="17869B4C"/>
    <w:rsid w:val="1790C747"/>
    <w:rsid w:val="1793AA85"/>
    <w:rsid w:val="1794BD4C"/>
    <w:rsid w:val="1794ED86"/>
    <w:rsid w:val="1795A639"/>
    <w:rsid w:val="1795CA69"/>
    <w:rsid w:val="17971BC0"/>
    <w:rsid w:val="179853C1"/>
    <w:rsid w:val="1799C906"/>
    <w:rsid w:val="179B5F66"/>
    <w:rsid w:val="179DC3EA"/>
    <w:rsid w:val="179E13DC"/>
    <w:rsid w:val="179F8AF0"/>
    <w:rsid w:val="17A0F41F"/>
    <w:rsid w:val="17A27E70"/>
    <w:rsid w:val="17A2854D"/>
    <w:rsid w:val="17A53C38"/>
    <w:rsid w:val="17A57E99"/>
    <w:rsid w:val="17A77126"/>
    <w:rsid w:val="17AAF279"/>
    <w:rsid w:val="17AD4856"/>
    <w:rsid w:val="17ADB850"/>
    <w:rsid w:val="17AF30F3"/>
    <w:rsid w:val="17AF4515"/>
    <w:rsid w:val="17B0442F"/>
    <w:rsid w:val="17B30D3C"/>
    <w:rsid w:val="17B499F7"/>
    <w:rsid w:val="17B51404"/>
    <w:rsid w:val="17B8AF7B"/>
    <w:rsid w:val="17BCA9E3"/>
    <w:rsid w:val="17BCDE1E"/>
    <w:rsid w:val="17C00A1D"/>
    <w:rsid w:val="17C3C338"/>
    <w:rsid w:val="17C422A7"/>
    <w:rsid w:val="17C49472"/>
    <w:rsid w:val="17C4F1D0"/>
    <w:rsid w:val="17C6D595"/>
    <w:rsid w:val="17C6E5DF"/>
    <w:rsid w:val="17CCC3A2"/>
    <w:rsid w:val="17D1E5FC"/>
    <w:rsid w:val="17D289B4"/>
    <w:rsid w:val="17D42490"/>
    <w:rsid w:val="17D6F87B"/>
    <w:rsid w:val="17D8C810"/>
    <w:rsid w:val="17D8E260"/>
    <w:rsid w:val="17DBA0B2"/>
    <w:rsid w:val="17DFE1A4"/>
    <w:rsid w:val="17E1E051"/>
    <w:rsid w:val="17E311B5"/>
    <w:rsid w:val="17E44421"/>
    <w:rsid w:val="17E44ABA"/>
    <w:rsid w:val="17E6507D"/>
    <w:rsid w:val="17E66BF0"/>
    <w:rsid w:val="17E68183"/>
    <w:rsid w:val="17E6D410"/>
    <w:rsid w:val="17E79EE2"/>
    <w:rsid w:val="17EB047E"/>
    <w:rsid w:val="17EF9E58"/>
    <w:rsid w:val="17F00FF6"/>
    <w:rsid w:val="17F08839"/>
    <w:rsid w:val="17F33E6F"/>
    <w:rsid w:val="17F465A1"/>
    <w:rsid w:val="17F4A0E5"/>
    <w:rsid w:val="17F5CEE9"/>
    <w:rsid w:val="17F6A9E8"/>
    <w:rsid w:val="17F7AFF3"/>
    <w:rsid w:val="17F95C40"/>
    <w:rsid w:val="17FBA241"/>
    <w:rsid w:val="17FEBB36"/>
    <w:rsid w:val="18001972"/>
    <w:rsid w:val="18030C4E"/>
    <w:rsid w:val="1807311B"/>
    <w:rsid w:val="1807B1CB"/>
    <w:rsid w:val="18090246"/>
    <w:rsid w:val="180990B2"/>
    <w:rsid w:val="180F8ECE"/>
    <w:rsid w:val="1811A040"/>
    <w:rsid w:val="1816CB89"/>
    <w:rsid w:val="18172983"/>
    <w:rsid w:val="181848C2"/>
    <w:rsid w:val="18184CB5"/>
    <w:rsid w:val="181BDBEC"/>
    <w:rsid w:val="181F2A1F"/>
    <w:rsid w:val="1820C998"/>
    <w:rsid w:val="1823C3FD"/>
    <w:rsid w:val="1824FED5"/>
    <w:rsid w:val="18269193"/>
    <w:rsid w:val="182754CF"/>
    <w:rsid w:val="1829BB49"/>
    <w:rsid w:val="182B61A3"/>
    <w:rsid w:val="182B72A8"/>
    <w:rsid w:val="182E2F5A"/>
    <w:rsid w:val="183540A5"/>
    <w:rsid w:val="1836F201"/>
    <w:rsid w:val="18370BF4"/>
    <w:rsid w:val="1837CDB8"/>
    <w:rsid w:val="183B3AEA"/>
    <w:rsid w:val="183C5DE3"/>
    <w:rsid w:val="183CB7A2"/>
    <w:rsid w:val="183EA429"/>
    <w:rsid w:val="183EDB5F"/>
    <w:rsid w:val="183F00D2"/>
    <w:rsid w:val="1840B41A"/>
    <w:rsid w:val="1842265A"/>
    <w:rsid w:val="1842A834"/>
    <w:rsid w:val="1843F4F7"/>
    <w:rsid w:val="18458814"/>
    <w:rsid w:val="1845B782"/>
    <w:rsid w:val="184B1E98"/>
    <w:rsid w:val="184B6EA3"/>
    <w:rsid w:val="184EB567"/>
    <w:rsid w:val="184EB96C"/>
    <w:rsid w:val="184F4CCD"/>
    <w:rsid w:val="184F4CFA"/>
    <w:rsid w:val="1852C963"/>
    <w:rsid w:val="18569670"/>
    <w:rsid w:val="18576849"/>
    <w:rsid w:val="185A453F"/>
    <w:rsid w:val="185BD0DA"/>
    <w:rsid w:val="185D0154"/>
    <w:rsid w:val="185FBAEB"/>
    <w:rsid w:val="186074B0"/>
    <w:rsid w:val="18608B2B"/>
    <w:rsid w:val="186316F0"/>
    <w:rsid w:val="18642F35"/>
    <w:rsid w:val="186455AE"/>
    <w:rsid w:val="1867CDCA"/>
    <w:rsid w:val="18690BD4"/>
    <w:rsid w:val="186DED91"/>
    <w:rsid w:val="186F5CD0"/>
    <w:rsid w:val="1872C58E"/>
    <w:rsid w:val="1874B7B9"/>
    <w:rsid w:val="1874CF9F"/>
    <w:rsid w:val="1877372B"/>
    <w:rsid w:val="187A38F9"/>
    <w:rsid w:val="187CDC5D"/>
    <w:rsid w:val="187E0AC0"/>
    <w:rsid w:val="18812895"/>
    <w:rsid w:val="188160DA"/>
    <w:rsid w:val="18884841"/>
    <w:rsid w:val="188999ED"/>
    <w:rsid w:val="188F95AB"/>
    <w:rsid w:val="18916BBA"/>
    <w:rsid w:val="1893F355"/>
    <w:rsid w:val="1897D745"/>
    <w:rsid w:val="189A6E87"/>
    <w:rsid w:val="189ED39C"/>
    <w:rsid w:val="18A07F37"/>
    <w:rsid w:val="18A0831E"/>
    <w:rsid w:val="18A211AD"/>
    <w:rsid w:val="18A2A0AD"/>
    <w:rsid w:val="18A79640"/>
    <w:rsid w:val="18A8FF2D"/>
    <w:rsid w:val="18A91985"/>
    <w:rsid w:val="18A9AEB5"/>
    <w:rsid w:val="18AACB62"/>
    <w:rsid w:val="18AD1FD6"/>
    <w:rsid w:val="18B02CC9"/>
    <w:rsid w:val="18B4265B"/>
    <w:rsid w:val="18B59967"/>
    <w:rsid w:val="18B8F331"/>
    <w:rsid w:val="18B9E474"/>
    <w:rsid w:val="18BF89DB"/>
    <w:rsid w:val="18C4258B"/>
    <w:rsid w:val="18C4C823"/>
    <w:rsid w:val="18C997DC"/>
    <w:rsid w:val="18CE68D9"/>
    <w:rsid w:val="18D27F5C"/>
    <w:rsid w:val="18D303E9"/>
    <w:rsid w:val="18D3B2B8"/>
    <w:rsid w:val="18D45C6B"/>
    <w:rsid w:val="18D58884"/>
    <w:rsid w:val="18D6AC6A"/>
    <w:rsid w:val="18D730B6"/>
    <w:rsid w:val="18DDE3C4"/>
    <w:rsid w:val="18E12A5F"/>
    <w:rsid w:val="18E3D15D"/>
    <w:rsid w:val="18E4542B"/>
    <w:rsid w:val="18EA7380"/>
    <w:rsid w:val="18EF8011"/>
    <w:rsid w:val="18F1D0D7"/>
    <w:rsid w:val="18F1FFED"/>
    <w:rsid w:val="18F6775A"/>
    <w:rsid w:val="18FBA8ED"/>
    <w:rsid w:val="18FE5E13"/>
    <w:rsid w:val="18FF3D01"/>
    <w:rsid w:val="19043818"/>
    <w:rsid w:val="1904BF46"/>
    <w:rsid w:val="190548C1"/>
    <w:rsid w:val="19071214"/>
    <w:rsid w:val="190797BC"/>
    <w:rsid w:val="19092B98"/>
    <w:rsid w:val="190BDAB2"/>
    <w:rsid w:val="1910C00F"/>
    <w:rsid w:val="19124775"/>
    <w:rsid w:val="19128C6B"/>
    <w:rsid w:val="19150EA3"/>
    <w:rsid w:val="19153158"/>
    <w:rsid w:val="19157E90"/>
    <w:rsid w:val="19178B85"/>
    <w:rsid w:val="191A19DA"/>
    <w:rsid w:val="191D7D71"/>
    <w:rsid w:val="191E8957"/>
    <w:rsid w:val="19205B29"/>
    <w:rsid w:val="19216C96"/>
    <w:rsid w:val="1923975B"/>
    <w:rsid w:val="1923F3F0"/>
    <w:rsid w:val="1925D7DB"/>
    <w:rsid w:val="1926696A"/>
    <w:rsid w:val="19276C56"/>
    <w:rsid w:val="192A22E8"/>
    <w:rsid w:val="192B695E"/>
    <w:rsid w:val="192EAF15"/>
    <w:rsid w:val="192F5F07"/>
    <w:rsid w:val="192FD3CF"/>
    <w:rsid w:val="1930E1EA"/>
    <w:rsid w:val="1933A950"/>
    <w:rsid w:val="1934190B"/>
    <w:rsid w:val="19344F72"/>
    <w:rsid w:val="193684CD"/>
    <w:rsid w:val="19369742"/>
    <w:rsid w:val="19375D2A"/>
    <w:rsid w:val="19383222"/>
    <w:rsid w:val="1938E228"/>
    <w:rsid w:val="193CD214"/>
    <w:rsid w:val="193E759E"/>
    <w:rsid w:val="193F1CC9"/>
    <w:rsid w:val="1941F23A"/>
    <w:rsid w:val="194B0F9C"/>
    <w:rsid w:val="194CB4C0"/>
    <w:rsid w:val="19507012"/>
    <w:rsid w:val="1950AF41"/>
    <w:rsid w:val="19582C01"/>
    <w:rsid w:val="195C0AE2"/>
    <w:rsid w:val="196281E4"/>
    <w:rsid w:val="19641999"/>
    <w:rsid w:val="1965DBD6"/>
    <w:rsid w:val="1966175D"/>
    <w:rsid w:val="1967DDBC"/>
    <w:rsid w:val="19682CBE"/>
    <w:rsid w:val="1968860D"/>
    <w:rsid w:val="196C8A95"/>
    <w:rsid w:val="196DDD8E"/>
    <w:rsid w:val="196E3E0D"/>
    <w:rsid w:val="196F89DE"/>
    <w:rsid w:val="197381CF"/>
    <w:rsid w:val="197AFB47"/>
    <w:rsid w:val="1980BC92"/>
    <w:rsid w:val="1980C5EB"/>
    <w:rsid w:val="198153F2"/>
    <w:rsid w:val="1982536F"/>
    <w:rsid w:val="1982896F"/>
    <w:rsid w:val="1986F8BF"/>
    <w:rsid w:val="198AA70C"/>
    <w:rsid w:val="198AAED6"/>
    <w:rsid w:val="198B7BBB"/>
    <w:rsid w:val="198F1F75"/>
    <w:rsid w:val="198FC0BD"/>
    <w:rsid w:val="1994D24F"/>
    <w:rsid w:val="19963552"/>
    <w:rsid w:val="199666E6"/>
    <w:rsid w:val="19986C05"/>
    <w:rsid w:val="1998A13A"/>
    <w:rsid w:val="1999DDD7"/>
    <w:rsid w:val="199A1359"/>
    <w:rsid w:val="199A2984"/>
    <w:rsid w:val="199D7594"/>
    <w:rsid w:val="199DCED6"/>
    <w:rsid w:val="199F5ADC"/>
    <w:rsid w:val="199F6416"/>
    <w:rsid w:val="19A152C2"/>
    <w:rsid w:val="19A29A23"/>
    <w:rsid w:val="19A4A29B"/>
    <w:rsid w:val="19A61C58"/>
    <w:rsid w:val="19A63139"/>
    <w:rsid w:val="19A8A0F9"/>
    <w:rsid w:val="19AB9A93"/>
    <w:rsid w:val="19AC3B6B"/>
    <w:rsid w:val="19AD5783"/>
    <w:rsid w:val="19B4156C"/>
    <w:rsid w:val="19BEEA60"/>
    <w:rsid w:val="19C10A36"/>
    <w:rsid w:val="19C1F5D7"/>
    <w:rsid w:val="19C34A83"/>
    <w:rsid w:val="19C48553"/>
    <w:rsid w:val="19C5C519"/>
    <w:rsid w:val="19C6ECF7"/>
    <w:rsid w:val="19C8ACC7"/>
    <w:rsid w:val="19C8C82C"/>
    <w:rsid w:val="19C9029D"/>
    <w:rsid w:val="19CA0A62"/>
    <w:rsid w:val="19CB10EE"/>
    <w:rsid w:val="19CB6F09"/>
    <w:rsid w:val="19CB703C"/>
    <w:rsid w:val="19D06EDF"/>
    <w:rsid w:val="19D07F44"/>
    <w:rsid w:val="19D204B9"/>
    <w:rsid w:val="19D33922"/>
    <w:rsid w:val="19D409DD"/>
    <w:rsid w:val="19D4F495"/>
    <w:rsid w:val="19D726C1"/>
    <w:rsid w:val="19DDDDFA"/>
    <w:rsid w:val="19E1F5FD"/>
    <w:rsid w:val="19E28D1E"/>
    <w:rsid w:val="19E56C00"/>
    <w:rsid w:val="19EC6143"/>
    <w:rsid w:val="19EF2FAB"/>
    <w:rsid w:val="19F1DE34"/>
    <w:rsid w:val="19F2BCEE"/>
    <w:rsid w:val="19F7BE07"/>
    <w:rsid w:val="19F7C3F8"/>
    <w:rsid w:val="19FA5A8F"/>
    <w:rsid w:val="19FB77A2"/>
    <w:rsid w:val="19FC4721"/>
    <w:rsid w:val="19FC8FDB"/>
    <w:rsid w:val="1A009462"/>
    <w:rsid w:val="1A0189CA"/>
    <w:rsid w:val="1A027326"/>
    <w:rsid w:val="1A04E9BB"/>
    <w:rsid w:val="1A05D9A3"/>
    <w:rsid w:val="1A05E592"/>
    <w:rsid w:val="1A06F72C"/>
    <w:rsid w:val="1A0781EA"/>
    <w:rsid w:val="1A09307C"/>
    <w:rsid w:val="1A0B021E"/>
    <w:rsid w:val="1A105DC9"/>
    <w:rsid w:val="1A112749"/>
    <w:rsid w:val="1A139CBC"/>
    <w:rsid w:val="1A141FFF"/>
    <w:rsid w:val="1A1593E9"/>
    <w:rsid w:val="1A15A72D"/>
    <w:rsid w:val="1A1BBAE5"/>
    <w:rsid w:val="1A1C878D"/>
    <w:rsid w:val="1A1D2029"/>
    <w:rsid w:val="1A1F3544"/>
    <w:rsid w:val="1A22F645"/>
    <w:rsid w:val="1A24C026"/>
    <w:rsid w:val="1A2634AE"/>
    <w:rsid w:val="1A26E270"/>
    <w:rsid w:val="1A274F90"/>
    <w:rsid w:val="1A2AF375"/>
    <w:rsid w:val="1A2C071F"/>
    <w:rsid w:val="1A2C82DE"/>
    <w:rsid w:val="1A2D1790"/>
    <w:rsid w:val="1A2DE4F7"/>
    <w:rsid w:val="1A2EE504"/>
    <w:rsid w:val="1A2FE6CD"/>
    <w:rsid w:val="1A334D08"/>
    <w:rsid w:val="1A346AA2"/>
    <w:rsid w:val="1A35D46C"/>
    <w:rsid w:val="1A37B0F8"/>
    <w:rsid w:val="1A3B1B18"/>
    <w:rsid w:val="1A3DC826"/>
    <w:rsid w:val="1A3F9520"/>
    <w:rsid w:val="1A3FD6E8"/>
    <w:rsid w:val="1A3FE263"/>
    <w:rsid w:val="1A40FA5B"/>
    <w:rsid w:val="1A436B38"/>
    <w:rsid w:val="1A478326"/>
    <w:rsid w:val="1A482F23"/>
    <w:rsid w:val="1A49227B"/>
    <w:rsid w:val="1A4B9E9A"/>
    <w:rsid w:val="1A4EAC05"/>
    <w:rsid w:val="1A50648D"/>
    <w:rsid w:val="1A5236FA"/>
    <w:rsid w:val="1A53946D"/>
    <w:rsid w:val="1A55A112"/>
    <w:rsid w:val="1A570B0D"/>
    <w:rsid w:val="1A576816"/>
    <w:rsid w:val="1A581C4E"/>
    <w:rsid w:val="1A588A22"/>
    <w:rsid w:val="1A5994A1"/>
    <w:rsid w:val="1A5CF99B"/>
    <w:rsid w:val="1A6250F1"/>
    <w:rsid w:val="1A675148"/>
    <w:rsid w:val="1A688DB0"/>
    <w:rsid w:val="1A6C3BE6"/>
    <w:rsid w:val="1A76E51E"/>
    <w:rsid w:val="1A7818A5"/>
    <w:rsid w:val="1A7AC2A1"/>
    <w:rsid w:val="1A7C163F"/>
    <w:rsid w:val="1A7C74D5"/>
    <w:rsid w:val="1A7D67FE"/>
    <w:rsid w:val="1A8149F6"/>
    <w:rsid w:val="1A821122"/>
    <w:rsid w:val="1A846163"/>
    <w:rsid w:val="1A85A05C"/>
    <w:rsid w:val="1A870423"/>
    <w:rsid w:val="1A87BB16"/>
    <w:rsid w:val="1A8A4C9B"/>
    <w:rsid w:val="1A8A8740"/>
    <w:rsid w:val="1A8D84BC"/>
    <w:rsid w:val="1A8E5A61"/>
    <w:rsid w:val="1A955AD2"/>
    <w:rsid w:val="1A962425"/>
    <w:rsid w:val="1A9877ED"/>
    <w:rsid w:val="1A9B8D38"/>
    <w:rsid w:val="1A9C45EF"/>
    <w:rsid w:val="1A9D5914"/>
    <w:rsid w:val="1AA03FF0"/>
    <w:rsid w:val="1AA0F095"/>
    <w:rsid w:val="1AA19F60"/>
    <w:rsid w:val="1AA2703D"/>
    <w:rsid w:val="1AA33E12"/>
    <w:rsid w:val="1AA3F751"/>
    <w:rsid w:val="1AA441E0"/>
    <w:rsid w:val="1AA8E6AE"/>
    <w:rsid w:val="1AAB7CCF"/>
    <w:rsid w:val="1AAC644B"/>
    <w:rsid w:val="1AAD82C6"/>
    <w:rsid w:val="1AAD86C3"/>
    <w:rsid w:val="1AB12F50"/>
    <w:rsid w:val="1AB30290"/>
    <w:rsid w:val="1AB45453"/>
    <w:rsid w:val="1AB5B19C"/>
    <w:rsid w:val="1AB647AE"/>
    <w:rsid w:val="1AB8364B"/>
    <w:rsid w:val="1ABE9073"/>
    <w:rsid w:val="1ABFA15B"/>
    <w:rsid w:val="1AC44DAA"/>
    <w:rsid w:val="1AC6C0FD"/>
    <w:rsid w:val="1ACADE39"/>
    <w:rsid w:val="1ACB9543"/>
    <w:rsid w:val="1ACD38D7"/>
    <w:rsid w:val="1ACD56FA"/>
    <w:rsid w:val="1AD253DD"/>
    <w:rsid w:val="1AD837E8"/>
    <w:rsid w:val="1ADD65E4"/>
    <w:rsid w:val="1ADEC5D8"/>
    <w:rsid w:val="1AE03E8A"/>
    <w:rsid w:val="1AE07A88"/>
    <w:rsid w:val="1AE15E66"/>
    <w:rsid w:val="1AE1750D"/>
    <w:rsid w:val="1AE2C524"/>
    <w:rsid w:val="1AE47E3B"/>
    <w:rsid w:val="1AEA10B2"/>
    <w:rsid w:val="1AEAE4BF"/>
    <w:rsid w:val="1AEB9458"/>
    <w:rsid w:val="1AF0ABB5"/>
    <w:rsid w:val="1AF56BC8"/>
    <w:rsid w:val="1AF93041"/>
    <w:rsid w:val="1AFAABE5"/>
    <w:rsid w:val="1AFC0C96"/>
    <w:rsid w:val="1AFFB3BF"/>
    <w:rsid w:val="1B009178"/>
    <w:rsid w:val="1B07ADAE"/>
    <w:rsid w:val="1B093077"/>
    <w:rsid w:val="1B0B1F29"/>
    <w:rsid w:val="1B0C0EA6"/>
    <w:rsid w:val="1B1005FE"/>
    <w:rsid w:val="1B112AAD"/>
    <w:rsid w:val="1B11ED78"/>
    <w:rsid w:val="1B14279C"/>
    <w:rsid w:val="1B1522D1"/>
    <w:rsid w:val="1B17275B"/>
    <w:rsid w:val="1B1903B4"/>
    <w:rsid w:val="1B1A4002"/>
    <w:rsid w:val="1B1C5952"/>
    <w:rsid w:val="1B1E044C"/>
    <w:rsid w:val="1B1F793C"/>
    <w:rsid w:val="1B26C701"/>
    <w:rsid w:val="1B2A9FE3"/>
    <w:rsid w:val="1B2CA49D"/>
    <w:rsid w:val="1B2E3A4A"/>
    <w:rsid w:val="1B2E57B7"/>
    <w:rsid w:val="1B2FC833"/>
    <w:rsid w:val="1B2FF02B"/>
    <w:rsid w:val="1B30D7EE"/>
    <w:rsid w:val="1B37D99B"/>
    <w:rsid w:val="1B3809BD"/>
    <w:rsid w:val="1B39B5E6"/>
    <w:rsid w:val="1B3DAC50"/>
    <w:rsid w:val="1B3E25D8"/>
    <w:rsid w:val="1B418B4C"/>
    <w:rsid w:val="1B41A458"/>
    <w:rsid w:val="1B42E55B"/>
    <w:rsid w:val="1B430495"/>
    <w:rsid w:val="1B43B2E1"/>
    <w:rsid w:val="1B4514F3"/>
    <w:rsid w:val="1B456868"/>
    <w:rsid w:val="1B471072"/>
    <w:rsid w:val="1B471547"/>
    <w:rsid w:val="1B47A859"/>
    <w:rsid w:val="1B47CFFC"/>
    <w:rsid w:val="1B497569"/>
    <w:rsid w:val="1B4A13E7"/>
    <w:rsid w:val="1B4D0C4C"/>
    <w:rsid w:val="1B4DA987"/>
    <w:rsid w:val="1B53440D"/>
    <w:rsid w:val="1B53F2F0"/>
    <w:rsid w:val="1B54168A"/>
    <w:rsid w:val="1B546CB8"/>
    <w:rsid w:val="1B5A8AC0"/>
    <w:rsid w:val="1B5AB3D6"/>
    <w:rsid w:val="1B5B7F6F"/>
    <w:rsid w:val="1B5BA7BE"/>
    <w:rsid w:val="1B5E6BB0"/>
    <w:rsid w:val="1B61979F"/>
    <w:rsid w:val="1B6297B1"/>
    <w:rsid w:val="1B62C3A8"/>
    <w:rsid w:val="1B634EBD"/>
    <w:rsid w:val="1B6A4DD7"/>
    <w:rsid w:val="1B6C1E16"/>
    <w:rsid w:val="1B6C28D0"/>
    <w:rsid w:val="1B6CEC98"/>
    <w:rsid w:val="1B710009"/>
    <w:rsid w:val="1B713E49"/>
    <w:rsid w:val="1B7365CA"/>
    <w:rsid w:val="1B7551D5"/>
    <w:rsid w:val="1B77DEE8"/>
    <w:rsid w:val="1B77EDE4"/>
    <w:rsid w:val="1B79E1E5"/>
    <w:rsid w:val="1B7B087C"/>
    <w:rsid w:val="1B7C7CEF"/>
    <w:rsid w:val="1B7CAE49"/>
    <w:rsid w:val="1B822FAF"/>
    <w:rsid w:val="1B83782A"/>
    <w:rsid w:val="1B87466E"/>
    <w:rsid w:val="1B879396"/>
    <w:rsid w:val="1B8847EF"/>
    <w:rsid w:val="1B8859E6"/>
    <w:rsid w:val="1B8B4537"/>
    <w:rsid w:val="1B8D65A9"/>
    <w:rsid w:val="1B8E04F4"/>
    <w:rsid w:val="1B8E94AF"/>
    <w:rsid w:val="1B909B81"/>
    <w:rsid w:val="1B9230A2"/>
    <w:rsid w:val="1B965422"/>
    <w:rsid w:val="1B96BA6C"/>
    <w:rsid w:val="1B96D63B"/>
    <w:rsid w:val="1B98AABC"/>
    <w:rsid w:val="1B99285E"/>
    <w:rsid w:val="1B99E2DB"/>
    <w:rsid w:val="1B9FC085"/>
    <w:rsid w:val="1BA0640C"/>
    <w:rsid w:val="1BA0F702"/>
    <w:rsid w:val="1BA13042"/>
    <w:rsid w:val="1BA21AFA"/>
    <w:rsid w:val="1BA248DB"/>
    <w:rsid w:val="1BA25600"/>
    <w:rsid w:val="1BA3C586"/>
    <w:rsid w:val="1BA40AE7"/>
    <w:rsid w:val="1BA5C3A4"/>
    <w:rsid w:val="1BAE8BF4"/>
    <w:rsid w:val="1BAFE41C"/>
    <w:rsid w:val="1BB229C7"/>
    <w:rsid w:val="1BB390CD"/>
    <w:rsid w:val="1BB48BF3"/>
    <w:rsid w:val="1BB6EA97"/>
    <w:rsid w:val="1BB8BA7F"/>
    <w:rsid w:val="1BBA73B8"/>
    <w:rsid w:val="1BBB28FC"/>
    <w:rsid w:val="1BBBA3D6"/>
    <w:rsid w:val="1BC45464"/>
    <w:rsid w:val="1BC47D1C"/>
    <w:rsid w:val="1BC5751C"/>
    <w:rsid w:val="1BCAD0BB"/>
    <w:rsid w:val="1BCD9A4D"/>
    <w:rsid w:val="1BD6ED19"/>
    <w:rsid w:val="1BD7DB7A"/>
    <w:rsid w:val="1BD8AA6D"/>
    <w:rsid w:val="1BE1E3CA"/>
    <w:rsid w:val="1BE27FA5"/>
    <w:rsid w:val="1BE592EA"/>
    <w:rsid w:val="1BE6E2A4"/>
    <w:rsid w:val="1BE7788B"/>
    <w:rsid w:val="1BEC031F"/>
    <w:rsid w:val="1BEE196E"/>
    <w:rsid w:val="1BEFF80A"/>
    <w:rsid w:val="1BF0DAA5"/>
    <w:rsid w:val="1BF12F48"/>
    <w:rsid w:val="1BF2647E"/>
    <w:rsid w:val="1BF3940A"/>
    <w:rsid w:val="1BF4AD1B"/>
    <w:rsid w:val="1BF78C18"/>
    <w:rsid w:val="1BF8D107"/>
    <w:rsid w:val="1BFDB026"/>
    <w:rsid w:val="1BFDFE85"/>
    <w:rsid w:val="1C016E45"/>
    <w:rsid w:val="1C01D513"/>
    <w:rsid w:val="1C02260C"/>
    <w:rsid w:val="1C04433A"/>
    <w:rsid w:val="1C056FF2"/>
    <w:rsid w:val="1C06A58A"/>
    <w:rsid w:val="1C070367"/>
    <w:rsid w:val="1C0A5E1F"/>
    <w:rsid w:val="1C0A5EAD"/>
    <w:rsid w:val="1C0B3974"/>
    <w:rsid w:val="1C160FEC"/>
    <w:rsid w:val="1C1A9718"/>
    <w:rsid w:val="1C1E5B60"/>
    <w:rsid w:val="1C1FE916"/>
    <w:rsid w:val="1C255B59"/>
    <w:rsid w:val="1C25957C"/>
    <w:rsid w:val="1C25DD16"/>
    <w:rsid w:val="1C28BD9C"/>
    <w:rsid w:val="1C2AC189"/>
    <w:rsid w:val="1C2B6051"/>
    <w:rsid w:val="1C2BEE99"/>
    <w:rsid w:val="1C2F8CE4"/>
    <w:rsid w:val="1C301F6C"/>
    <w:rsid w:val="1C30FB56"/>
    <w:rsid w:val="1C32E66A"/>
    <w:rsid w:val="1C373B88"/>
    <w:rsid w:val="1C38A169"/>
    <w:rsid w:val="1C3912D5"/>
    <w:rsid w:val="1C3B8ACE"/>
    <w:rsid w:val="1C43B26F"/>
    <w:rsid w:val="1C45CADA"/>
    <w:rsid w:val="1C483965"/>
    <w:rsid w:val="1C4840E6"/>
    <w:rsid w:val="1C489B0E"/>
    <w:rsid w:val="1C48E684"/>
    <w:rsid w:val="1C4A6C31"/>
    <w:rsid w:val="1C4B918D"/>
    <w:rsid w:val="1C4D45B6"/>
    <w:rsid w:val="1C4F3C79"/>
    <w:rsid w:val="1C511825"/>
    <w:rsid w:val="1C51C53A"/>
    <w:rsid w:val="1C52DCF9"/>
    <w:rsid w:val="1C53799B"/>
    <w:rsid w:val="1C5A4873"/>
    <w:rsid w:val="1C5B5D20"/>
    <w:rsid w:val="1C5D25DE"/>
    <w:rsid w:val="1C5E9B52"/>
    <w:rsid w:val="1C5EA92D"/>
    <w:rsid w:val="1C5F9BBF"/>
    <w:rsid w:val="1C5FEBB8"/>
    <w:rsid w:val="1C617613"/>
    <w:rsid w:val="1C62C2A1"/>
    <w:rsid w:val="1C630737"/>
    <w:rsid w:val="1C6318A5"/>
    <w:rsid w:val="1C638EDC"/>
    <w:rsid w:val="1C65F82F"/>
    <w:rsid w:val="1C66151B"/>
    <w:rsid w:val="1C67DF91"/>
    <w:rsid w:val="1C683760"/>
    <w:rsid w:val="1C690AC6"/>
    <w:rsid w:val="1C6A26DD"/>
    <w:rsid w:val="1C6CFEC0"/>
    <w:rsid w:val="1C6E4F4A"/>
    <w:rsid w:val="1C71452D"/>
    <w:rsid w:val="1C7203B1"/>
    <w:rsid w:val="1C72F65D"/>
    <w:rsid w:val="1C735E6A"/>
    <w:rsid w:val="1C745ADC"/>
    <w:rsid w:val="1C75BD55"/>
    <w:rsid w:val="1C761B88"/>
    <w:rsid w:val="1C777B8C"/>
    <w:rsid w:val="1C79F347"/>
    <w:rsid w:val="1C7AEDD3"/>
    <w:rsid w:val="1C7B52CB"/>
    <w:rsid w:val="1C7B563F"/>
    <w:rsid w:val="1C7B975E"/>
    <w:rsid w:val="1C7CE43D"/>
    <w:rsid w:val="1C7E46F6"/>
    <w:rsid w:val="1C80E1C1"/>
    <w:rsid w:val="1C80F406"/>
    <w:rsid w:val="1C848B8A"/>
    <w:rsid w:val="1C84D7AA"/>
    <w:rsid w:val="1C89C26E"/>
    <w:rsid w:val="1C8AE2D5"/>
    <w:rsid w:val="1C8EE446"/>
    <w:rsid w:val="1C933178"/>
    <w:rsid w:val="1C936587"/>
    <w:rsid w:val="1C937113"/>
    <w:rsid w:val="1C943044"/>
    <w:rsid w:val="1C950D25"/>
    <w:rsid w:val="1C98B296"/>
    <w:rsid w:val="1C9EC28D"/>
    <w:rsid w:val="1CA00E8E"/>
    <w:rsid w:val="1CA252A0"/>
    <w:rsid w:val="1CA4EA02"/>
    <w:rsid w:val="1CA54A42"/>
    <w:rsid w:val="1CA71514"/>
    <w:rsid w:val="1CA84525"/>
    <w:rsid w:val="1CA8A6F7"/>
    <w:rsid w:val="1CAA528F"/>
    <w:rsid w:val="1CAA80BA"/>
    <w:rsid w:val="1CAE8636"/>
    <w:rsid w:val="1CAEA823"/>
    <w:rsid w:val="1CAFB839"/>
    <w:rsid w:val="1CB04356"/>
    <w:rsid w:val="1CB04E10"/>
    <w:rsid w:val="1CB167FB"/>
    <w:rsid w:val="1CB598BB"/>
    <w:rsid w:val="1CB783C4"/>
    <w:rsid w:val="1CB8B62E"/>
    <w:rsid w:val="1CBA57D8"/>
    <w:rsid w:val="1CBC1CE6"/>
    <w:rsid w:val="1CBD136F"/>
    <w:rsid w:val="1CC0A1C9"/>
    <w:rsid w:val="1CC35E95"/>
    <w:rsid w:val="1CC3F512"/>
    <w:rsid w:val="1CC4D0CA"/>
    <w:rsid w:val="1CCE0DC9"/>
    <w:rsid w:val="1CD24675"/>
    <w:rsid w:val="1CD297DA"/>
    <w:rsid w:val="1CD436D6"/>
    <w:rsid w:val="1CD57926"/>
    <w:rsid w:val="1CD5ADE1"/>
    <w:rsid w:val="1CD71513"/>
    <w:rsid w:val="1CD9A49A"/>
    <w:rsid w:val="1CDAAF7D"/>
    <w:rsid w:val="1CDBC730"/>
    <w:rsid w:val="1CE236D2"/>
    <w:rsid w:val="1CE27078"/>
    <w:rsid w:val="1CE49A3A"/>
    <w:rsid w:val="1CE5F374"/>
    <w:rsid w:val="1CE6AF0D"/>
    <w:rsid w:val="1CE8E467"/>
    <w:rsid w:val="1CEA98AE"/>
    <w:rsid w:val="1CEBE27B"/>
    <w:rsid w:val="1CEC389B"/>
    <w:rsid w:val="1CECA2E9"/>
    <w:rsid w:val="1CEDE614"/>
    <w:rsid w:val="1CF23395"/>
    <w:rsid w:val="1CF260C0"/>
    <w:rsid w:val="1CF41515"/>
    <w:rsid w:val="1CF47A6C"/>
    <w:rsid w:val="1CF6B1F8"/>
    <w:rsid w:val="1CF8B0B6"/>
    <w:rsid w:val="1CFB1892"/>
    <w:rsid w:val="1CFBFDC4"/>
    <w:rsid w:val="1D011666"/>
    <w:rsid w:val="1D038036"/>
    <w:rsid w:val="1D070CF5"/>
    <w:rsid w:val="1D0B758B"/>
    <w:rsid w:val="1D0BACC2"/>
    <w:rsid w:val="1D0EC54B"/>
    <w:rsid w:val="1D0F0231"/>
    <w:rsid w:val="1D10CFB5"/>
    <w:rsid w:val="1D15237E"/>
    <w:rsid w:val="1D159441"/>
    <w:rsid w:val="1D165321"/>
    <w:rsid w:val="1D1B63D3"/>
    <w:rsid w:val="1D1F8638"/>
    <w:rsid w:val="1D20601C"/>
    <w:rsid w:val="1D216719"/>
    <w:rsid w:val="1D239C9F"/>
    <w:rsid w:val="1D24B6C0"/>
    <w:rsid w:val="1D251EFA"/>
    <w:rsid w:val="1D2EB4D9"/>
    <w:rsid w:val="1D3123BE"/>
    <w:rsid w:val="1D315E6F"/>
    <w:rsid w:val="1D3220A0"/>
    <w:rsid w:val="1D3437F4"/>
    <w:rsid w:val="1D356E8C"/>
    <w:rsid w:val="1D357799"/>
    <w:rsid w:val="1D37A561"/>
    <w:rsid w:val="1D388174"/>
    <w:rsid w:val="1D38B5DD"/>
    <w:rsid w:val="1D39A234"/>
    <w:rsid w:val="1D3D527E"/>
    <w:rsid w:val="1D3DD8D5"/>
    <w:rsid w:val="1D3DDB8C"/>
    <w:rsid w:val="1D3F0FDC"/>
    <w:rsid w:val="1D4024A2"/>
    <w:rsid w:val="1D40BA4D"/>
    <w:rsid w:val="1D419255"/>
    <w:rsid w:val="1D434876"/>
    <w:rsid w:val="1D445BD9"/>
    <w:rsid w:val="1D45D359"/>
    <w:rsid w:val="1D4732D1"/>
    <w:rsid w:val="1D498CDD"/>
    <w:rsid w:val="1D49F7FC"/>
    <w:rsid w:val="1D4BBBE4"/>
    <w:rsid w:val="1D4CAD4A"/>
    <w:rsid w:val="1D4F54F0"/>
    <w:rsid w:val="1D505C66"/>
    <w:rsid w:val="1D5060F1"/>
    <w:rsid w:val="1D50C83B"/>
    <w:rsid w:val="1D5431D6"/>
    <w:rsid w:val="1D56B34D"/>
    <w:rsid w:val="1D57728D"/>
    <w:rsid w:val="1D5CE3F6"/>
    <w:rsid w:val="1D5E17F7"/>
    <w:rsid w:val="1D63BB5C"/>
    <w:rsid w:val="1D66A676"/>
    <w:rsid w:val="1D67491F"/>
    <w:rsid w:val="1D689BB7"/>
    <w:rsid w:val="1D69344E"/>
    <w:rsid w:val="1D6E77E1"/>
    <w:rsid w:val="1D6EE037"/>
    <w:rsid w:val="1D6F7A81"/>
    <w:rsid w:val="1D71C50C"/>
    <w:rsid w:val="1D7A7F6F"/>
    <w:rsid w:val="1D7D3528"/>
    <w:rsid w:val="1D8138E3"/>
    <w:rsid w:val="1D830906"/>
    <w:rsid w:val="1D8330F6"/>
    <w:rsid w:val="1D859DF6"/>
    <w:rsid w:val="1D8835F1"/>
    <w:rsid w:val="1D886F71"/>
    <w:rsid w:val="1D8AA810"/>
    <w:rsid w:val="1D8B2278"/>
    <w:rsid w:val="1D8C28A4"/>
    <w:rsid w:val="1D91AAB0"/>
    <w:rsid w:val="1D93BAD2"/>
    <w:rsid w:val="1D958F9D"/>
    <w:rsid w:val="1D97104B"/>
    <w:rsid w:val="1D9A7143"/>
    <w:rsid w:val="1D9B9DA2"/>
    <w:rsid w:val="1D9BCB39"/>
    <w:rsid w:val="1D9BE9A3"/>
    <w:rsid w:val="1D9C2D11"/>
    <w:rsid w:val="1D9E2CDA"/>
    <w:rsid w:val="1D9F7043"/>
    <w:rsid w:val="1DA33433"/>
    <w:rsid w:val="1DA42E93"/>
    <w:rsid w:val="1DA6C85E"/>
    <w:rsid w:val="1DA7D6FE"/>
    <w:rsid w:val="1DB01A08"/>
    <w:rsid w:val="1DB1C42C"/>
    <w:rsid w:val="1DB3C699"/>
    <w:rsid w:val="1DB58F71"/>
    <w:rsid w:val="1DB96E35"/>
    <w:rsid w:val="1DBA1A35"/>
    <w:rsid w:val="1DBB6956"/>
    <w:rsid w:val="1DBCC64C"/>
    <w:rsid w:val="1DC116D2"/>
    <w:rsid w:val="1DC16F86"/>
    <w:rsid w:val="1DC2B125"/>
    <w:rsid w:val="1DC42741"/>
    <w:rsid w:val="1DC59083"/>
    <w:rsid w:val="1DC5CC0B"/>
    <w:rsid w:val="1DC900F3"/>
    <w:rsid w:val="1DC983E3"/>
    <w:rsid w:val="1DCA7F71"/>
    <w:rsid w:val="1DCB6AB3"/>
    <w:rsid w:val="1DCC0227"/>
    <w:rsid w:val="1DCC79EC"/>
    <w:rsid w:val="1DCCF603"/>
    <w:rsid w:val="1DCE7C2D"/>
    <w:rsid w:val="1DD0C485"/>
    <w:rsid w:val="1DDA5EC5"/>
    <w:rsid w:val="1DDA634C"/>
    <w:rsid w:val="1DDBCF6A"/>
    <w:rsid w:val="1DDBD88F"/>
    <w:rsid w:val="1DDE579D"/>
    <w:rsid w:val="1DDE61B6"/>
    <w:rsid w:val="1DDEDDBE"/>
    <w:rsid w:val="1DE3DE48"/>
    <w:rsid w:val="1DE48985"/>
    <w:rsid w:val="1DE754A2"/>
    <w:rsid w:val="1DEB692C"/>
    <w:rsid w:val="1DEB6ABB"/>
    <w:rsid w:val="1DEDE2BA"/>
    <w:rsid w:val="1DEF3A33"/>
    <w:rsid w:val="1DEF8954"/>
    <w:rsid w:val="1DEFF7FE"/>
    <w:rsid w:val="1DF41FB8"/>
    <w:rsid w:val="1DF7CC90"/>
    <w:rsid w:val="1DFC325A"/>
    <w:rsid w:val="1DFC7DE7"/>
    <w:rsid w:val="1DFDD7B5"/>
    <w:rsid w:val="1E035A0E"/>
    <w:rsid w:val="1E04B23F"/>
    <w:rsid w:val="1E08C4D4"/>
    <w:rsid w:val="1E0D1908"/>
    <w:rsid w:val="1E0F46F1"/>
    <w:rsid w:val="1E101548"/>
    <w:rsid w:val="1E1161F6"/>
    <w:rsid w:val="1E11970F"/>
    <w:rsid w:val="1E1435BD"/>
    <w:rsid w:val="1E14DE88"/>
    <w:rsid w:val="1E15A514"/>
    <w:rsid w:val="1E169C1F"/>
    <w:rsid w:val="1E182DD2"/>
    <w:rsid w:val="1E1A86F8"/>
    <w:rsid w:val="1E1D5BD3"/>
    <w:rsid w:val="1E2330B2"/>
    <w:rsid w:val="1E23E9D9"/>
    <w:rsid w:val="1E24944A"/>
    <w:rsid w:val="1E254DC5"/>
    <w:rsid w:val="1E2562ED"/>
    <w:rsid w:val="1E28AA23"/>
    <w:rsid w:val="1E28D395"/>
    <w:rsid w:val="1E2C7600"/>
    <w:rsid w:val="1E2DBB0E"/>
    <w:rsid w:val="1E35FE7F"/>
    <w:rsid w:val="1E369454"/>
    <w:rsid w:val="1E36C648"/>
    <w:rsid w:val="1E38D7FC"/>
    <w:rsid w:val="1E3E387C"/>
    <w:rsid w:val="1E409BAC"/>
    <w:rsid w:val="1E468EC9"/>
    <w:rsid w:val="1E473132"/>
    <w:rsid w:val="1E473299"/>
    <w:rsid w:val="1E4800D0"/>
    <w:rsid w:val="1E488F8D"/>
    <w:rsid w:val="1E48F27B"/>
    <w:rsid w:val="1E4E335E"/>
    <w:rsid w:val="1E5089D7"/>
    <w:rsid w:val="1E50C264"/>
    <w:rsid w:val="1E51DAC0"/>
    <w:rsid w:val="1E579961"/>
    <w:rsid w:val="1E579F57"/>
    <w:rsid w:val="1E59622D"/>
    <w:rsid w:val="1E59EB20"/>
    <w:rsid w:val="1E5AEBC2"/>
    <w:rsid w:val="1E5C2939"/>
    <w:rsid w:val="1E5C323B"/>
    <w:rsid w:val="1E5D8B52"/>
    <w:rsid w:val="1E5E587E"/>
    <w:rsid w:val="1E5E6568"/>
    <w:rsid w:val="1E60A26C"/>
    <w:rsid w:val="1E60C16F"/>
    <w:rsid w:val="1E614BF3"/>
    <w:rsid w:val="1E61CEB4"/>
    <w:rsid w:val="1E64CC62"/>
    <w:rsid w:val="1E65DC9C"/>
    <w:rsid w:val="1E68AE37"/>
    <w:rsid w:val="1E6951B1"/>
    <w:rsid w:val="1E69E9AA"/>
    <w:rsid w:val="1E6CC000"/>
    <w:rsid w:val="1E6DE738"/>
    <w:rsid w:val="1E7632D5"/>
    <w:rsid w:val="1E7731B3"/>
    <w:rsid w:val="1E7A3075"/>
    <w:rsid w:val="1E7A4BF0"/>
    <w:rsid w:val="1E7B19B2"/>
    <w:rsid w:val="1E7E755C"/>
    <w:rsid w:val="1E808E9C"/>
    <w:rsid w:val="1E8577FB"/>
    <w:rsid w:val="1E8E1D39"/>
    <w:rsid w:val="1E8E905F"/>
    <w:rsid w:val="1E90E6DF"/>
    <w:rsid w:val="1E91D775"/>
    <w:rsid w:val="1E92CCEB"/>
    <w:rsid w:val="1E9BB006"/>
    <w:rsid w:val="1E9C2AD4"/>
    <w:rsid w:val="1E9F57EC"/>
    <w:rsid w:val="1E9F942D"/>
    <w:rsid w:val="1EA00686"/>
    <w:rsid w:val="1EA3AD55"/>
    <w:rsid w:val="1EA9B0B7"/>
    <w:rsid w:val="1EAA0108"/>
    <w:rsid w:val="1EAC8166"/>
    <w:rsid w:val="1EAF4267"/>
    <w:rsid w:val="1EAF4E3C"/>
    <w:rsid w:val="1EAFB5CB"/>
    <w:rsid w:val="1EAFB6B7"/>
    <w:rsid w:val="1EB315A4"/>
    <w:rsid w:val="1EB34C02"/>
    <w:rsid w:val="1EB62A11"/>
    <w:rsid w:val="1EBE55A6"/>
    <w:rsid w:val="1EBEE812"/>
    <w:rsid w:val="1EC1A36D"/>
    <w:rsid w:val="1EC1D32A"/>
    <w:rsid w:val="1EC9F27B"/>
    <w:rsid w:val="1ED08C83"/>
    <w:rsid w:val="1ED0D19D"/>
    <w:rsid w:val="1ED13F99"/>
    <w:rsid w:val="1ED15C4C"/>
    <w:rsid w:val="1ED3522D"/>
    <w:rsid w:val="1ED3EF57"/>
    <w:rsid w:val="1ED6003E"/>
    <w:rsid w:val="1ED872D7"/>
    <w:rsid w:val="1ED9284C"/>
    <w:rsid w:val="1EDBDF08"/>
    <w:rsid w:val="1EDCDE01"/>
    <w:rsid w:val="1EDFE1A7"/>
    <w:rsid w:val="1EE156EF"/>
    <w:rsid w:val="1EE2AD73"/>
    <w:rsid w:val="1EE40E0E"/>
    <w:rsid w:val="1EE426C3"/>
    <w:rsid w:val="1EE8EDFD"/>
    <w:rsid w:val="1EE9B0E4"/>
    <w:rsid w:val="1EEA26F2"/>
    <w:rsid w:val="1EEF792D"/>
    <w:rsid w:val="1EF1966E"/>
    <w:rsid w:val="1EF226B6"/>
    <w:rsid w:val="1EF4A683"/>
    <w:rsid w:val="1EF724F2"/>
    <w:rsid w:val="1EF82645"/>
    <w:rsid w:val="1EF96218"/>
    <w:rsid w:val="1EFB5E10"/>
    <w:rsid w:val="1EFD60D8"/>
    <w:rsid w:val="1EFF3050"/>
    <w:rsid w:val="1F02D957"/>
    <w:rsid w:val="1F05323A"/>
    <w:rsid w:val="1F055FB3"/>
    <w:rsid w:val="1F060F02"/>
    <w:rsid w:val="1F09967A"/>
    <w:rsid w:val="1F0C39BB"/>
    <w:rsid w:val="1F0E19D5"/>
    <w:rsid w:val="1F0F4B3B"/>
    <w:rsid w:val="1F106A0F"/>
    <w:rsid w:val="1F113C14"/>
    <w:rsid w:val="1F115DAF"/>
    <w:rsid w:val="1F13794C"/>
    <w:rsid w:val="1F1552B1"/>
    <w:rsid w:val="1F15FD6F"/>
    <w:rsid w:val="1F161317"/>
    <w:rsid w:val="1F1674CF"/>
    <w:rsid w:val="1F17C069"/>
    <w:rsid w:val="1F1A3B8E"/>
    <w:rsid w:val="1F1C8820"/>
    <w:rsid w:val="1F1D6847"/>
    <w:rsid w:val="1F1F56FA"/>
    <w:rsid w:val="1F1FA3C9"/>
    <w:rsid w:val="1F223CE5"/>
    <w:rsid w:val="1F23F10E"/>
    <w:rsid w:val="1F25586F"/>
    <w:rsid w:val="1F25E08A"/>
    <w:rsid w:val="1F2615D9"/>
    <w:rsid w:val="1F29E1B0"/>
    <w:rsid w:val="1F29F61A"/>
    <w:rsid w:val="1F2C3160"/>
    <w:rsid w:val="1F2D54DA"/>
    <w:rsid w:val="1F2D9E21"/>
    <w:rsid w:val="1F34AD78"/>
    <w:rsid w:val="1F35FE79"/>
    <w:rsid w:val="1F3700FD"/>
    <w:rsid w:val="1F38E85F"/>
    <w:rsid w:val="1F38FAA7"/>
    <w:rsid w:val="1F3945E5"/>
    <w:rsid w:val="1F3A0D94"/>
    <w:rsid w:val="1F3B3031"/>
    <w:rsid w:val="1F41FF5C"/>
    <w:rsid w:val="1F4267FC"/>
    <w:rsid w:val="1F4288A3"/>
    <w:rsid w:val="1F43E0F5"/>
    <w:rsid w:val="1F4669D2"/>
    <w:rsid w:val="1F469CEC"/>
    <w:rsid w:val="1F48C6EA"/>
    <w:rsid w:val="1F48EA27"/>
    <w:rsid w:val="1F491A62"/>
    <w:rsid w:val="1F4A335C"/>
    <w:rsid w:val="1F4B01C9"/>
    <w:rsid w:val="1F4D1257"/>
    <w:rsid w:val="1F4DE5B0"/>
    <w:rsid w:val="1F4F6988"/>
    <w:rsid w:val="1F513FBE"/>
    <w:rsid w:val="1F51FB8D"/>
    <w:rsid w:val="1F54617B"/>
    <w:rsid w:val="1F580A5B"/>
    <w:rsid w:val="1F599EB1"/>
    <w:rsid w:val="1F5A40BA"/>
    <w:rsid w:val="1F5C0135"/>
    <w:rsid w:val="1F5D8841"/>
    <w:rsid w:val="1F5E8173"/>
    <w:rsid w:val="1F5EAE4D"/>
    <w:rsid w:val="1F5ECDD3"/>
    <w:rsid w:val="1F5FDA8C"/>
    <w:rsid w:val="1F61017A"/>
    <w:rsid w:val="1F64A123"/>
    <w:rsid w:val="1F669508"/>
    <w:rsid w:val="1F6988B3"/>
    <w:rsid w:val="1F6A781F"/>
    <w:rsid w:val="1F6B507D"/>
    <w:rsid w:val="1F6C3145"/>
    <w:rsid w:val="1F6CD0DA"/>
    <w:rsid w:val="1F6F3D8C"/>
    <w:rsid w:val="1F6FEAC9"/>
    <w:rsid w:val="1F70DC1C"/>
    <w:rsid w:val="1F7290E7"/>
    <w:rsid w:val="1F746B30"/>
    <w:rsid w:val="1F762414"/>
    <w:rsid w:val="1F767E24"/>
    <w:rsid w:val="1F7AA74C"/>
    <w:rsid w:val="1F7B27D5"/>
    <w:rsid w:val="1F7BED8B"/>
    <w:rsid w:val="1F7CE798"/>
    <w:rsid w:val="1F7FA497"/>
    <w:rsid w:val="1F838937"/>
    <w:rsid w:val="1F841473"/>
    <w:rsid w:val="1F8580F7"/>
    <w:rsid w:val="1F8703AD"/>
    <w:rsid w:val="1F8850F9"/>
    <w:rsid w:val="1F89ACFB"/>
    <w:rsid w:val="1F945043"/>
    <w:rsid w:val="1F94A4C5"/>
    <w:rsid w:val="1F9912D4"/>
    <w:rsid w:val="1F991D48"/>
    <w:rsid w:val="1F99B48F"/>
    <w:rsid w:val="1F99FC78"/>
    <w:rsid w:val="1F9B2BAD"/>
    <w:rsid w:val="1F9B2E61"/>
    <w:rsid w:val="1F9E8FD4"/>
    <w:rsid w:val="1FA036FE"/>
    <w:rsid w:val="1FA1B3C1"/>
    <w:rsid w:val="1FA26276"/>
    <w:rsid w:val="1FA7FE2A"/>
    <w:rsid w:val="1FA8F632"/>
    <w:rsid w:val="1FABA23E"/>
    <w:rsid w:val="1FABAA5A"/>
    <w:rsid w:val="1FACEF56"/>
    <w:rsid w:val="1FAEB439"/>
    <w:rsid w:val="1FB09125"/>
    <w:rsid w:val="1FB0C080"/>
    <w:rsid w:val="1FB28A64"/>
    <w:rsid w:val="1FB4300C"/>
    <w:rsid w:val="1FB4783F"/>
    <w:rsid w:val="1FB5834D"/>
    <w:rsid w:val="1FB58675"/>
    <w:rsid w:val="1FB58F18"/>
    <w:rsid w:val="1FB632FA"/>
    <w:rsid w:val="1FB8ED81"/>
    <w:rsid w:val="1FBB1DAB"/>
    <w:rsid w:val="1FBC40C2"/>
    <w:rsid w:val="1FC19D13"/>
    <w:rsid w:val="1FC26102"/>
    <w:rsid w:val="1FC46FF6"/>
    <w:rsid w:val="1FC6A275"/>
    <w:rsid w:val="1FC700EF"/>
    <w:rsid w:val="1FC9BBB8"/>
    <w:rsid w:val="1FCA31D8"/>
    <w:rsid w:val="1FCABFC9"/>
    <w:rsid w:val="1FD1C642"/>
    <w:rsid w:val="1FD22350"/>
    <w:rsid w:val="1FD23F22"/>
    <w:rsid w:val="1FD39813"/>
    <w:rsid w:val="1FD4596E"/>
    <w:rsid w:val="1FD58779"/>
    <w:rsid w:val="1FD7FBC1"/>
    <w:rsid w:val="1FDA5350"/>
    <w:rsid w:val="1FDB50DC"/>
    <w:rsid w:val="1FDC055D"/>
    <w:rsid w:val="1FDE4436"/>
    <w:rsid w:val="1FE71730"/>
    <w:rsid w:val="1FEB36B3"/>
    <w:rsid w:val="1FEBB276"/>
    <w:rsid w:val="1FEEB111"/>
    <w:rsid w:val="1FF04D5C"/>
    <w:rsid w:val="1FF18F72"/>
    <w:rsid w:val="1FF238ED"/>
    <w:rsid w:val="1FF35103"/>
    <w:rsid w:val="1FF5F12D"/>
    <w:rsid w:val="1FF604E4"/>
    <w:rsid w:val="1FF63469"/>
    <w:rsid w:val="1FF7F840"/>
    <w:rsid w:val="1FF890AE"/>
    <w:rsid w:val="1FF89BE1"/>
    <w:rsid w:val="1FFC68A2"/>
    <w:rsid w:val="20032A76"/>
    <w:rsid w:val="200888BA"/>
    <w:rsid w:val="200C14C3"/>
    <w:rsid w:val="200CD95E"/>
    <w:rsid w:val="201152D4"/>
    <w:rsid w:val="2011FAC2"/>
    <w:rsid w:val="2012429C"/>
    <w:rsid w:val="20126B23"/>
    <w:rsid w:val="2013584D"/>
    <w:rsid w:val="2014168D"/>
    <w:rsid w:val="2016CB09"/>
    <w:rsid w:val="20179484"/>
    <w:rsid w:val="2018F80E"/>
    <w:rsid w:val="20198F79"/>
    <w:rsid w:val="201A68F7"/>
    <w:rsid w:val="201D5856"/>
    <w:rsid w:val="201EAFCF"/>
    <w:rsid w:val="201FA3F0"/>
    <w:rsid w:val="2020B64F"/>
    <w:rsid w:val="2020E565"/>
    <w:rsid w:val="20229252"/>
    <w:rsid w:val="202576F6"/>
    <w:rsid w:val="20262973"/>
    <w:rsid w:val="202B8B22"/>
    <w:rsid w:val="202C0806"/>
    <w:rsid w:val="202C53E6"/>
    <w:rsid w:val="202DCF34"/>
    <w:rsid w:val="20331AD7"/>
    <w:rsid w:val="20334ACE"/>
    <w:rsid w:val="2034AD66"/>
    <w:rsid w:val="203513C7"/>
    <w:rsid w:val="2037580E"/>
    <w:rsid w:val="203A3777"/>
    <w:rsid w:val="203A3FDA"/>
    <w:rsid w:val="203A5466"/>
    <w:rsid w:val="203EBCE5"/>
    <w:rsid w:val="2041C8AC"/>
    <w:rsid w:val="2043F980"/>
    <w:rsid w:val="20453194"/>
    <w:rsid w:val="2047907A"/>
    <w:rsid w:val="2048403E"/>
    <w:rsid w:val="204A4A92"/>
    <w:rsid w:val="204BEED7"/>
    <w:rsid w:val="20517065"/>
    <w:rsid w:val="20550824"/>
    <w:rsid w:val="20551E3F"/>
    <w:rsid w:val="2059E610"/>
    <w:rsid w:val="205A0080"/>
    <w:rsid w:val="205AF22B"/>
    <w:rsid w:val="205E1817"/>
    <w:rsid w:val="205F9E39"/>
    <w:rsid w:val="205FB947"/>
    <w:rsid w:val="20600DA1"/>
    <w:rsid w:val="2063A7FC"/>
    <w:rsid w:val="2067142A"/>
    <w:rsid w:val="206B7CA3"/>
    <w:rsid w:val="206D1257"/>
    <w:rsid w:val="2073955B"/>
    <w:rsid w:val="20749C91"/>
    <w:rsid w:val="2075680B"/>
    <w:rsid w:val="20762D3E"/>
    <w:rsid w:val="207A1C27"/>
    <w:rsid w:val="207D2531"/>
    <w:rsid w:val="207DC3B7"/>
    <w:rsid w:val="207DC759"/>
    <w:rsid w:val="207E6486"/>
    <w:rsid w:val="20857D13"/>
    <w:rsid w:val="2086DAE3"/>
    <w:rsid w:val="208780CB"/>
    <w:rsid w:val="208C42C8"/>
    <w:rsid w:val="208DC729"/>
    <w:rsid w:val="208EB369"/>
    <w:rsid w:val="2099AFF5"/>
    <w:rsid w:val="2099FE0D"/>
    <w:rsid w:val="209C8C4D"/>
    <w:rsid w:val="209D6DF4"/>
    <w:rsid w:val="209D889A"/>
    <w:rsid w:val="209E3719"/>
    <w:rsid w:val="209EC00D"/>
    <w:rsid w:val="20A1BB45"/>
    <w:rsid w:val="20A4236A"/>
    <w:rsid w:val="20A4B66D"/>
    <w:rsid w:val="20A51CB3"/>
    <w:rsid w:val="20A541CB"/>
    <w:rsid w:val="20A87D5F"/>
    <w:rsid w:val="20AAFDDB"/>
    <w:rsid w:val="20AB45FF"/>
    <w:rsid w:val="20B3D073"/>
    <w:rsid w:val="20B45011"/>
    <w:rsid w:val="20B5A835"/>
    <w:rsid w:val="20B5D627"/>
    <w:rsid w:val="20BEF97F"/>
    <w:rsid w:val="20C35C24"/>
    <w:rsid w:val="20C4A471"/>
    <w:rsid w:val="20C5D9DC"/>
    <w:rsid w:val="20C60AED"/>
    <w:rsid w:val="20C62285"/>
    <w:rsid w:val="20C8DD42"/>
    <w:rsid w:val="20CA54B0"/>
    <w:rsid w:val="20CAA288"/>
    <w:rsid w:val="20CD4015"/>
    <w:rsid w:val="20CDC952"/>
    <w:rsid w:val="20CDDC16"/>
    <w:rsid w:val="20CECD51"/>
    <w:rsid w:val="20CEF59F"/>
    <w:rsid w:val="20CFEF89"/>
    <w:rsid w:val="20D0F8EC"/>
    <w:rsid w:val="20D117E5"/>
    <w:rsid w:val="20D411FC"/>
    <w:rsid w:val="20D867D6"/>
    <w:rsid w:val="20DA33A0"/>
    <w:rsid w:val="20DD41CA"/>
    <w:rsid w:val="20DEE873"/>
    <w:rsid w:val="20E0A23D"/>
    <w:rsid w:val="20E11CC2"/>
    <w:rsid w:val="20E4E468"/>
    <w:rsid w:val="20E67118"/>
    <w:rsid w:val="20EA6E50"/>
    <w:rsid w:val="20EB2C48"/>
    <w:rsid w:val="20ECA3BB"/>
    <w:rsid w:val="20ED586A"/>
    <w:rsid w:val="20EE487B"/>
    <w:rsid w:val="20EF58FF"/>
    <w:rsid w:val="20F123C9"/>
    <w:rsid w:val="20F2D025"/>
    <w:rsid w:val="20F36B91"/>
    <w:rsid w:val="20F38A28"/>
    <w:rsid w:val="20F51F5F"/>
    <w:rsid w:val="20F5D50A"/>
    <w:rsid w:val="20F66D2E"/>
    <w:rsid w:val="20F6988C"/>
    <w:rsid w:val="20F74B93"/>
    <w:rsid w:val="20F96E76"/>
    <w:rsid w:val="20FA9A80"/>
    <w:rsid w:val="20FAB038"/>
    <w:rsid w:val="20FC12E0"/>
    <w:rsid w:val="20FE83FD"/>
    <w:rsid w:val="20FF2791"/>
    <w:rsid w:val="2102A4B6"/>
    <w:rsid w:val="2103FB66"/>
    <w:rsid w:val="2105DA07"/>
    <w:rsid w:val="2105E315"/>
    <w:rsid w:val="210627CC"/>
    <w:rsid w:val="2106DCBB"/>
    <w:rsid w:val="2107BBFA"/>
    <w:rsid w:val="21084965"/>
    <w:rsid w:val="210A36CB"/>
    <w:rsid w:val="210A6118"/>
    <w:rsid w:val="210B86E2"/>
    <w:rsid w:val="210CDFDE"/>
    <w:rsid w:val="210EDFD7"/>
    <w:rsid w:val="211044C9"/>
    <w:rsid w:val="2111697B"/>
    <w:rsid w:val="21162E45"/>
    <w:rsid w:val="2117F9E8"/>
    <w:rsid w:val="2117FFF5"/>
    <w:rsid w:val="211E24F1"/>
    <w:rsid w:val="211F161E"/>
    <w:rsid w:val="211F3047"/>
    <w:rsid w:val="211F625A"/>
    <w:rsid w:val="211F62BB"/>
    <w:rsid w:val="2120AEC5"/>
    <w:rsid w:val="2123E989"/>
    <w:rsid w:val="212D27D2"/>
    <w:rsid w:val="21301FEF"/>
    <w:rsid w:val="21306AD0"/>
    <w:rsid w:val="21322D6D"/>
    <w:rsid w:val="21349A2E"/>
    <w:rsid w:val="213759E4"/>
    <w:rsid w:val="213796F6"/>
    <w:rsid w:val="213C3E88"/>
    <w:rsid w:val="213D4A26"/>
    <w:rsid w:val="213DE2D2"/>
    <w:rsid w:val="213EEA1C"/>
    <w:rsid w:val="2141DD8B"/>
    <w:rsid w:val="21449147"/>
    <w:rsid w:val="2147EB71"/>
    <w:rsid w:val="2149689A"/>
    <w:rsid w:val="214B29FA"/>
    <w:rsid w:val="214D488F"/>
    <w:rsid w:val="214D51CF"/>
    <w:rsid w:val="214DD6A1"/>
    <w:rsid w:val="214E7551"/>
    <w:rsid w:val="2152F045"/>
    <w:rsid w:val="2154EF1F"/>
    <w:rsid w:val="21589DF1"/>
    <w:rsid w:val="21593968"/>
    <w:rsid w:val="215C7852"/>
    <w:rsid w:val="215F3BE3"/>
    <w:rsid w:val="21648AFA"/>
    <w:rsid w:val="2167680D"/>
    <w:rsid w:val="21682E3C"/>
    <w:rsid w:val="2168E63F"/>
    <w:rsid w:val="216A5646"/>
    <w:rsid w:val="216C065C"/>
    <w:rsid w:val="2172A0CC"/>
    <w:rsid w:val="2175F230"/>
    <w:rsid w:val="217A5567"/>
    <w:rsid w:val="217ADE08"/>
    <w:rsid w:val="217CB2AA"/>
    <w:rsid w:val="217F6008"/>
    <w:rsid w:val="21821ECC"/>
    <w:rsid w:val="21827919"/>
    <w:rsid w:val="21840F8D"/>
    <w:rsid w:val="21885419"/>
    <w:rsid w:val="21886B1E"/>
    <w:rsid w:val="218B6A15"/>
    <w:rsid w:val="218F7795"/>
    <w:rsid w:val="2190B43E"/>
    <w:rsid w:val="21970200"/>
    <w:rsid w:val="21A1952C"/>
    <w:rsid w:val="21A2B190"/>
    <w:rsid w:val="21A54A0F"/>
    <w:rsid w:val="21A781D1"/>
    <w:rsid w:val="21A79636"/>
    <w:rsid w:val="21A9F088"/>
    <w:rsid w:val="21AB4418"/>
    <w:rsid w:val="21AF3C16"/>
    <w:rsid w:val="21AFB9A8"/>
    <w:rsid w:val="21B3DDB2"/>
    <w:rsid w:val="21B6C65E"/>
    <w:rsid w:val="21B905E5"/>
    <w:rsid w:val="21B92FFA"/>
    <w:rsid w:val="21BA4FC4"/>
    <w:rsid w:val="21BA6B51"/>
    <w:rsid w:val="21BB2070"/>
    <w:rsid w:val="21BDC586"/>
    <w:rsid w:val="21C10C7A"/>
    <w:rsid w:val="21C32CA1"/>
    <w:rsid w:val="21C36610"/>
    <w:rsid w:val="21C4D7B9"/>
    <w:rsid w:val="21C62B8C"/>
    <w:rsid w:val="21C63119"/>
    <w:rsid w:val="21C93A17"/>
    <w:rsid w:val="21CA6246"/>
    <w:rsid w:val="21CA9D40"/>
    <w:rsid w:val="21CAE87E"/>
    <w:rsid w:val="21CB2D7E"/>
    <w:rsid w:val="21CCB257"/>
    <w:rsid w:val="21CF52AD"/>
    <w:rsid w:val="21CF9FCA"/>
    <w:rsid w:val="21CFB4D9"/>
    <w:rsid w:val="21D4DD7A"/>
    <w:rsid w:val="21D950D1"/>
    <w:rsid w:val="21D9CC42"/>
    <w:rsid w:val="21DE2438"/>
    <w:rsid w:val="21E03803"/>
    <w:rsid w:val="21E0D43A"/>
    <w:rsid w:val="21E3258A"/>
    <w:rsid w:val="21E3BC80"/>
    <w:rsid w:val="21E6E7F7"/>
    <w:rsid w:val="21EA5888"/>
    <w:rsid w:val="21EF63A0"/>
    <w:rsid w:val="21F0B11D"/>
    <w:rsid w:val="21F1A446"/>
    <w:rsid w:val="21F2C6AF"/>
    <w:rsid w:val="21F36ABC"/>
    <w:rsid w:val="21F5D530"/>
    <w:rsid w:val="21F6CDE0"/>
    <w:rsid w:val="21F72C6B"/>
    <w:rsid w:val="21F7E089"/>
    <w:rsid w:val="22011DB0"/>
    <w:rsid w:val="22034BAC"/>
    <w:rsid w:val="22057712"/>
    <w:rsid w:val="220F30BC"/>
    <w:rsid w:val="2212446D"/>
    <w:rsid w:val="2212E1E9"/>
    <w:rsid w:val="22159702"/>
    <w:rsid w:val="22187FB5"/>
    <w:rsid w:val="2219CFFD"/>
    <w:rsid w:val="2219E1F3"/>
    <w:rsid w:val="221B333B"/>
    <w:rsid w:val="221C32BB"/>
    <w:rsid w:val="221CAE6D"/>
    <w:rsid w:val="221DBFA0"/>
    <w:rsid w:val="221DFFF8"/>
    <w:rsid w:val="221F37FB"/>
    <w:rsid w:val="2223603C"/>
    <w:rsid w:val="22258824"/>
    <w:rsid w:val="222A7ABE"/>
    <w:rsid w:val="222BC226"/>
    <w:rsid w:val="222C8D42"/>
    <w:rsid w:val="222CA846"/>
    <w:rsid w:val="222D394F"/>
    <w:rsid w:val="223063CD"/>
    <w:rsid w:val="223397D6"/>
    <w:rsid w:val="223482A5"/>
    <w:rsid w:val="22365844"/>
    <w:rsid w:val="2237FACF"/>
    <w:rsid w:val="223C175A"/>
    <w:rsid w:val="223E5F1F"/>
    <w:rsid w:val="224019EC"/>
    <w:rsid w:val="2242BDFA"/>
    <w:rsid w:val="22430C0E"/>
    <w:rsid w:val="22461DC7"/>
    <w:rsid w:val="22483B96"/>
    <w:rsid w:val="224F1563"/>
    <w:rsid w:val="2252B5BE"/>
    <w:rsid w:val="2252F774"/>
    <w:rsid w:val="22534049"/>
    <w:rsid w:val="22536AC8"/>
    <w:rsid w:val="22539CF1"/>
    <w:rsid w:val="22579736"/>
    <w:rsid w:val="2258F5D1"/>
    <w:rsid w:val="22593CA5"/>
    <w:rsid w:val="225AC1AA"/>
    <w:rsid w:val="22609EF5"/>
    <w:rsid w:val="22673E41"/>
    <w:rsid w:val="22679832"/>
    <w:rsid w:val="226A53A9"/>
    <w:rsid w:val="226AFF40"/>
    <w:rsid w:val="2272E8E2"/>
    <w:rsid w:val="22744929"/>
    <w:rsid w:val="22752B9B"/>
    <w:rsid w:val="2275A41C"/>
    <w:rsid w:val="22770CE8"/>
    <w:rsid w:val="2279D109"/>
    <w:rsid w:val="227A3B59"/>
    <w:rsid w:val="227A7750"/>
    <w:rsid w:val="227DADE9"/>
    <w:rsid w:val="227DC72D"/>
    <w:rsid w:val="227E7A70"/>
    <w:rsid w:val="227EC939"/>
    <w:rsid w:val="227ECB18"/>
    <w:rsid w:val="228015D3"/>
    <w:rsid w:val="22842AF8"/>
    <w:rsid w:val="2285CE49"/>
    <w:rsid w:val="2285D4DB"/>
    <w:rsid w:val="22863A33"/>
    <w:rsid w:val="2286448A"/>
    <w:rsid w:val="2287ECCC"/>
    <w:rsid w:val="22880F68"/>
    <w:rsid w:val="2288D848"/>
    <w:rsid w:val="228AC7EA"/>
    <w:rsid w:val="228BCD74"/>
    <w:rsid w:val="228BD562"/>
    <w:rsid w:val="228D00F5"/>
    <w:rsid w:val="228DF7CF"/>
    <w:rsid w:val="2290B673"/>
    <w:rsid w:val="22947F6C"/>
    <w:rsid w:val="229D76DE"/>
    <w:rsid w:val="229DB031"/>
    <w:rsid w:val="229DC5AB"/>
    <w:rsid w:val="229E24A9"/>
    <w:rsid w:val="229FCA62"/>
    <w:rsid w:val="22A046B1"/>
    <w:rsid w:val="22A6612D"/>
    <w:rsid w:val="22A66F08"/>
    <w:rsid w:val="22A6F1E6"/>
    <w:rsid w:val="22A86F5D"/>
    <w:rsid w:val="22AC0AA9"/>
    <w:rsid w:val="22ACF105"/>
    <w:rsid w:val="22ADAF8F"/>
    <w:rsid w:val="22AFE153"/>
    <w:rsid w:val="22B1CF65"/>
    <w:rsid w:val="22B3F0FA"/>
    <w:rsid w:val="22B44CEB"/>
    <w:rsid w:val="22B5EF64"/>
    <w:rsid w:val="22B63422"/>
    <w:rsid w:val="22B9A993"/>
    <w:rsid w:val="22B9F4E6"/>
    <w:rsid w:val="22C08353"/>
    <w:rsid w:val="22C3F331"/>
    <w:rsid w:val="22C50774"/>
    <w:rsid w:val="22C6EDD0"/>
    <w:rsid w:val="22C85F32"/>
    <w:rsid w:val="22C97B3A"/>
    <w:rsid w:val="22D0261A"/>
    <w:rsid w:val="22D35DBE"/>
    <w:rsid w:val="22D3DEAE"/>
    <w:rsid w:val="22D97AF6"/>
    <w:rsid w:val="22DD106B"/>
    <w:rsid w:val="22DD237C"/>
    <w:rsid w:val="22DD632C"/>
    <w:rsid w:val="22DDDB5C"/>
    <w:rsid w:val="22DED7B9"/>
    <w:rsid w:val="22E14EFA"/>
    <w:rsid w:val="22E4B71C"/>
    <w:rsid w:val="22E633F1"/>
    <w:rsid w:val="22E74B20"/>
    <w:rsid w:val="22E77521"/>
    <w:rsid w:val="22E8F435"/>
    <w:rsid w:val="22E954EA"/>
    <w:rsid w:val="22E97EE1"/>
    <w:rsid w:val="22EB410D"/>
    <w:rsid w:val="22F2617A"/>
    <w:rsid w:val="22F391F1"/>
    <w:rsid w:val="22F58E86"/>
    <w:rsid w:val="22F67415"/>
    <w:rsid w:val="22F9E0BF"/>
    <w:rsid w:val="22FAA54A"/>
    <w:rsid w:val="2303CF64"/>
    <w:rsid w:val="23043DEF"/>
    <w:rsid w:val="23045114"/>
    <w:rsid w:val="2304CDC9"/>
    <w:rsid w:val="23059A9D"/>
    <w:rsid w:val="2307FF57"/>
    <w:rsid w:val="230B7DE4"/>
    <w:rsid w:val="23115144"/>
    <w:rsid w:val="23127B32"/>
    <w:rsid w:val="23156EB8"/>
    <w:rsid w:val="2316A8AE"/>
    <w:rsid w:val="231C9092"/>
    <w:rsid w:val="231E81FC"/>
    <w:rsid w:val="231F6507"/>
    <w:rsid w:val="2320C40E"/>
    <w:rsid w:val="232140A3"/>
    <w:rsid w:val="2323496F"/>
    <w:rsid w:val="2325D2E1"/>
    <w:rsid w:val="23267B8A"/>
    <w:rsid w:val="2327E841"/>
    <w:rsid w:val="23286044"/>
    <w:rsid w:val="2329553D"/>
    <w:rsid w:val="2329F3D7"/>
    <w:rsid w:val="232AD28F"/>
    <w:rsid w:val="232C491D"/>
    <w:rsid w:val="232E3816"/>
    <w:rsid w:val="232FB3DE"/>
    <w:rsid w:val="2332B98A"/>
    <w:rsid w:val="2333A8B8"/>
    <w:rsid w:val="23382B51"/>
    <w:rsid w:val="233D2C4E"/>
    <w:rsid w:val="233D7E9A"/>
    <w:rsid w:val="2341FC29"/>
    <w:rsid w:val="23421F6C"/>
    <w:rsid w:val="23423031"/>
    <w:rsid w:val="23440E83"/>
    <w:rsid w:val="2345A5BB"/>
    <w:rsid w:val="234A3636"/>
    <w:rsid w:val="234B7149"/>
    <w:rsid w:val="234EABC7"/>
    <w:rsid w:val="2350E216"/>
    <w:rsid w:val="2351667E"/>
    <w:rsid w:val="23540283"/>
    <w:rsid w:val="235A0419"/>
    <w:rsid w:val="23644B3C"/>
    <w:rsid w:val="23644B6C"/>
    <w:rsid w:val="2366A80C"/>
    <w:rsid w:val="2366B240"/>
    <w:rsid w:val="236BB310"/>
    <w:rsid w:val="236BD0C9"/>
    <w:rsid w:val="236E6BA3"/>
    <w:rsid w:val="236FD8C8"/>
    <w:rsid w:val="23720BBA"/>
    <w:rsid w:val="2377F1DB"/>
    <w:rsid w:val="2378D1CE"/>
    <w:rsid w:val="237B1C7A"/>
    <w:rsid w:val="237EC630"/>
    <w:rsid w:val="237F1FC9"/>
    <w:rsid w:val="238B938A"/>
    <w:rsid w:val="238B9ED9"/>
    <w:rsid w:val="238C266B"/>
    <w:rsid w:val="238CA288"/>
    <w:rsid w:val="238CC597"/>
    <w:rsid w:val="238D1AD1"/>
    <w:rsid w:val="238D53F9"/>
    <w:rsid w:val="238F0FF7"/>
    <w:rsid w:val="238F651D"/>
    <w:rsid w:val="23995C97"/>
    <w:rsid w:val="239BA11D"/>
    <w:rsid w:val="239D56D1"/>
    <w:rsid w:val="239F5E7D"/>
    <w:rsid w:val="23A067D7"/>
    <w:rsid w:val="23A0C122"/>
    <w:rsid w:val="23A2ED3F"/>
    <w:rsid w:val="23A34CB3"/>
    <w:rsid w:val="23A44CBA"/>
    <w:rsid w:val="23A57A8A"/>
    <w:rsid w:val="23A6C674"/>
    <w:rsid w:val="23A8D601"/>
    <w:rsid w:val="23AAE402"/>
    <w:rsid w:val="23ABEF56"/>
    <w:rsid w:val="23B4F195"/>
    <w:rsid w:val="23B83396"/>
    <w:rsid w:val="23B9AFE7"/>
    <w:rsid w:val="23BB951F"/>
    <w:rsid w:val="23BEE0F3"/>
    <w:rsid w:val="23C161C8"/>
    <w:rsid w:val="23C54F18"/>
    <w:rsid w:val="23C67E01"/>
    <w:rsid w:val="23C6E72E"/>
    <w:rsid w:val="23C76F4F"/>
    <w:rsid w:val="23C9B074"/>
    <w:rsid w:val="23CA55B5"/>
    <w:rsid w:val="23CA991B"/>
    <w:rsid w:val="23CEADBE"/>
    <w:rsid w:val="23CFE495"/>
    <w:rsid w:val="23D6FDE0"/>
    <w:rsid w:val="23D9D501"/>
    <w:rsid w:val="23DC60B3"/>
    <w:rsid w:val="23DCD3C7"/>
    <w:rsid w:val="23DEB568"/>
    <w:rsid w:val="23E1A3D9"/>
    <w:rsid w:val="23E54605"/>
    <w:rsid w:val="23E83C64"/>
    <w:rsid w:val="23E8A045"/>
    <w:rsid w:val="23EA051D"/>
    <w:rsid w:val="23ED2BCC"/>
    <w:rsid w:val="23EEC945"/>
    <w:rsid w:val="23EFFDF5"/>
    <w:rsid w:val="23F00175"/>
    <w:rsid w:val="23F190A3"/>
    <w:rsid w:val="23F19856"/>
    <w:rsid w:val="23F30111"/>
    <w:rsid w:val="23F7F3A7"/>
    <w:rsid w:val="23F8140D"/>
    <w:rsid w:val="23F9621A"/>
    <w:rsid w:val="23FA1097"/>
    <w:rsid w:val="23FB2241"/>
    <w:rsid w:val="24025F63"/>
    <w:rsid w:val="2402A2A0"/>
    <w:rsid w:val="2403ABC1"/>
    <w:rsid w:val="2403D53F"/>
    <w:rsid w:val="24090AE9"/>
    <w:rsid w:val="2409EB77"/>
    <w:rsid w:val="240C7B0E"/>
    <w:rsid w:val="240EDCA8"/>
    <w:rsid w:val="2410D773"/>
    <w:rsid w:val="24119AD7"/>
    <w:rsid w:val="24124CD2"/>
    <w:rsid w:val="24131E62"/>
    <w:rsid w:val="24136CDA"/>
    <w:rsid w:val="2414E210"/>
    <w:rsid w:val="24153B70"/>
    <w:rsid w:val="241800C3"/>
    <w:rsid w:val="241A6406"/>
    <w:rsid w:val="241CE680"/>
    <w:rsid w:val="241EA2C3"/>
    <w:rsid w:val="241F7092"/>
    <w:rsid w:val="2426367B"/>
    <w:rsid w:val="24267D54"/>
    <w:rsid w:val="2426972F"/>
    <w:rsid w:val="2427A8E4"/>
    <w:rsid w:val="242C632B"/>
    <w:rsid w:val="242E2F99"/>
    <w:rsid w:val="242EF006"/>
    <w:rsid w:val="24307F1A"/>
    <w:rsid w:val="2432AC7C"/>
    <w:rsid w:val="24338D40"/>
    <w:rsid w:val="2433F949"/>
    <w:rsid w:val="24344D4F"/>
    <w:rsid w:val="2434D03D"/>
    <w:rsid w:val="24361ACD"/>
    <w:rsid w:val="2439DCC2"/>
    <w:rsid w:val="243B13E2"/>
    <w:rsid w:val="243E7C93"/>
    <w:rsid w:val="243E8976"/>
    <w:rsid w:val="243F2BEB"/>
    <w:rsid w:val="243FB89D"/>
    <w:rsid w:val="24402054"/>
    <w:rsid w:val="2440D9CD"/>
    <w:rsid w:val="2441FC64"/>
    <w:rsid w:val="2441FE0B"/>
    <w:rsid w:val="24442BDF"/>
    <w:rsid w:val="2444FB1A"/>
    <w:rsid w:val="244581D1"/>
    <w:rsid w:val="2446AD68"/>
    <w:rsid w:val="2446BEC4"/>
    <w:rsid w:val="2446D7CB"/>
    <w:rsid w:val="244DB7D5"/>
    <w:rsid w:val="244E946E"/>
    <w:rsid w:val="244F20AF"/>
    <w:rsid w:val="2451CF2B"/>
    <w:rsid w:val="2454A766"/>
    <w:rsid w:val="24591E55"/>
    <w:rsid w:val="245A268F"/>
    <w:rsid w:val="245BC1A5"/>
    <w:rsid w:val="245D96DD"/>
    <w:rsid w:val="245F2AA5"/>
    <w:rsid w:val="246065FF"/>
    <w:rsid w:val="2462E8DD"/>
    <w:rsid w:val="24638C3A"/>
    <w:rsid w:val="246AAF96"/>
    <w:rsid w:val="246C6E33"/>
    <w:rsid w:val="246DC14D"/>
    <w:rsid w:val="24720DA7"/>
    <w:rsid w:val="2472EA26"/>
    <w:rsid w:val="24748F87"/>
    <w:rsid w:val="2475BBF7"/>
    <w:rsid w:val="2476FB5C"/>
    <w:rsid w:val="24841298"/>
    <w:rsid w:val="248428D2"/>
    <w:rsid w:val="2487144D"/>
    <w:rsid w:val="248820A2"/>
    <w:rsid w:val="248BB637"/>
    <w:rsid w:val="248BFA39"/>
    <w:rsid w:val="24907F6E"/>
    <w:rsid w:val="2496701D"/>
    <w:rsid w:val="2498F633"/>
    <w:rsid w:val="249FB910"/>
    <w:rsid w:val="24A1D89A"/>
    <w:rsid w:val="24A38638"/>
    <w:rsid w:val="24A92AC4"/>
    <w:rsid w:val="24AC5A77"/>
    <w:rsid w:val="24ACA713"/>
    <w:rsid w:val="24AD5A80"/>
    <w:rsid w:val="24AFAB8B"/>
    <w:rsid w:val="24B0286F"/>
    <w:rsid w:val="24B09DB1"/>
    <w:rsid w:val="24B0F417"/>
    <w:rsid w:val="24B14A8C"/>
    <w:rsid w:val="24B1C74E"/>
    <w:rsid w:val="24B4CEA8"/>
    <w:rsid w:val="24B50920"/>
    <w:rsid w:val="24B69E3D"/>
    <w:rsid w:val="24BBAD79"/>
    <w:rsid w:val="24BDF295"/>
    <w:rsid w:val="24BE8A4C"/>
    <w:rsid w:val="24C077B9"/>
    <w:rsid w:val="24C5E35B"/>
    <w:rsid w:val="24CA3C58"/>
    <w:rsid w:val="24CB487D"/>
    <w:rsid w:val="24CC0550"/>
    <w:rsid w:val="24CD0E9C"/>
    <w:rsid w:val="24CE6E9D"/>
    <w:rsid w:val="24CE7C59"/>
    <w:rsid w:val="24CFBE57"/>
    <w:rsid w:val="24D272A7"/>
    <w:rsid w:val="24D47B26"/>
    <w:rsid w:val="24D7BC01"/>
    <w:rsid w:val="24DADD52"/>
    <w:rsid w:val="24DC2D8C"/>
    <w:rsid w:val="24DD7A24"/>
    <w:rsid w:val="24DF30AC"/>
    <w:rsid w:val="24DFB2FC"/>
    <w:rsid w:val="24E0265A"/>
    <w:rsid w:val="24E29265"/>
    <w:rsid w:val="24E3B51B"/>
    <w:rsid w:val="24E592D1"/>
    <w:rsid w:val="24E631F6"/>
    <w:rsid w:val="24EBC89B"/>
    <w:rsid w:val="24EFD585"/>
    <w:rsid w:val="24F0F289"/>
    <w:rsid w:val="24F1DC98"/>
    <w:rsid w:val="24F284DE"/>
    <w:rsid w:val="24F555F9"/>
    <w:rsid w:val="24F55B95"/>
    <w:rsid w:val="24F66F0C"/>
    <w:rsid w:val="24F725F7"/>
    <w:rsid w:val="24F74B7A"/>
    <w:rsid w:val="24F97D42"/>
    <w:rsid w:val="24FA9CD7"/>
    <w:rsid w:val="24FBB204"/>
    <w:rsid w:val="24FC83C6"/>
    <w:rsid w:val="24FD6B0C"/>
    <w:rsid w:val="24FDF76A"/>
    <w:rsid w:val="24FDFBCD"/>
    <w:rsid w:val="24FFB98D"/>
    <w:rsid w:val="25010937"/>
    <w:rsid w:val="2501910E"/>
    <w:rsid w:val="2503B00F"/>
    <w:rsid w:val="25044303"/>
    <w:rsid w:val="2506F614"/>
    <w:rsid w:val="2507DB53"/>
    <w:rsid w:val="250DB2A0"/>
    <w:rsid w:val="250F7091"/>
    <w:rsid w:val="25131AC4"/>
    <w:rsid w:val="25167FEE"/>
    <w:rsid w:val="2516F99E"/>
    <w:rsid w:val="251E422A"/>
    <w:rsid w:val="251E573C"/>
    <w:rsid w:val="251E7700"/>
    <w:rsid w:val="251F4D0C"/>
    <w:rsid w:val="2522F2D7"/>
    <w:rsid w:val="25262F45"/>
    <w:rsid w:val="252756C3"/>
    <w:rsid w:val="252A05D9"/>
    <w:rsid w:val="252AAA3A"/>
    <w:rsid w:val="252BCB9A"/>
    <w:rsid w:val="252C0A83"/>
    <w:rsid w:val="252D9142"/>
    <w:rsid w:val="252DDFFA"/>
    <w:rsid w:val="252EB5FC"/>
    <w:rsid w:val="252FA1CE"/>
    <w:rsid w:val="2532A664"/>
    <w:rsid w:val="253314B0"/>
    <w:rsid w:val="2534207C"/>
    <w:rsid w:val="253F5A89"/>
    <w:rsid w:val="25404571"/>
    <w:rsid w:val="254229EC"/>
    <w:rsid w:val="25438C8E"/>
    <w:rsid w:val="2543D4ED"/>
    <w:rsid w:val="254689A7"/>
    <w:rsid w:val="2546E814"/>
    <w:rsid w:val="254AA8DE"/>
    <w:rsid w:val="254C37AA"/>
    <w:rsid w:val="2553B420"/>
    <w:rsid w:val="255864F8"/>
    <w:rsid w:val="255B5936"/>
    <w:rsid w:val="255D281E"/>
    <w:rsid w:val="255DDC0B"/>
    <w:rsid w:val="255F5710"/>
    <w:rsid w:val="2561B186"/>
    <w:rsid w:val="256EC644"/>
    <w:rsid w:val="256F6AF0"/>
    <w:rsid w:val="2573E2A4"/>
    <w:rsid w:val="2573F8EE"/>
    <w:rsid w:val="25740E69"/>
    <w:rsid w:val="25743594"/>
    <w:rsid w:val="25743C19"/>
    <w:rsid w:val="2576060C"/>
    <w:rsid w:val="2576644A"/>
    <w:rsid w:val="25779305"/>
    <w:rsid w:val="2579A70F"/>
    <w:rsid w:val="257AD46B"/>
    <w:rsid w:val="257D301A"/>
    <w:rsid w:val="257D5F76"/>
    <w:rsid w:val="258074BA"/>
    <w:rsid w:val="2581B744"/>
    <w:rsid w:val="2583FB88"/>
    <w:rsid w:val="2584F901"/>
    <w:rsid w:val="2586E369"/>
    <w:rsid w:val="25873E82"/>
    <w:rsid w:val="258A9263"/>
    <w:rsid w:val="258F3CEC"/>
    <w:rsid w:val="2590E954"/>
    <w:rsid w:val="259482CC"/>
    <w:rsid w:val="2595AC54"/>
    <w:rsid w:val="2597603E"/>
    <w:rsid w:val="25991DB5"/>
    <w:rsid w:val="259B8F00"/>
    <w:rsid w:val="259BE0ED"/>
    <w:rsid w:val="259ED434"/>
    <w:rsid w:val="259F6766"/>
    <w:rsid w:val="25A196E9"/>
    <w:rsid w:val="25A2E0DC"/>
    <w:rsid w:val="25A36DD2"/>
    <w:rsid w:val="25A3DEAF"/>
    <w:rsid w:val="25A3DECB"/>
    <w:rsid w:val="25A59C5E"/>
    <w:rsid w:val="25A6B8E2"/>
    <w:rsid w:val="25A8A7D7"/>
    <w:rsid w:val="25AB3465"/>
    <w:rsid w:val="25AF769C"/>
    <w:rsid w:val="25B2E1F6"/>
    <w:rsid w:val="25B677E8"/>
    <w:rsid w:val="25B6995C"/>
    <w:rsid w:val="25B754F4"/>
    <w:rsid w:val="25B778AF"/>
    <w:rsid w:val="25BA9162"/>
    <w:rsid w:val="25BB20F9"/>
    <w:rsid w:val="25BD1701"/>
    <w:rsid w:val="25C03F09"/>
    <w:rsid w:val="25C2CCCC"/>
    <w:rsid w:val="25C39627"/>
    <w:rsid w:val="25C3E9CD"/>
    <w:rsid w:val="25C5EFDF"/>
    <w:rsid w:val="25C6D1E4"/>
    <w:rsid w:val="25C74425"/>
    <w:rsid w:val="25C965BE"/>
    <w:rsid w:val="25D241AE"/>
    <w:rsid w:val="25D244E7"/>
    <w:rsid w:val="25D481E4"/>
    <w:rsid w:val="25D68F64"/>
    <w:rsid w:val="25D7A3F2"/>
    <w:rsid w:val="25D8C87C"/>
    <w:rsid w:val="25D8F39A"/>
    <w:rsid w:val="25DEABA8"/>
    <w:rsid w:val="25DF97EA"/>
    <w:rsid w:val="25E12733"/>
    <w:rsid w:val="25E2705D"/>
    <w:rsid w:val="25E2AE23"/>
    <w:rsid w:val="25E34029"/>
    <w:rsid w:val="25E58919"/>
    <w:rsid w:val="25E82CFA"/>
    <w:rsid w:val="25E85CA8"/>
    <w:rsid w:val="25E8C462"/>
    <w:rsid w:val="25ED7E11"/>
    <w:rsid w:val="25F3ADE9"/>
    <w:rsid w:val="25F63836"/>
    <w:rsid w:val="25F668F6"/>
    <w:rsid w:val="25F7B02B"/>
    <w:rsid w:val="25F898FB"/>
    <w:rsid w:val="25FE2517"/>
    <w:rsid w:val="25FE81AB"/>
    <w:rsid w:val="25FF6C7A"/>
    <w:rsid w:val="2602DEDC"/>
    <w:rsid w:val="26060CC8"/>
    <w:rsid w:val="26061C3E"/>
    <w:rsid w:val="2606F1D0"/>
    <w:rsid w:val="260788CE"/>
    <w:rsid w:val="26083AA5"/>
    <w:rsid w:val="26094FD6"/>
    <w:rsid w:val="2609E0DD"/>
    <w:rsid w:val="260FACF0"/>
    <w:rsid w:val="26105040"/>
    <w:rsid w:val="2610F5B8"/>
    <w:rsid w:val="2614F11D"/>
    <w:rsid w:val="261C3C3E"/>
    <w:rsid w:val="261E7638"/>
    <w:rsid w:val="262996D3"/>
    <w:rsid w:val="262BB00F"/>
    <w:rsid w:val="262C75F3"/>
    <w:rsid w:val="262CA7C9"/>
    <w:rsid w:val="263062CD"/>
    <w:rsid w:val="2630D4BB"/>
    <w:rsid w:val="2630F5D3"/>
    <w:rsid w:val="2631BD69"/>
    <w:rsid w:val="263226EA"/>
    <w:rsid w:val="26332E08"/>
    <w:rsid w:val="263385DA"/>
    <w:rsid w:val="2635172A"/>
    <w:rsid w:val="2636EF72"/>
    <w:rsid w:val="2637BEB0"/>
    <w:rsid w:val="263A779A"/>
    <w:rsid w:val="263E4759"/>
    <w:rsid w:val="263F01CD"/>
    <w:rsid w:val="264178FA"/>
    <w:rsid w:val="26448F73"/>
    <w:rsid w:val="26495899"/>
    <w:rsid w:val="264C3E23"/>
    <w:rsid w:val="264E1BF3"/>
    <w:rsid w:val="26503D2F"/>
    <w:rsid w:val="26548CB7"/>
    <w:rsid w:val="2654F4E8"/>
    <w:rsid w:val="265607A3"/>
    <w:rsid w:val="2658A9FF"/>
    <w:rsid w:val="265C83C2"/>
    <w:rsid w:val="265DA840"/>
    <w:rsid w:val="265F5BC2"/>
    <w:rsid w:val="2662D504"/>
    <w:rsid w:val="2669B42B"/>
    <w:rsid w:val="266B208A"/>
    <w:rsid w:val="266D424F"/>
    <w:rsid w:val="267837B5"/>
    <w:rsid w:val="2678EE8F"/>
    <w:rsid w:val="26790D91"/>
    <w:rsid w:val="267CAE0C"/>
    <w:rsid w:val="2683A02C"/>
    <w:rsid w:val="2689A953"/>
    <w:rsid w:val="268A78A4"/>
    <w:rsid w:val="268AC1D3"/>
    <w:rsid w:val="268B0E14"/>
    <w:rsid w:val="268C9EDD"/>
    <w:rsid w:val="268DCDD9"/>
    <w:rsid w:val="26906D5F"/>
    <w:rsid w:val="26941ADD"/>
    <w:rsid w:val="26973518"/>
    <w:rsid w:val="269BE9E0"/>
    <w:rsid w:val="269EA3F6"/>
    <w:rsid w:val="269EE640"/>
    <w:rsid w:val="269FDFC1"/>
    <w:rsid w:val="26A0272A"/>
    <w:rsid w:val="26A27C07"/>
    <w:rsid w:val="26A38EAF"/>
    <w:rsid w:val="26A62D94"/>
    <w:rsid w:val="26AB0CD0"/>
    <w:rsid w:val="26AB3C74"/>
    <w:rsid w:val="26AB57B7"/>
    <w:rsid w:val="26AE88E8"/>
    <w:rsid w:val="26B0333D"/>
    <w:rsid w:val="26B05073"/>
    <w:rsid w:val="26B1F8BE"/>
    <w:rsid w:val="26B225BB"/>
    <w:rsid w:val="26B6BD3F"/>
    <w:rsid w:val="26B79B37"/>
    <w:rsid w:val="26BA050E"/>
    <w:rsid w:val="26BDEE65"/>
    <w:rsid w:val="26C1E465"/>
    <w:rsid w:val="26C24D55"/>
    <w:rsid w:val="26C5D1FD"/>
    <w:rsid w:val="26C61C05"/>
    <w:rsid w:val="26C6EFF5"/>
    <w:rsid w:val="26CB2305"/>
    <w:rsid w:val="26CB2E07"/>
    <w:rsid w:val="26CFD0E5"/>
    <w:rsid w:val="26D02FCD"/>
    <w:rsid w:val="26D11BDA"/>
    <w:rsid w:val="26D12621"/>
    <w:rsid w:val="26D13239"/>
    <w:rsid w:val="26D3B502"/>
    <w:rsid w:val="26D3EF1C"/>
    <w:rsid w:val="26D6BB64"/>
    <w:rsid w:val="26DCB32D"/>
    <w:rsid w:val="26DD473E"/>
    <w:rsid w:val="26DE0CB1"/>
    <w:rsid w:val="26DF71C9"/>
    <w:rsid w:val="26E25019"/>
    <w:rsid w:val="26E2DFD6"/>
    <w:rsid w:val="26E7F9FE"/>
    <w:rsid w:val="26E9A125"/>
    <w:rsid w:val="26EC7DA3"/>
    <w:rsid w:val="26ECC2EC"/>
    <w:rsid w:val="26EE4C69"/>
    <w:rsid w:val="26F23AB0"/>
    <w:rsid w:val="26F6A2CB"/>
    <w:rsid w:val="26F9CE5A"/>
    <w:rsid w:val="26FC3244"/>
    <w:rsid w:val="26FCE9F5"/>
    <w:rsid w:val="26FE9D87"/>
    <w:rsid w:val="27027754"/>
    <w:rsid w:val="27031686"/>
    <w:rsid w:val="270351AA"/>
    <w:rsid w:val="2709502B"/>
    <w:rsid w:val="270A9F3E"/>
    <w:rsid w:val="270ACC08"/>
    <w:rsid w:val="270C16D4"/>
    <w:rsid w:val="270E8DA3"/>
    <w:rsid w:val="2710444C"/>
    <w:rsid w:val="27114BB6"/>
    <w:rsid w:val="2711AAA4"/>
    <w:rsid w:val="2712981E"/>
    <w:rsid w:val="27171104"/>
    <w:rsid w:val="271B9E2C"/>
    <w:rsid w:val="271BCF48"/>
    <w:rsid w:val="271C5F12"/>
    <w:rsid w:val="271EB3F5"/>
    <w:rsid w:val="271FB6CA"/>
    <w:rsid w:val="2720FC79"/>
    <w:rsid w:val="27247F7E"/>
    <w:rsid w:val="272782CF"/>
    <w:rsid w:val="2728495C"/>
    <w:rsid w:val="2729D3FC"/>
    <w:rsid w:val="2729F247"/>
    <w:rsid w:val="272C51CE"/>
    <w:rsid w:val="272E3386"/>
    <w:rsid w:val="272F9A59"/>
    <w:rsid w:val="2731D1AF"/>
    <w:rsid w:val="27368FEC"/>
    <w:rsid w:val="2737E7AB"/>
    <w:rsid w:val="273D0607"/>
    <w:rsid w:val="27408656"/>
    <w:rsid w:val="2740DE09"/>
    <w:rsid w:val="274405F8"/>
    <w:rsid w:val="274447F7"/>
    <w:rsid w:val="2746F5FB"/>
    <w:rsid w:val="274E18ED"/>
    <w:rsid w:val="274E41DF"/>
    <w:rsid w:val="274F4F31"/>
    <w:rsid w:val="275172C6"/>
    <w:rsid w:val="275296A0"/>
    <w:rsid w:val="27545B04"/>
    <w:rsid w:val="2754BB2A"/>
    <w:rsid w:val="27579EDD"/>
    <w:rsid w:val="275D1B7C"/>
    <w:rsid w:val="275D9CD8"/>
    <w:rsid w:val="275DBCFA"/>
    <w:rsid w:val="275F1BA2"/>
    <w:rsid w:val="275F4EAD"/>
    <w:rsid w:val="2760627A"/>
    <w:rsid w:val="27619B2E"/>
    <w:rsid w:val="27637EEF"/>
    <w:rsid w:val="2763A169"/>
    <w:rsid w:val="276B88C0"/>
    <w:rsid w:val="276CD5FC"/>
    <w:rsid w:val="276DF9F3"/>
    <w:rsid w:val="276E18F8"/>
    <w:rsid w:val="27755DEC"/>
    <w:rsid w:val="2775DC52"/>
    <w:rsid w:val="2776ED78"/>
    <w:rsid w:val="2777A31E"/>
    <w:rsid w:val="277B77AA"/>
    <w:rsid w:val="2780B6E7"/>
    <w:rsid w:val="27847E36"/>
    <w:rsid w:val="2787CF61"/>
    <w:rsid w:val="2788063C"/>
    <w:rsid w:val="27884B35"/>
    <w:rsid w:val="278DDF93"/>
    <w:rsid w:val="27906362"/>
    <w:rsid w:val="279880FB"/>
    <w:rsid w:val="279888E7"/>
    <w:rsid w:val="2799A6C8"/>
    <w:rsid w:val="279A4999"/>
    <w:rsid w:val="279AFA36"/>
    <w:rsid w:val="279B2338"/>
    <w:rsid w:val="279B5792"/>
    <w:rsid w:val="279C4FE0"/>
    <w:rsid w:val="279D5609"/>
    <w:rsid w:val="279F8D00"/>
    <w:rsid w:val="27A64297"/>
    <w:rsid w:val="27A72B84"/>
    <w:rsid w:val="27A9590F"/>
    <w:rsid w:val="27ACB5B5"/>
    <w:rsid w:val="27B62DE7"/>
    <w:rsid w:val="27B80FEC"/>
    <w:rsid w:val="27B819EA"/>
    <w:rsid w:val="27BA5E10"/>
    <w:rsid w:val="27BB50DE"/>
    <w:rsid w:val="27BD879D"/>
    <w:rsid w:val="27C8D716"/>
    <w:rsid w:val="27CB5FC9"/>
    <w:rsid w:val="27CEA90B"/>
    <w:rsid w:val="27CF2695"/>
    <w:rsid w:val="27CF31ED"/>
    <w:rsid w:val="27D0CBED"/>
    <w:rsid w:val="27D17F2E"/>
    <w:rsid w:val="27D4CE55"/>
    <w:rsid w:val="27D5DE31"/>
    <w:rsid w:val="27D6B49D"/>
    <w:rsid w:val="27DA4A62"/>
    <w:rsid w:val="27DB84D5"/>
    <w:rsid w:val="27DEC113"/>
    <w:rsid w:val="27E20A07"/>
    <w:rsid w:val="27E791E6"/>
    <w:rsid w:val="27E84EA1"/>
    <w:rsid w:val="27E94847"/>
    <w:rsid w:val="27E95986"/>
    <w:rsid w:val="27F1DF9E"/>
    <w:rsid w:val="27F50437"/>
    <w:rsid w:val="27F6A874"/>
    <w:rsid w:val="27F7514A"/>
    <w:rsid w:val="27FA8046"/>
    <w:rsid w:val="27FADB19"/>
    <w:rsid w:val="27FB5DFE"/>
    <w:rsid w:val="27FFAB6B"/>
    <w:rsid w:val="28012FA7"/>
    <w:rsid w:val="280145D6"/>
    <w:rsid w:val="2801DC87"/>
    <w:rsid w:val="2801EAAA"/>
    <w:rsid w:val="280246A2"/>
    <w:rsid w:val="280472C2"/>
    <w:rsid w:val="2807E0A9"/>
    <w:rsid w:val="2807EA3F"/>
    <w:rsid w:val="280BCFBD"/>
    <w:rsid w:val="280C3043"/>
    <w:rsid w:val="280D420E"/>
    <w:rsid w:val="28107CB0"/>
    <w:rsid w:val="281B0999"/>
    <w:rsid w:val="281DBBB9"/>
    <w:rsid w:val="2825A61B"/>
    <w:rsid w:val="282689B0"/>
    <w:rsid w:val="28276551"/>
    <w:rsid w:val="2829C64A"/>
    <w:rsid w:val="282CBFA2"/>
    <w:rsid w:val="282F5BEB"/>
    <w:rsid w:val="282FB693"/>
    <w:rsid w:val="28340D50"/>
    <w:rsid w:val="2838D9DB"/>
    <w:rsid w:val="283E7EAB"/>
    <w:rsid w:val="28409A95"/>
    <w:rsid w:val="28423D64"/>
    <w:rsid w:val="28468826"/>
    <w:rsid w:val="2849B04E"/>
    <w:rsid w:val="284B7494"/>
    <w:rsid w:val="284D1DD9"/>
    <w:rsid w:val="284D952E"/>
    <w:rsid w:val="28526456"/>
    <w:rsid w:val="28526CDF"/>
    <w:rsid w:val="285369A0"/>
    <w:rsid w:val="2853C501"/>
    <w:rsid w:val="2854225F"/>
    <w:rsid w:val="285906C5"/>
    <w:rsid w:val="2859E59B"/>
    <w:rsid w:val="285C4845"/>
    <w:rsid w:val="285DB105"/>
    <w:rsid w:val="285FD920"/>
    <w:rsid w:val="28603BC5"/>
    <w:rsid w:val="2862975B"/>
    <w:rsid w:val="2862F877"/>
    <w:rsid w:val="2863FE79"/>
    <w:rsid w:val="28653AB0"/>
    <w:rsid w:val="2865EE9F"/>
    <w:rsid w:val="286974FB"/>
    <w:rsid w:val="286A1982"/>
    <w:rsid w:val="286B6D5B"/>
    <w:rsid w:val="286C7341"/>
    <w:rsid w:val="286D904A"/>
    <w:rsid w:val="28713745"/>
    <w:rsid w:val="2871516F"/>
    <w:rsid w:val="28743862"/>
    <w:rsid w:val="28745111"/>
    <w:rsid w:val="28754853"/>
    <w:rsid w:val="28761E5D"/>
    <w:rsid w:val="287837BC"/>
    <w:rsid w:val="287A59A7"/>
    <w:rsid w:val="288552CD"/>
    <w:rsid w:val="2887C55A"/>
    <w:rsid w:val="28884043"/>
    <w:rsid w:val="288D0152"/>
    <w:rsid w:val="288E2666"/>
    <w:rsid w:val="2891927A"/>
    <w:rsid w:val="28934579"/>
    <w:rsid w:val="28938181"/>
    <w:rsid w:val="2893BC9A"/>
    <w:rsid w:val="2894CB59"/>
    <w:rsid w:val="2894FADA"/>
    <w:rsid w:val="28950151"/>
    <w:rsid w:val="2895A05C"/>
    <w:rsid w:val="2896E02E"/>
    <w:rsid w:val="289FCA44"/>
    <w:rsid w:val="28A06C53"/>
    <w:rsid w:val="28A13AC6"/>
    <w:rsid w:val="28AA68C9"/>
    <w:rsid w:val="28AAD3DD"/>
    <w:rsid w:val="28ACBAB4"/>
    <w:rsid w:val="28ADFCCB"/>
    <w:rsid w:val="28B14FE0"/>
    <w:rsid w:val="28B517B7"/>
    <w:rsid w:val="28B6BAB2"/>
    <w:rsid w:val="28BA574C"/>
    <w:rsid w:val="28BC4A21"/>
    <w:rsid w:val="28BE1AAD"/>
    <w:rsid w:val="28BFD456"/>
    <w:rsid w:val="28C09F17"/>
    <w:rsid w:val="28C0C160"/>
    <w:rsid w:val="28C3912C"/>
    <w:rsid w:val="28C4A686"/>
    <w:rsid w:val="28C698F2"/>
    <w:rsid w:val="28CB5B9B"/>
    <w:rsid w:val="28CBF3CC"/>
    <w:rsid w:val="28CCE6C4"/>
    <w:rsid w:val="28CE836E"/>
    <w:rsid w:val="28CF6F4E"/>
    <w:rsid w:val="28D1D461"/>
    <w:rsid w:val="28D5C30E"/>
    <w:rsid w:val="28D63AD1"/>
    <w:rsid w:val="28D91939"/>
    <w:rsid w:val="28DD32E7"/>
    <w:rsid w:val="28DFBCCD"/>
    <w:rsid w:val="28DFE5AC"/>
    <w:rsid w:val="28E142AB"/>
    <w:rsid w:val="28E49DDA"/>
    <w:rsid w:val="28E697F6"/>
    <w:rsid w:val="28E6C256"/>
    <w:rsid w:val="28E7C5F8"/>
    <w:rsid w:val="28E9F135"/>
    <w:rsid w:val="28EA4C9D"/>
    <w:rsid w:val="28EAA851"/>
    <w:rsid w:val="28EEAEAD"/>
    <w:rsid w:val="28F0AE6E"/>
    <w:rsid w:val="28F15D9C"/>
    <w:rsid w:val="28F25279"/>
    <w:rsid w:val="28F36DDC"/>
    <w:rsid w:val="28FAB805"/>
    <w:rsid w:val="28FDCF4F"/>
    <w:rsid w:val="28FF4CC3"/>
    <w:rsid w:val="290849E4"/>
    <w:rsid w:val="290B86DA"/>
    <w:rsid w:val="290E4E57"/>
    <w:rsid w:val="29116243"/>
    <w:rsid w:val="29164C69"/>
    <w:rsid w:val="29176442"/>
    <w:rsid w:val="2917FA27"/>
    <w:rsid w:val="29182EC1"/>
    <w:rsid w:val="291958C1"/>
    <w:rsid w:val="291A31A1"/>
    <w:rsid w:val="291D52AB"/>
    <w:rsid w:val="2923FA8A"/>
    <w:rsid w:val="29244FAD"/>
    <w:rsid w:val="29246499"/>
    <w:rsid w:val="2929745B"/>
    <w:rsid w:val="2929CA23"/>
    <w:rsid w:val="292B2634"/>
    <w:rsid w:val="292C736C"/>
    <w:rsid w:val="292DB09D"/>
    <w:rsid w:val="292FABA6"/>
    <w:rsid w:val="29301D9E"/>
    <w:rsid w:val="2931A033"/>
    <w:rsid w:val="2932CC1A"/>
    <w:rsid w:val="2932F344"/>
    <w:rsid w:val="29351FE4"/>
    <w:rsid w:val="2935C0DA"/>
    <w:rsid w:val="2936456D"/>
    <w:rsid w:val="2937BA18"/>
    <w:rsid w:val="29398F6C"/>
    <w:rsid w:val="2939911C"/>
    <w:rsid w:val="293ACEA7"/>
    <w:rsid w:val="293B9F16"/>
    <w:rsid w:val="293BC166"/>
    <w:rsid w:val="293C6764"/>
    <w:rsid w:val="293F9609"/>
    <w:rsid w:val="29420541"/>
    <w:rsid w:val="2942915B"/>
    <w:rsid w:val="2944F0A5"/>
    <w:rsid w:val="29480747"/>
    <w:rsid w:val="294875B8"/>
    <w:rsid w:val="29498077"/>
    <w:rsid w:val="294C487A"/>
    <w:rsid w:val="294FCA0B"/>
    <w:rsid w:val="29543DF6"/>
    <w:rsid w:val="2954B0E4"/>
    <w:rsid w:val="2955F3E3"/>
    <w:rsid w:val="2958873C"/>
    <w:rsid w:val="295C71B0"/>
    <w:rsid w:val="295CCE69"/>
    <w:rsid w:val="29679EBA"/>
    <w:rsid w:val="2969215A"/>
    <w:rsid w:val="296C47E8"/>
    <w:rsid w:val="296D2E8C"/>
    <w:rsid w:val="2971B3F6"/>
    <w:rsid w:val="2979BD1D"/>
    <w:rsid w:val="297B7E74"/>
    <w:rsid w:val="297BC20A"/>
    <w:rsid w:val="297C7877"/>
    <w:rsid w:val="297E5821"/>
    <w:rsid w:val="298261E9"/>
    <w:rsid w:val="2983DD15"/>
    <w:rsid w:val="2983F18D"/>
    <w:rsid w:val="29894834"/>
    <w:rsid w:val="298A21BD"/>
    <w:rsid w:val="298B9E75"/>
    <w:rsid w:val="298D8138"/>
    <w:rsid w:val="298F40D1"/>
    <w:rsid w:val="298FE40F"/>
    <w:rsid w:val="299073C5"/>
    <w:rsid w:val="2990D9EC"/>
    <w:rsid w:val="2994516C"/>
    <w:rsid w:val="29966A24"/>
    <w:rsid w:val="29977057"/>
    <w:rsid w:val="299C5031"/>
    <w:rsid w:val="29A03647"/>
    <w:rsid w:val="29A43A87"/>
    <w:rsid w:val="29AA2A88"/>
    <w:rsid w:val="29ACD36B"/>
    <w:rsid w:val="29ACD619"/>
    <w:rsid w:val="29ADFE15"/>
    <w:rsid w:val="29AEECAB"/>
    <w:rsid w:val="29AF5523"/>
    <w:rsid w:val="29AF77BD"/>
    <w:rsid w:val="29B1D4E2"/>
    <w:rsid w:val="29B35F58"/>
    <w:rsid w:val="29B4DDD1"/>
    <w:rsid w:val="29B793B6"/>
    <w:rsid w:val="29B8CA52"/>
    <w:rsid w:val="29BA4A33"/>
    <w:rsid w:val="29BC7BF2"/>
    <w:rsid w:val="29BD0645"/>
    <w:rsid w:val="29C15862"/>
    <w:rsid w:val="29C15E47"/>
    <w:rsid w:val="29C3E6E5"/>
    <w:rsid w:val="29C47993"/>
    <w:rsid w:val="29C4DDD3"/>
    <w:rsid w:val="29C85417"/>
    <w:rsid w:val="29CBEC8E"/>
    <w:rsid w:val="29CFC181"/>
    <w:rsid w:val="29D32F76"/>
    <w:rsid w:val="29DACB56"/>
    <w:rsid w:val="29DCE12B"/>
    <w:rsid w:val="29DDE0A6"/>
    <w:rsid w:val="29E2988A"/>
    <w:rsid w:val="29E38309"/>
    <w:rsid w:val="29E6345B"/>
    <w:rsid w:val="29EA7437"/>
    <w:rsid w:val="29ED92CC"/>
    <w:rsid w:val="29EE4278"/>
    <w:rsid w:val="29F07911"/>
    <w:rsid w:val="29FAB1DE"/>
    <w:rsid w:val="29FD8AD4"/>
    <w:rsid w:val="29FEA73C"/>
    <w:rsid w:val="29FF62FA"/>
    <w:rsid w:val="29FF7DF5"/>
    <w:rsid w:val="29FFDB53"/>
    <w:rsid w:val="2A00C09C"/>
    <w:rsid w:val="2A07B905"/>
    <w:rsid w:val="2A07FD4B"/>
    <w:rsid w:val="2A0C878B"/>
    <w:rsid w:val="2A0E1CB2"/>
    <w:rsid w:val="2A0E2BAE"/>
    <w:rsid w:val="2A11DF0B"/>
    <w:rsid w:val="2A1287E4"/>
    <w:rsid w:val="2A14529B"/>
    <w:rsid w:val="2A1678D3"/>
    <w:rsid w:val="2A172342"/>
    <w:rsid w:val="2A1A914A"/>
    <w:rsid w:val="2A1D4E0F"/>
    <w:rsid w:val="2A1D55BF"/>
    <w:rsid w:val="2A1E943C"/>
    <w:rsid w:val="2A201901"/>
    <w:rsid w:val="2A240587"/>
    <w:rsid w:val="2A253A4A"/>
    <w:rsid w:val="2A25DE36"/>
    <w:rsid w:val="2A27829B"/>
    <w:rsid w:val="2A286ABD"/>
    <w:rsid w:val="2A28F94D"/>
    <w:rsid w:val="2A294851"/>
    <w:rsid w:val="2A2DDCA1"/>
    <w:rsid w:val="2A33E906"/>
    <w:rsid w:val="2A34A913"/>
    <w:rsid w:val="2A360770"/>
    <w:rsid w:val="2A36D9AD"/>
    <w:rsid w:val="2A4060E2"/>
    <w:rsid w:val="2A450406"/>
    <w:rsid w:val="2A47174E"/>
    <w:rsid w:val="2A483AA4"/>
    <w:rsid w:val="2A49845C"/>
    <w:rsid w:val="2A4A2E02"/>
    <w:rsid w:val="2A4C8BE5"/>
    <w:rsid w:val="2A502BE1"/>
    <w:rsid w:val="2A5263B9"/>
    <w:rsid w:val="2A551D0E"/>
    <w:rsid w:val="2A5A37F3"/>
    <w:rsid w:val="2A5A51D0"/>
    <w:rsid w:val="2A61A4A2"/>
    <w:rsid w:val="2A65AD48"/>
    <w:rsid w:val="2A6738EB"/>
    <w:rsid w:val="2A680222"/>
    <w:rsid w:val="2A6996CA"/>
    <w:rsid w:val="2A6AA9EF"/>
    <w:rsid w:val="2A6CD9BA"/>
    <w:rsid w:val="2A6D552F"/>
    <w:rsid w:val="2A6FB29B"/>
    <w:rsid w:val="2A744DEB"/>
    <w:rsid w:val="2A752961"/>
    <w:rsid w:val="2A765514"/>
    <w:rsid w:val="2A7701E7"/>
    <w:rsid w:val="2A777D20"/>
    <w:rsid w:val="2A77A48C"/>
    <w:rsid w:val="2A77B225"/>
    <w:rsid w:val="2A7811C5"/>
    <w:rsid w:val="2A783847"/>
    <w:rsid w:val="2A785AAB"/>
    <w:rsid w:val="2A78AF39"/>
    <w:rsid w:val="2A7908D8"/>
    <w:rsid w:val="2A7B455C"/>
    <w:rsid w:val="2A7D887E"/>
    <w:rsid w:val="2A7E2F77"/>
    <w:rsid w:val="2A7FC9AE"/>
    <w:rsid w:val="2A80E216"/>
    <w:rsid w:val="2A81D1FC"/>
    <w:rsid w:val="2A82BAE4"/>
    <w:rsid w:val="2A83A0DB"/>
    <w:rsid w:val="2A84A9BD"/>
    <w:rsid w:val="2A84DF4F"/>
    <w:rsid w:val="2A84EA3E"/>
    <w:rsid w:val="2A85B2DE"/>
    <w:rsid w:val="2A85B5A7"/>
    <w:rsid w:val="2A89F4E2"/>
    <w:rsid w:val="2A8DD048"/>
    <w:rsid w:val="2A8E567C"/>
    <w:rsid w:val="2A8E77CD"/>
    <w:rsid w:val="2A905076"/>
    <w:rsid w:val="2A926ACF"/>
    <w:rsid w:val="2A9286D7"/>
    <w:rsid w:val="2A949ED2"/>
    <w:rsid w:val="2A973702"/>
    <w:rsid w:val="2A995D35"/>
    <w:rsid w:val="2A9C9C15"/>
    <w:rsid w:val="2A9EE0AA"/>
    <w:rsid w:val="2AA50DED"/>
    <w:rsid w:val="2AA9FDA2"/>
    <w:rsid w:val="2AAA1FA4"/>
    <w:rsid w:val="2AAC8D22"/>
    <w:rsid w:val="2AACE054"/>
    <w:rsid w:val="2AAD1B82"/>
    <w:rsid w:val="2AAFB459"/>
    <w:rsid w:val="2AB37C32"/>
    <w:rsid w:val="2AB40840"/>
    <w:rsid w:val="2AB469FF"/>
    <w:rsid w:val="2AB657EC"/>
    <w:rsid w:val="2ABA0EBE"/>
    <w:rsid w:val="2ABDA840"/>
    <w:rsid w:val="2ABE3D17"/>
    <w:rsid w:val="2AC19B5D"/>
    <w:rsid w:val="2AC56242"/>
    <w:rsid w:val="2AC687AE"/>
    <w:rsid w:val="2AC69624"/>
    <w:rsid w:val="2AC7D76F"/>
    <w:rsid w:val="2AC803D6"/>
    <w:rsid w:val="2AC84ED9"/>
    <w:rsid w:val="2AC86B07"/>
    <w:rsid w:val="2AC92AFE"/>
    <w:rsid w:val="2ACAFE45"/>
    <w:rsid w:val="2ACB4FA6"/>
    <w:rsid w:val="2ACB9010"/>
    <w:rsid w:val="2ACCD5E1"/>
    <w:rsid w:val="2ACDD4BE"/>
    <w:rsid w:val="2ACEEE06"/>
    <w:rsid w:val="2AD17EC7"/>
    <w:rsid w:val="2AD2167A"/>
    <w:rsid w:val="2AD40893"/>
    <w:rsid w:val="2AD454F6"/>
    <w:rsid w:val="2AD4D4CF"/>
    <w:rsid w:val="2AD6DE7D"/>
    <w:rsid w:val="2AD87728"/>
    <w:rsid w:val="2AD9A671"/>
    <w:rsid w:val="2ADCCDB7"/>
    <w:rsid w:val="2ADE2907"/>
    <w:rsid w:val="2AE07E58"/>
    <w:rsid w:val="2AE1B0BE"/>
    <w:rsid w:val="2AE688D8"/>
    <w:rsid w:val="2AEB4CC4"/>
    <w:rsid w:val="2AEDB9E5"/>
    <w:rsid w:val="2AEE1B21"/>
    <w:rsid w:val="2AEFC1CC"/>
    <w:rsid w:val="2AF0C1B7"/>
    <w:rsid w:val="2AF36AF5"/>
    <w:rsid w:val="2AF6D870"/>
    <w:rsid w:val="2AF7FCA6"/>
    <w:rsid w:val="2AFA585E"/>
    <w:rsid w:val="2AFC96E0"/>
    <w:rsid w:val="2AFCAF7B"/>
    <w:rsid w:val="2B0352D0"/>
    <w:rsid w:val="2B03FE4D"/>
    <w:rsid w:val="2B047D61"/>
    <w:rsid w:val="2B05637D"/>
    <w:rsid w:val="2B06EF09"/>
    <w:rsid w:val="2B091E24"/>
    <w:rsid w:val="2B0A8971"/>
    <w:rsid w:val="2B0D963F"/>
    <w:rsid w:val="2B0F3AC8"/>
    <w:rsid w:val="2B10846E"/>
    <w:rsid w:val="2B14EC9F"/>
    <w:rsid w:val="2B1634EE"/>
    <w:rsid w:val="2B177ECB"/>
    <w:rsid w:val="2B17FBFA"/>
    <w:rsid w:val="2B18A2FE"/>
    <w:rsid w:val="2B19AE84"/>
    <w:rsid w:val="2B1B4FBC"/>
    <w:rsid w:val="2B1B545A"/>
    <w:rsid w:val="2B1B886C"/>
    <w:rsid w:val="2B1C83E3"/>
    <w:rsid w:val="2B1E469F"/>
    <w:rsid w:val="2B261498"/>
    <w:rsid w:val="2B2A246D"/>
    <w:rsid w:val="2B2B5745"/>
    <w:rsid w:val="2B3056D8"/>
    <w:rsid w:val="2B358948"/>
    <w:rsid w:val="2B3892EE"/>
    <w:rsid w:val="2B3894F5"/>
    <w:rsid w:val="2B38E6A5"/>
    <w:rsid w:val="2B3B8247"/>
    <w:rsid w:val="2B431DBB"/>
    <w:rsid w:val="2B446C99"/>
    <w:rsid w:val="2B466901"/>
    <w:rsid w:val="2B47199D"/>
    <w:rsid w:val="2B47CE90"/>
    <w:rsid w:val="2B49A513"/>
    <w:rsid w:val="2B4A23C7"/>
    <w:rsid w:val="2B4ACC2F"/>
    <w:rsid w:val="2B4BAA49"/>
    <w:rsid w:val="2B4C7B77"/>
    <w:rsid w:val="2B4E6697"/>
    <w:rsid w:val="2B4F1D56"/>
    <w:rsid w:val="2B50E165"/>
    <w:rsid w:val="2B56826D"/>
    <w:rsid w:val="2B581381"/>
    <w:rsid w:val="2B5C062B"/>
    <w:rsid w:val="2B5CCF2C"/>
    <w:rsid w:val="2B5DEB45"/>
    <w:rsid w:val="2B60BC08"/>
    <w:rsid w:val="2B6214BB"/>
    <w:rsid w:val="2B635015"/>
    <w:rsid w:val="2B653542"/>
    <w:rsid w:val="2B688CA3"/>
    <w:rsid w:val="2B6918C9"/>
    <w:rsid w:val="2B692E82"/>
    <w:rsid w:val="2B6B1838"/>
    <w:rsid w:val="2B6CA420"/>
    <w:rsid w:val="2B6E0D83"/>
    <w:rsid w:val="2B6E557F"/>
    <w:rsid w:val="2B6EC344"/>
    <w:rsid w:val="2B6F65E9"/>
    <w:rsid w:val="2B6FF32E"/>
    <w:rsid w:val="2B71053C"/>
    <w:rsid w:val="2B71D94E"/>
    <w:rsid w:val="2B7367E8"/>
    <w:rsid w:val="2B7579C0"/>
    <w:rsid w:val="2B787397"/>
    <w:rsid w:val="2B7C18CF"/>
    <w:rsid w:val="2B7CAC91"/>
    <w:rsid w:val="2B7D53E9"/>
    <w:rsid w:val="2B7F918F"/>
    <w:rsid w:val="2B7FF356"/>
    <w:rsid w:val="2B803F11"/>
    <w:rsid w:val="2B81C096"/>
    <w:rsid w:val="2B81D985"/>
    <w:rsid w:val="2B82462D"/>
    <w:rsid w:val="2B83A573"/>
    <w:rsid w:val="2B87929F"/>
    <w:rsid w:val="2B87BF6F"/>
    <w:rsid w:val="2B8B015F"/>
    <w:rsid w:val="2B8D665D"/>
    <w:rsid w:val="2B8E3AB2"/>
    <w:rsid w:val="2B8FFF3D"/>
    <w:rsid w:val="2B932B9A"/>
    <w:rsid w:val="2B942AB3"/>
    <w:rsid w:val="2B94A065"/>
    <w:rsid w:val="2B9D6273"/>
    <w:rsid w:val="2B9F4B4B"/>
    <w:rsid w:val="2BA1E2A3"/>
    <w:rsid w:val="2BA3D2F4"/>
    <w:rsid w:val="2BA66390"/>
    <w:rsid w:val="2BAA9E55"/>
    <w:rsid w:val="2BB1D8E5"/>
    <w:rsid w:val="2BB29055"/>
    <w:rsid w:val="2BB426B4"/>
    <w:rsid w:val="2BB47AD2"/>
    <w:rsid w:val="2BB7D6CE"/>
    <w:rsid w:val="2BBCA14B"/>
    <w:rsid w:val="2BBE6837"/>
    <w:rsid w:val="2BC177FD"/>
    <w:rsid w:val="2BC1B6D3"/>
    <w:rsid w:val="2BC7ED25"/>
    <w:rsid w:val="2BC96F47"/>
    <w:rsid w:val="2BCA77C4"/>
    <w:rsid w:val="2BCB5616"/>
    <w:rsid w:val="2BCBA748"/>
    <w:rsid w:val="2BCC064B"/>
    <w:rsid w:val="2BCCA674"/>
    <w:rsid w:val="2BCE0BD5"/>
    <w:rsid w:val="2BCEF42A"/>
    <w:rsid w:val="2BD02D11"/>
    <w:rsid w:val="2BD03A6C"/>
    <w:rsid w:val="2BD62753"/>
    <w:rsid w:val="2BD80FEB"/>
    <w:rsid w:val="2BD8C5DE"/>
    <w:rsid w:val="2BDA718D"/>
    <w:rsid w:val="2BDBBF70"/>
    <w:rsid w:val="2BDF8DFE"/>
    <w:rsid w:val="2BE1B077"/>
    <w:rsid w:val="2BE35036"/>
    <w:rsid w:val="2BE45780"/>
    <w:rsid w:val="2BE4CBDB"/>
    <w:rsid w:val="2BE73B35"/>
    <w:rsid w:val="2BF2FDBE"/>
    <w:rsid w:val="2BF3B6D0"/>
    <w:rsid w:val="2BF91333"/>
    <w:rsid w:val="2BFA86F1"/>
    <w:rsid w:val="2BFB9A43"/>
    <w:rsid w:val="2BFDE308"/>
    <w:rsid w:val="2C017686"/>
    <w:rsid w:val="2C046B68"/>
    <w:rsid w:val="2C0C12BB"/>
    <w:rsid w:val="2C0F4203"/>
    <w:rsid w:val="2C0FD506"/>
    <w:rsid w:val="2C0FD86A"/>
    <w:rsid w:val="2C10E39D"/>
    <w:rsid w:val="2C1768CF"/>
    <w:rsid w:val="2C1781CE"/>
    <w:rsid w:val="2C17C71A"/>
    <w:rsid w:val="2C1A8DC9"/>
    <w:rsid w:val="2C1CEC4B"/>
    <w:rsid w:val="2C1DA5F5"/>
    <w:rsid w:val="2C2337A5"/>
    <w:rsid w:val="2C288AE7"/>
    <w:rsid w:val="2C28A8C4"/>
    <w:rsid w:val="2C2B6E5F"/>
    <w:rsid w:val="2C2BC18D"/>
    <w:rsid w:val="2C2EDFEF"/>
    <w:rsid w:val="2C2F7818"/>
    <w:rsid w:val="2C2FCB1C"/>
    <w:rsid w:val="2C308049"/>
    <w:rsid w:val="2C311AA9"/>
    <w:rsid w:val="2C34C4D2"/>
    <w:rsid w:val="2C34CC87"/>
    <w:rsid w:val="2C370FAE"/>
    <w:rsid w:val="2C37DEF2"/>
    <w:rsid w:val="2C392C63"/>
    <w:rsid w:val="2C3C5720"/>
    <w:rsid w:val="2C3C7811"/>
    <w:rsid w:val="2C3CBC6B"/>
    <w:rsid w:val="2C3FCDD6"/>
    <w:rsid w:val="2C40FF35"/>
    <w:rsid w:val="2C4459C0"/>
    <w:rsid w:val="2C47F5FF"/>
    <w:rsid w:val="2C4BF5EE"/>
    <w:rsid w:val="2C5323C9"/>
    <w:rsid w:val="2C5463DA"/>
    <w:rsid w:val="2C547426"/>
    <w:rsid w:val="2C54A2BD"/>
    <w:rsid w:val="2C551C09"/>
    <w:rsid w:val="2C594448"/>
    <w:rsid w:val="2C5A86F9"/>
    <w:rsid w:val="2C5EABF5"/>
    <w:rsid w:val="2C63A794"/>
    <w:rsid w:val="2C661253"/>
    <w:rsid w:val="2C6BEC97"/>
    <w:rsid w:val="2C6C64E7"/>
    <w:rsid w:val="2C70FAA2"/>
    <w:rsid w:val="2C722AEB"/>
    <w:rsid w:val="2C7734E5"/>
    <w:rsid w:val="2C7BD56E"/>
    <w:rsid w:val="2C7E0551"/>
    <w:rsid w:val="2C7F8BA3"/>
    <w:rsid w:val="2C81964C"/>
    <w:rsid w:val="2C81F045"/>
    <w:rsid w:val="2C8247EB"/>
    <w:rsid w:val="2C83CF0C"/>
    <w:rsid w:val="2C843B15"/>
    <w:rsid w:val="2C889B10"/>
    <w:rsid w:val="2C8EDE3F"/>
    <w:rsid w:val="2C8F0481"/>
    <w:rsid w:val="2C8FD8DF"/>
    <w:rsid w:val="2C914113"/>
    <w:rsid w:val="2C972406"/>
    <w:rsid w:val="2C98624B"/>
    <w:rsid w:val="2C991580"/>
    <w:rsid w:val="2C9958C3"/>
    <w:rsid w:val="2C9C97D9"/>
    <w:rsid w:val="2C9CAA75"/>
    <w:rsid w:val="2C9D22F0"/>
    <w:rsid w:val="2C9D7F45"/>
    <w:rsid w:val="2C9EDFAE"/>
    <w:rsid w:val="2CA00C93"/>
    <w:rsid w:val="2CA19921"/>
    <w:rsid w:val="2CA43E80"/>
    <w:rsid w:val="2CA4B00C"/>
    <w:rsid w:val="2CA5311C"/>
    <w:rsid w:val="2CA5982B"/>
    <w:rsid w:val="2CA80CFC"/>
    <w:rsid w:val="2CABC651"/>
    <w:rsid w:val="2CABE02F"/>
    <w:rsid w:val="2CAC436B"/>
    <w:rsid w:val="2CBA9EDC"/>
    <w:rsid w:val="2CBAEF11"/>
    <w:rsid w:val="2CBB3FEF"/>
    <w:rsid w:val="2CBDFC8F"/>
    <w:rsid w:val="2CBE8035"/>
    <w:rsid w:val="2CC2892C"/>
    <w:rsid w:val="2CC32195"/>
    <w:rsid w:val="2CC70609"/>
    <w:rsid w:val="2CCAF8F9"/>
    <w:rsid w:val="2CD06281"/>
    <w:rsid w:val="2CD451EA"/>
    <w:rsid w:val="2CD4C12B"/>
    <w:rsid w:val="2CD7B57F"/>
    <w:rsid w:val="2CD89DD1"/>
    <w:rsid w:val="2CDB9568"/>
    <w:rsid w:val="2CE01007"/>
    <w:rsid w:val="2CE1ED01"/>
    <w:rsid w:val="2CE28148"/>
    <w:rsid w:val="2CE2C2DB"/>
    <w:rsid w:val="2CE2E041"/>
    <w:rsid w:val="2CE35AC8"/>
    <w:rsid w:val="2CE5185D"/>
    <w:rsid w:val="2CE5654F"/>
    <w:rsid w:val="2CE94584"/>
    <w:rsid w:val="2CEC2EB2"/>
    <w:rsid w:val="2CEE98F9"/>
    <w:rsid w:val="2CEF5925"/>
    <w:rsid w:val="2CF2AA34"/>
    <w:rsid w:val="2CF4070E"/>
    <w:rsid w:val="2CF73639"/>
    <w:rsid w:val="2CF9F06B"/>
    <w:rsid w:val="2CFA13A9"/>
    <w:rsid w:val="2CFB5C07"/>
    <w:rsid w:val="2CFD1A66"/>
    <w:rsid w:val="2CFE23EC"/>
    <w:rsid w:val="2CFE4A9D"/>
    <w:rsid w:val="2D04C985"/>
    <w:rsid w:val="2D0C1FBF"/>
    <w:rsid w:val="2D0D7C87"/>
    <w:rsid w:val="2D0FFA12"/>
    <w:rsid w:val="2D1139C6"/>
    <w:rsid w:val="2D11961F"/>
    <w:rsid w:val="2D1291D3"/>
    <w:rsid w:val="2D12F7DA"/>
    <w:rsid w:val="2D1B62D5"/>
    <w:rsid w:val="2D1CE708"/>
    <w:rsid w:val="2D1F8298"/>
    <w:rsid w:val="2D1FD195"/>
    <w:rsid w:val="2D205F2C"/>
    <w:rsid w:val="2D239DCF"/>
    <w:rsid w:val="2D24877D"/>
    <w:rsid w:val="2D2667F1"/>
    <w:rsid w:val="2D2736E9"/>
    <w:rsid w:val="2D2B8FE3"/>
    <w:rsid w:val="2D2CF0FD"/>
    <w:rsid w:val="2D32A4CA"/>
    <w:rsid w:val="2D397178"/>
    <w:rsid w:val="2D3F3B9D"/>
    <w:rsid w:val="2D412384"/>
    <w:rsid w:val="2D427487"/>
    <w:rsid w:val="2D42AE42"/>
    <w:rsid w:val="2D43D86D"/>
    <w:rsid w:val="2D44D093"/>
    <w:rsid w:val="2D458E2B"/>
    <w:rsid w:val="2D4606D1"/>
    <w:rsid w:val="2D4C0002"/>
    <w:rsid w:val="2D503776"/>
    <w:rsid w:val="2D516A91"/>
    <w:rsid w:val="2D5402EA"/>
    <w:rsid w:val="2D57E796"/>
    <w:rsid w:val="2D60A9E5"/>
    <w:rsid w:val="2D627B1C"/>
    <w:rsid w:val="2D628C98"/>
    <w:rsid w:val="2D65CD05"/>
    <w:rsid w:val="2D67A0B4"/>
    <w:rsid w:val="2D6D9B5E"/>
    <w:rsid w:val="2D7062B3"/>
    <w:rsid w:val="2D713E93"/>
    <w:rsid w:val="2D71F866"/>
    <w:rsid w:val="2D73FA45"/>
    <w:rsid w:val="2D74FF16"/>
    <w:rsid w:val="2D759369"/>
    <w:rsid w:val="2D764A0D"/>
    <w:rsid w:val="2D786D90"/>
    <w:rsid w:val="2D7A8FA7"/>
    <w:rsid w:val="2D7BA000"/>
    <w:rsid w:val="2D7C6123"/>
    <w:rsid w:val="2D7CDA71"/>
    <w:rsid w:val="2D7DF790"/>
    <w:rsid w:val="2D7E0D59"/>
    <w:rsid w:val="2D7ED83D"/>
    <w:rsid w:val="2D7FF9D0"/>
    <w:rsid w:val="2D809A78"/>
    <w:rsid w:val="2D812779"/>
    <w:rsid w:val="2D81AEC9"/>
    <w:rsid w:val="2D81BAE6"/>
    <w:rsid w:val="2D824D98"/>
    <w:rsid w:val="2D867842"/>
    <w:rsid w:val="2D873DEA"/>
    <w:rsid w:val="2D8CA934"/>
    <w:rsid w:val="2D903C44"/>
    <w:rsid w:val="2D908F9F"/>
    <w:rsid w:val="2D91143E"/>
    <w:rsid w:val="2D9311B3"/>
    <w:rsid w:val="2D9414DC"/>
    <w:rsid w:val="2D948A64"/>
    <w:rsid w:val="2D96832E"/>
    <w:rsid w:val="2D97EA3D"/>
    <w:rsid w:val="2D98E31C"/>
    <w:rsid w:val="2D99CD41"/>
    <w:rsid w:val="2D9AF0BC"/>
    <w:rsid w:val="2D9C59B1"/>
    <w:rsid w:val="2D9C5E01"/>
    <w:rsid w:val="2D9FDC48"/>
    <w:rsid w:val="2DA14A5F"/>
    <w:rsid w:val="2DA39431"/>
    <w:rsid w:val="2DA84A44"/>
    <w:rsid w:val="2DA87386"/>
    <w:rsid w:val="2DA8F877"/>
    <w:rsid w:val="2DABFBF7"/>
    <w:rsid w:val="2DAD4975"/>
    <w:rsid w:val="2DADC963"/>
    <w:rsid w:val="2DB74DD6"/>
    <w:rsid w:val="2DB9E97F"/>
    <w:rsid w:val="2DBA3499"/>
    <w:rsid w:val="2DBA8B76"/>
    <w:rsid w:val="2DBDBB5D"/>
    <w:rsid w:val="2DBF81E4"/>
    <w:rsid w:val="2DC41E52"/>
    <w:rsid w:val="2DC48718"/>
    <w:rsid w:val="2DC4F10D"/>
    <w:rsid w:val="2DC5E5B8"/>
    <w:rsid w:val="2DC94378"/>
    <w:rsid w:val="2DCD938A"/>
    <w:rsid w:val="2DD4D951"/>
    <w:rsid w:val="2DD5C4AD"/>
    <w:rsid w:val="2DD788C8"/>
    <w:rsid w:val="2DD86509"/>
    <w:rsid w:val="2DDC2724"/>
    <w:rsid w:val="2DE0BDD9"/>
    <w:rsid w:val="2DEC38A1"/>
    <w:rsid w:val="2DF02097"/>
    <w:rsid w:val="2DF05A23"/>
    <w:rsid w:val="2DF09E4C"/>
    <w:rsid w:val="2DF18D06"/>
    <w:rsid w:val="2DF39F93"/>
    <w:rsid w:val="2DF9D051"/>
    <w:rsid w:val="2DFF037C"/>
    <w:rsid w:val="2E00A853"/>
    <w:rsid w:val="2E064331"/>
    <w:rsid w:val="2E077EA6"/>
    <w:rsid w:val="2E078CB6"/>
    <w:rsid w:val="2E0BF64E"/>
    <w:rsid w:val="2E0CB0F6"/>
    <w:rsid w:val="2E0D93BA"/>
    <w:rsid w:val="2E0DEA2B"/>
    <w:rsid w:val="2E1402DF"/>
    <w:rsid w:val="2E14AD46"/>
    <w:rsid w:val="2E18613A"/>
    <w:rsid w:val="2E187857"/>
    <w:rsid w:val="2E18EAD5"/>
    <w:rsid w:val="2E1A4EDF"/>
    <w:rsid w:val="2E1A65A1"/>
    <w:rsid w:val="2E1BCE11"/>
    <w:rsid w:val="2E22738D"/>
    <w:rsid w:val="2E253EEF"/>
    <w:rsid w:val="2E2A1651"/>
    <w:rsid w:val="2E2E1441"/>
    <w:rsid w:val="2E323F36"/>
    <w:rsid w:val="2E32C82C"/>
    <w:rsid w:val="2E32F119"/>
    <w:rsid w:val="2E36B9BD"/>
    <w:rsid w:val="2E371132"/>
    <w:rsid w:val="2E3A1F53"/>
    <w:rsid w:val="2E3AFBD4"/>
    <w:rsid w:val="2E3C4548"/>
    <w:rsid w:val="2E3CDFC3"/>
    <w:rsid w:val="2E3F34B3"/>
    <w:rsid w:val="2E46C7AA"/>
    <w:rsid w:val="2E4719AD"/>
    <w:rsid w:val="2E480402"/>
    <w:rsid w:val="2E485654"/>
    <w:rsid w:val="2E48B591"/>
    <w:rsid w:val="2E48C73F"/>
    <w:rsid w:val="2E4B9779"/>
    <w:rsid w:val="2E4C38F9"/>
    <w:rsid w:val="2E4D363D"/>
    <w:rsid w:val="2E4EE794"/>
    <w:rsid w:val="2E5336C5"/>
    <w:rsid w:val="2E534752"/>
    <w:rsid w:val="2E53E655"/>
    <w:rsid w:val="2E561436"/>
    <w:rsid w:val="2E567A1F"/>
    <w:rsid w:val="2E5E796B"/>
    <w:rsid w:val="2E5FAC2C"/>
    <w:rsid w:val="2E604E38"/>
    <w:rsid w:val="2E61D3D9"/>
    <w:rsid w:val="2E62A9A4"/>
    <w:rsid w:val="2E649861"/>
    <w:rsid w:val="2E65DA58"/>
    <w:rsid w:val="2E68FF81"/>
    <w:rsid w:val="2E6902F5"/>
    <w:rsid w:val="2E6EA7B5"/>
    <w:rsid w:val="2E719530"/>
    <w:rsid w:val="2E7298C1"/>
    <w:rsid w:val="2E72A9E0"/>
    <w:rsid w:val="2E733D3C"/>
    <w:rsid w:val="2E764D53"/>
    <w:rsid w:val="2E76F169"/>
    <w:rsid w:val="2E7951DF"/>
    <w:rsid w:val="2E827D6E"/>
    <w:rsid w:val="2E835E30"/>
    <w:rsid w:val="2E8400BF"/>
    <w:rsid w:val="2E864772"/>
    <w:rsid w:val="2E87326A"/>
    <w:rsid w:val="2E88AB88"/>
    <w:rsid w:val="2E893001"/>
    <w:rsid w:val="2E8AB581"/>
    <w:rsid w:val="2E8ADBFB"/>
    <w:rsid w:val="2E8B8305"/>
    <w:rsid w:val="2E8C7E90"/>
    <w:rsid w:val="2E8CED8D"/>
    <w:rsid w:val="2E8D2234"/>
    <w:rsid w:val="2E8E98D1"/>
    <w:rsid w:val="2E95D302"/>
    <w:rsid w:val="2E96FF52"/>
    <w:rsid w:val="2E97A977"/>
    <w:rsid w:val="2E9811ED"/>
    <w:rsid w:val="2E98A6EF"/>
    <w:rsid w:val="2E9A2BFC"/>
    <w:rsid w:val="2E9A3D85"/>
    <w:rsid w:val="2E9ABB19"/>
    <w:rsid w:val="2E9E630B"/>
    <w:rsid w:val="2EA0695F"/>
    <w:rsid w:val="2EA386F5"/>
    <w:rsid w:val="2EA412F9"/>
    <w:rsid w:val="2EA5FB94"/>
    <w:rsid w:val="2EA94970"/>
    <w:rsid w:val="2EAB2EBC"/>
    <w:rsid w:val="2EAECC23"/>
    <w:rsid w:val="2EB13D8E"/>
    <w:rsid w:val="2EB5FBCD"/>
    <w:rsid w:val="2EB95F44"/>
    <w:rsid w:val="2EBF8A0F"/>
    <w:rsid w:val="2EC013CF"/>
    <w:rsid w:val="2EC399C6"/>
    <w:rsid w:val="2EC39FCD"/>
    <w:rsid w:val="2EC49B9F"/>
    <w:rsid w:val="2EC51962"/>
    <w:rsid w:val="2ECA2095"/>
    <w:rsid w:val="2ECA7026"/>
    <w:rsid w:val="2ECB578F"/>
    <w:rsid w:val="2ECD1BAA"/>
    <w:rsid w:val="2ECD6867"/>
    <w:rsid w:val="2ECE0E5D"/>
    <w:rsid w:val="2ECE234B"/>
    <w:rsid w:val="2ED112AD"/>
    <w:rsid w:val="2ED352E9"/>
    <w:rsid w:val="2ED3CE1D"/>
    <w:rsid w:val="2ED412A7"/>
    <w:rsid w:val="2ED70D01"/>
    <w:rsid w:val="2ED74640"/>
    <w:rsid w:val="2EDA9959"/>
    <w:rsid w:val="2EDABD12"/>
    <w:rsid w:val="2EDB03FD"/>
    <w:rsid w:val="2EDB2AF4"/>
    <w:rsid w:val="2EDC3D23"/>
    <w:rsid w:val="2EDDF2E7"/>
    <w:rsid w:val="2EE02E86"/>
    <w:rsid w:val="2EE1AB9D"/>
    <w:rsid w:val="2EE1DEF7"/>
    <w:rsid w:val="2EE42104"/>
    <w:rsid w:val="2EE4DDCD"/>
    <w:rsid w:val="2EE54AD2"/>
    <w:rsid w:val="2EE71796"/>
    <w:rsid w:val="2EE79E64"/>
    <w:rsid w:val="2EE897E5"/>
    <w:rsid w:val="2EE8B2FC"/>
    <w:rsid w:val="2EEB15AC"/>
    <w:rsid w:val="2EEDD332"/>
    <w:rsid w:val="2EEDD385"/>
    <w:rsid w:val="2EEE6346"/>
    <w:rsid w:val="2EF10DD1"/>
    <w:rsid w:val="2EF28705"/>
    <w:rsid w:val="2EF41AD3"/>
    <w:rsid w:val="2EF88CB9"/>
    <w:rsid w:val="2EF8C48C"/>
    <w:rsid w:val="2EF9A64A"/>
    <w:rsid w:val="2EFA7F3C"/>
    <w:rsid w:val="2EFB8463"/>
    <w:rsid w:val="2EFC023E"/>
    <w:rsid w:val="2EFFA500"/>
    <w:rsid w:val="2F014DCB"/>
    <w:rsid w:val="2F037946"/>
    <w:rsid w:val="2F05134A"/>
    <w:rsid w:val="2F0AC520"/>
    <w:rsid w:val="2F105D25"/>
    <w:rsid w:val="2F11A2C5"/>
    <w:rsid w:val="2F12B129"/>
    <w:rsid w:val="2F158781"/>
    <w:rsid w:val="2F159ED3"/>
    <w:rsid w:val="2F1A2567"/>
    <w:rsid w:val="2F1DE58E"/>
    <w:rsid w:val="2F1EAE89"/>
    <w:rsid w:val="2F1F3DFF"/>
    <w:rsid w:val="2F2287D9"/>
    <w:rsid w:val="2F250CA3"/>
    <w:rsid w:val="2F252328"/>
    <w:rsid w:val="2F26BA23"/>
    <w:rsid w:val="2F26C8A7"/>
    <w:rsid w:val="2F28D23C"/>
    <w:rsid w:val="2F2983A0"/>
    <w:rsid w:val="2F29DB91"/>
    <w:rsid w:val="2F2E79ED"/>
    <w:rsid w:val="2F2FB9BB"/>
    <w:rsid w:val="2F310386"/>
    <w:rsid w:val="2F32C1D0"/>
    <w:rsid w:val="2F32D761"/>
    <w:rsid w:val="2F32DEBE"/>
    <w:rsid w:val="2F32FCB2"/>
    <w:rsid w:val="2F34DE7F"/>
    <w:rsid w:val="2F353DD8"/>
    <w:rsid w:val="2F361E09"/>
    <w:rsid w:val="2F39C32E"/>
    <w:rsid w:val="2F3B2D1B"/>
    <w:rsid w:val="2F3B8F1C"/>
    <w:rsid w:val="2F3C8BC7"/>
    <w:rsid w:val="2F3D2FA3"/>
    <w:rsid w:val="2F4097FC"/>
    <w:rsid w:val="2F40D55A"/>
    <w:rsid w:val="2F42C4CB"/>
    <w:rsid w:val="2F46284F"/>
    <w:rsid w:val="2F468B07"/>
    <w:rsid w:val="2F4A57C1"/>
    <w:rsid w:val="2F4C307A"/>
    <w:rsid w:val="2F4F0925"/>
    <w:rsid w:val="2F501287"/>
    <w:rsid w:val="2F5116E0"/>
    <w:rsid w:val="2F526A41"/>
    <w:rsid w:val="2F52FC3B"/>
    <w:rsid w:val="2F5446FF"/>
    <w:rsid w:val="2F56B253"/>
    <w:rsid w:val="2F5A2CD0"/>
    <w:rsid w:val="2F5ADCE2"/>
    <w:rsid w:val="2F5B447A"/>
    <w:rsid w:val="2F5E6528"/>
    <w:rsid w:val="2F5F4BDC"/>
    <w:rsid w:val="2F618051"/>
    <w:rsid w:val="2F63666D"/>
    <w:rsid w:val="2F6421C6"/>
    <w:rsid w:val="2F6506F2"/>
    <w:rsid w:val="2F66DB0F"/>
    <w:rsid w:val="2F677E60"/>
    <w:rsid w:val="2F6804AD"/>
    <w:rsid w:val="2F697B67"/>
    <w:rsid w:val="2F70FB66"/>
    <w:rsid w:val="2F71A6F1"/>
    <w:rsid w:val="2F7217DE"/>
    <w:rsid w:val="2F73EB4E"/>
    <w:rsid w:val="2F7668ED"/>
    <w:rsid w:val="2F791D03"/>
    <w:rsid w:val="2F7B3DDF"/>
    <w:rsid w:val="2F7D8386"/>
    <w:rsid w:val="2F7F9EC7"/>
    <w:rsid w:val="2F800D90"/>
    <w:rsid w:val="2F81A10F"/>
    <w:rsid w:val="2F85859F"/>
    <w:rsid w:val="2F860F88"/>
    <w:rsid w:val="2F8A5FB0"/>
    <w:rsid w:val="2F8AF7CE"/>
    <w:rsid w:val="2F8F3ECA"/>
    <w:rsid w:val="2F9032BA"/>
    <w:rsid w:val="2F942F4C"/>
    <w:rsid w:val="2F99F6DB"/>
    <w:rsid w:val="2F9FE623"/>
    <w:rsid w:val="2FA2336F"/>
    <w:rsid w:val="2FA37CE8"/>
    <w:rsid w:val="2FA46898"/>
    <w:rsid w:val="2FA7EBB3"/>
    <w:rsid w:val="2FA8170A"/>
    <w:rsid w:val="2FA8A54C"/>
    <w:rsid w:val="2FA94E32"/>
    <w:rsid w:val="2FAE9BB2"/>
    <w:rsid w:val="2FB65B83"/>
    <w:rsid w:val="2FB8D195"/>
    <w:rsid w:val="2FBBB0C2"/>
    <w:rsid w:val="2FC5C14A"/>
    <w:rsid w:val="2FC61D9B"/>
    <w:rsid w:val="2FC6389F"/>
    <w:rsid w:val="2FC7C17B"/>
    <w:rsid w:val="2FCC77D8"/>
    <w:rsid w:val="2FCCDFFD"/>
    <w:rsid w:val="2FCF496A"/>
    <w:rsid w:val="2FD0E0AB"/>
    <w:rsid w:val="2FD0F074"/>
    <w:rsid w:val="2FD188D0"/>
    <w:rsid w:val="2FD44394"/>
    <w:rsid w:val="2FD4FEB7"/>
    <w:rsid w:val="2FD525E1"/>
    <w:rsid w:val="2FD87185"/>
    <w:rsid w:val="2FD8E126"/>
    <w:rsid w:val="2FDC0C65"/>
    <w:rsid w:val="2FDC47C7"/>
    <w:rsid w:val="2FDDBA50"/>
    <w:rsid w:val="2FDDEAFD"/>
    <w:rsid w:val="2FDFCE1E"/>
    <w:rsid w:val="2FDFD3DA"/>
    <w:rsid w:val="2FE1369D"/>
    <w:rsid w:val="2FE4C911"/>
    <w:rsid w:val="2FE524D8"/>
    <w:rsid w:val="2FE5C30F"/>
    <w:rsid w:val="2FED2E03"/>
    <w:rsid w:val="2FEEEC75"/>
    <w:rsid w:val="2FEF7ECC"/>
    <w:rsid w:val="2FF39C2C"/>
    <w:rsid w:val="2FF50CDB"/>
    <w:rsid w:val="2FF7DC80"/>
    <w:rsid w:val="2FF8162C"/>
    <w:rsid w:val="2FFB2ED5"/>
    <w:rsid w:val="2FFDCE3F"/>
    <w:rsid w:val="2FFDF510"/>
    <w:rsid w:val="30019EB6"/>
    <w:rsid w:val="3002F32A"/>
    <w:rsid w:val="300361E5"/>
    <w:rsid w:val="3003C0B9"/>
    <w:rsid w:val="3004D1A0"/>
    <w:rsid w:val="300715F9"/>
    <w:rsid w:val="300783A5"/>
    <w:rsid w:val="30094A2C"/>
    <w:rsid w:val="300A471E"/>
    <w:rsid w:val="300CCDC5"/>
    <w:rsid w:val="300FA10D"/>
    <w:rsid w:val="3011A836"/>
    <w:rsid w:val="3011BE6E"/>
    <w:rsid w:val="3011E777"/>
    <w:rsid w:val="3014FBF0"/>
    <w:rsid w:val="3016A558"/>
    <w:rsid w:val="301ABD61"/>
    <w:rsid w:val="301ACFE7"/>
    <w:rsid w:val="301B519F"/>
    <w:rsid w:val="301C92EA"/>
    <w:rsid w:val="301F3C83"/>
    <w:rsid w:val="30220B89"/>
    <w:rsid w:val="3023F38B"/>
    <w:rsid w:val="3029BE85"/>
    <w:rsid w:val="30311CE9"/>
    <w:rsid w:val="3031E6F6"/>
    <w:rsid w:val="303485C9"/>
    <w:rsid w:val="3040B16A"/>
    <w:rsid w:val="3042E696"/>
    <w:rsid w:val="30438C2C"/>
    <w:rsid w:val="30451D04"/>
    <w:rsid w:val="304A8D8E"/>
    <w:rsid w:val="304B9CE0"/>
    <w:rsid w:val="304E22F9"/>
    <w:rsid w:val="304F924F"/>
    <w:rsid w:val="3051045E"/>
    <w:rsid w:val="30512CC4"/>
    <w:rsid w:val="305600B0"/>
    <w:rsid w:val="3056FAAA"/>
    <w:rsid w:val="305A094B"/>
    <w:rsid w:val="305D580D"/>
    <w:rsid w:val="305D81F6"/>
    <w:rsid w:val="305ECC93"/>
    <w:rsid w:val="305FC18F"/>
    <w:rsid w:val="305FFAE0"/>
    <w:rsid w:val="3060B227"/>
    <w:rsid w:val="30635D3B"/>
    <w:rsid w:val="30663765"/>
    <w:rsid w:val="3066DED1"/>
    <w:rsid w:val="306D56E5"/>
    <w:rsid w:val="306F447E"/>
    <w:rsid w:val="3072AE8B"/>
    <w:rsid w:val="3072FD60"/>
    <w:rsid w:val="3076A04D"/>
    <w:rsid w:val="3079B767"/>
    <w:rsid w:val="307AA745"/>
    <w:rsid w:val="307D6EFD"/>
    <w:rsid w:val="307F5CEB"/>
    <w:rsid w:val="308517A2"/>
    <w:rsid w:val="308A4592"/>
    <w:rsid w:val="308C5F53"/>
    <w:rsid w:val="308EC1B7"/>
    <w:rsid w:val="3091AB8C"/>
    <w:rsid w:val="3092B8DD"/>
    <w:rsid w:val="30940D60"/>
    <w:rsid w:val="3094D700"/>
    <w:rsid w:val="309AB818"/>
    <w:rsid w:val="309AEF51"/>
    <w:rsid w:val="309B4289"/>
    <w:rsid w:val="309BA3F1"/>
    <w:rsid w:val="309C50D4"/>
    <w:rsid w:val="309F0671"/>
    <w:rsid w:val="309F9227"/>
    <w:rsid w:val="30A1604C"/>
    <w:rsid w:val="30A2A38C"/>
    <w:rsid w:val="30A2FA09"/>
    <w:rsid w:val="30A509C7"/>
    <w:rsid w:val="30A65EC6"/>
    <w:rsid w:val="30A7331C"/>
    <w:rsid w:val="30A81FCC"/>
    <w:rsid w:val="30A9A5AF"/>
    <w:rsid w:val="30AA01C7"/>
    <w:rsid w:val="30ABF357"/>
    <w:rsid w:val="30AF2EC9"/>
    <w:rsid w:val="30B96720"/>
    <w:rsid w:val="30BAB781"/>
    <w:rsid w:val="30BC16D9"/>
    <w:rsid w:val="30BCAEA8"/>
    <w:rsid w:val="30BCB752"/>
    <w:rsid w:val="30BD8C7D"/>
    <w:rsid w:val="30BE7092"/>
    <w:rsid w:val="30C16720"/>
    <w:rsid w:val="30C29F89"/>
    <w:rsid w:val="30C2EAE1"/>
    <w:rsid w:val="30C3FEDC"/>
    <w:rsid w:val="30C89D23"/>
    <w:rsid w:val="30C9AD91"/>
    <w:rsid w:val="30CA3343"/>
    <w:rsid w:val="30CA8A42"/>
    <w:rsid w:val="30CC32B4"/>
    <w:rsid w:val="30CE33A3"/>
    <w:rsid w:val="30D042D4"/>
    <w:rsid w:val="30D0A436"/>
    <w:rsid w:val="30D1C088"/>
    <w:rsid w:val="30D3B642"/>
    <w:rsid w:val="30D3F126"/>
    <w:rsid w:val="30D976E3"/>
    <w:rsid w:val="30DAC790"/>
    <w:rsid w:val="30DE17C3"/>
    <w:rsid w:val="30E1F2A3"/>
    <w:rsid w:val="30E3B016"/>
    <w:rsid w:val="30E52264"/>
    <w:rsid w:val="30E59E4C"/>
    <w:rsid w:val="30E828D8"/>
    <w:rsid w:val="30E85828"/>
    <w:rsid w:val="30EC7A92"/>
    <w:rsid w:val="30ED76ED"/>
    <w:rsid w:val="30ED9EEF"/>
    <w:rsid w:val="30F26871"/>
    <w:rsid w:val="30F2F39B"/>
    <w:rsid w:val="30F48B50"/>
    <w:rsid w:val="30F4B32E"/>
    <w:rsid w:val="30F6B315"/>
    <w:rsid w:val="30FA28BD"/>
    <w:rsid w:val="30FC570C"/>
    <w:rsid w:val="30FC6BB2"/>
    <w:rsid w:val="3103F2C1"/>
    <w:rsid w:val="31048F8C"/>
    <w:rsid w:val="31071410"/>
    <w:rsid w:val="31073FEB"/>
    <w:rsid w:val="310A5A1A"/>
    <w:rsid w:val="3112AF0A"/>
    <w:rsid w:val="3113B3F4"/>
    <w:rsid w:val="3113D231"/>
    <w:rsid w:val="3119ED30"/>
    <w:rsid w:val="311A0274"/>
    <w:rsid w:val="311E04A9"/>
    <w:rsid w:val="311E1409"/>
    <w:rsid w:val="311F55B6"/>
    <w:rsid w:val="311FA865"/>
    <w:rsid w:val="311FE264"/>
    <w:rsid w:val="312053E2"/>
    <w:rsid w:val="31207F87"/>
    <w:rsid w:val="3125F17C"/>
    <w:rsid w:val="312714F2"/>
    <w:rsid w:val="3129D9AF"/>
    <w:rsid w:val="312F1602"/>
    <w:rsid w:val="31334DE5"/>
    <w:rsid w:val="313476A4"/>
    <w:rsid w:val="313D6779"/>
    <w:rsid w:val="313EF7D5"/>
    <w:rsid w:val="3141AB38"/>
    <w:rsid w:val="3141D594"/>
    <w:rsid w:val="31431BEF"/>
    <w:rsid w:val="3144A545"/>
    <w:rsid w:val="31470192"/>
    <w:rsid w:val="314840A6"/>
    <w:rsid w:val="3148D66D"/>
    <w:rsid w:val="31493BE1"/>
    <w:rsid w:val="314B7D09"/>
    <w:rsid w:val="314BAAF9"/>
    <w:rsid w:val="314C2950"/>
    <w:rsid w:val="314D2E7A"/>
    <w:rsid w:val="314DD327"/>
    <w:rsid w:val="314E5791"/>
    <w:rsid w:val="314EA2EF"/>
    <w:rsid w:val="315551DB"/>
    <w:rsid w:val="3156F612"/>
    <w:rsid w:val="31590194"/>
    <w:rsid w:val="315AEC1E"/>
    <w:rsid w:val="315C48D0"/>
    <w:rsid w:val="315C773A"/>
    <w:rsid w:val="315CFEB1"/>
    <w:rsid w:val="315DF392"/>
    <w:rsid w:val="3160A092"/>
    <w:rsid w:val="3160CBA0"/>
    <w:rsid w:val="316211DD"/>
    <w:rsid w:val="31625409"/>
    <w:rsid w:val="316C6990"/>
    <w:rsid w:val="316D34BE"/>
    <w:rsid w:val="316E7AF5"/>
    <w:rsid w:val="316F595C"/>
    <w:rsid w:val="3174C91B"/>
    <w:rsid w:val="3179D887"/>
    <w:rsid w:val="317AD6A3"/>
    <w:rsid w:val="317E515A"/>
    <w:rsid w:val="317F82AF"/>
    <w:rsid w:val="3180DF3E"/>
    <w:rsid w:val="31821133"/>
    <w:rsid w:val="3184BC87"/>
    <w:rsid w:val="3188DA55"/>
    <w:rsid w:val="31910B74"/>
    <w:rsid w:val="31922C54"/>
    <w:rsid w:val="31924FD0"/>
    <w:rsid w:val="3192C770"/>
    <w:rsid w:val="31938208"/>
    <w:rsid w:val="31960B16"/>
    <w:rsid w:val="3196FDCD"/>
    <w:rsid w:val="3198B3B8"/>
    <w:rsid w:val="31995856"/>
    <w:rsid w:val="319BD48D"/>
    <w:rsid w:val="319BEE0D"/>
    <w:rsid w:val="31A3AC1D"/>
    <w:rsid w:val="31A6B842"/>
    <w:rsid w:val="31AA9FFD"/>
    <w:rsid w:val="31ADC63D"/>
    <w:rsid w:val="31AE4420"/>
    <w:rsid w:val="31B141E1"/>
    <w:rsid w:val="31B33430"/>
    <w:rsid w:val="31B6120C"/>
    <w:rsid w:val="31BA2E7B"/>
    <w:rsid w:val="31BA535B"/>
    <w:rsid w:val="31BB7002"/>
    <w:rsid w:val="31BC38D0"/>
    <w:rsid w:val="31BDEC8E"/>
    <w:rsid w:val="31BF8B40"/>
    <w:rsid w:val="31C16C78"/>
    <w:rsid w:val="31C429CC"/>
    <w:rsid w:val="31C4A668"/>
    <w:rsid w:val="31C4EC60"/>
    <w:rsid w:val="31CEB40E"/>
    <w:rsid w:val="31CF7A79"/>
    <w:rsid w:val="31D247DC"/>
    <w:rsid w:val="31D2DFFE"/>
    <w:rsid w:val="31D428D0"/>
    <w:rsid w:val="31D59279"/>
    <w:rsid w:val="31D6484B"/>
    <w:rsid w:val="31D98206"/>
    <w:rsid w:val="31D9F9E8"/>
    <w:rsid w:val="31DB4DD5"/>
    <w:rsid w:val="31E13E8E"/>
    <w:rsid w:val="31E4EF3F"/>
    <w:rsid w:val="31E6C21E"/>
    <w:rsid w:val="31E7FE3D"/>
    <w:rsid w:val="31E8E227"/>
    <w:rsid w:val="31EAA853"/>
    <w:rsid w:val="31ECD3C5"/>
    <w:rsid w:val="31EEF290"/>
    <w:rsid w:val="31EF8D6A"/>
    <w:rsid w:val="31F2855C"/>
    <w:rsid w:val="31F80AB7"/>
    <w:rsid w:val="31F83AA9"/>
    <w:rsid w:val="31FB7869"/>
    <w:rsid w:val="31FED79E"/>
    <w:rsid w:val="32013858"/>
    <w:rsid w:val="32021282"/>
    <w:rsid w:val="3202F9BC"/>
    <w:rsid w:val="3205763A"/>
    <w:rsid w:val="3206D79B"/>
    <w:rsid w:val="32081AD8"/>
    <w:rsid w:val="3208B214"/>
    <w:rsid w:val="32094E84"/>
    <w:rsid w:val="32098070"/>
    <w:rsid w:val="3209C04C"/>
    <w:rsid w:val="3209E1D4"/>
    <w:rsid w:val="320A7B5F"/>
    <w:rsid w:val="320FD6BA"/>
    <w:rsid w:val="3212C3CD"/>
    <w:rsid w:val="32132A00"/>
    <w:rsid w:val="32149B71"/>
    <w:rsid w:val="3217ED14"/>
    <w:rsid w:val="3218394A"/>
    <w:rsid w:val="3218787C"/>
    <w:rsid w:val="321B7FB5"/>
    <w:rsid w:val="321D9C24"/>
    <w:rsid w:val="32210642"/>
    <w:rsid w:val="32216F92"/>
    <w:rsid w:val="3222C448"/>
    <w:rsid w:val="3223862C"/>
    <w:rsid w:val="32256E49"/>
    <w:rsid w:val="3226B138"/>
    <w:rsid w:val="3226B5C3"/>
    <w:rsid w:val="32273D75"/>
    <w:rsid w:val="3227A2E6"/>
    <w:rsid w:val="322D459D"/>
    <w:rsid w:val="322D8967"/>
    <w:rsid w:val="322EB17F"/>
    <w:rsid w:val="32303C28"/>
    <w:rsid w:val="3232DB41"/>
    <w:rsid w:val="3233F5C2"/>
    <w:rsid w:val="323697D4"/>
    <w:rsid w:val="3238DCEC"/>
    <w:rsid w:val="32399956"/>
    <w:rsid w:val="323C65C3"/>
    <w:rsid w:val="324084D6"/>
    <w:rsid w:val="32414DC4"/>
    <w:rsid w:val="32442F83"/>
    <w:rsid w:val="3246D623"/>
    <w:rsid w:val="32477169"/>
    <w:rsid w:val="324E17AA"/>
    <w:rsid w:val="324F6367"/>
    <w:rsid w:val="3250B20F"/>
    <w:rsid w:val="32533A88"/>
    <w:rsid w:val="32579D99"/>
    <w:rsid w:val="32581887"/>
    <w:rsid w:val="32593041"/>
    <w:rsid w:val="325AA7C7"/>
    <w:rsid w:val="325C2BA6"/>
    <w:rsid w:val="325DEB5F"/>
    <w:rsid w:val="325EA26C"/>
    <w:rsid w:val="3262736E"/>
    <w:rsid w:val="3262AEB8"/>
    <w:rsid w:val="326304B1"/>
    <w:rsid w:val="326A3FF1"/>
    <w:rsid w:val="326B5A81"/>
    <w:rsid w:val="326BD017"/>
    <w:rsid w:val="326C45CF"/>
    <w:rsid w:val="326CBE3A"/>
    <w:rsid w:val="326CDC85"/>
    <w:rsid w:val="326D9CBE"/>
    <w:rsid w:val="326DCB1A"/>
    <w:rsid w:val="326F00B9"/>
    <w:rsid w:val="326F0B1E"/>
    <w:rsid w:val="3271B7CE"/>
    <w:rsid w:val="327A104F"/>
    <w:rsid w:val="327A3B07"/>
    <w:rsid w:val="327AA0E9"/>
    <w:rsid w:val="327BD9CD"/>
    <w:rsid w:val="328180F4"/>
    <w:rsid w:val="3283F941"/>
    <w:rsid w:val="32852C60"/>
    <w:rsid w:val="3286BF5E"/>
    <w:rsid w:val="3288F340"/>
    <w:rsid w:val="32897241"/>
    <w:rsid w:val="328AA5FE"/>
    <w:rsid w:val="328F8ABF"/>
    <w:rsid w:val="328FBAC9"/>
    <w:rsid w:val="32908529"/>
    <w:rsid w:val="3292C355"/>
    <w:rsid w:val="32938F81"/>
    <w:rsid w:val="32948492"/>
    <w:rsid w:val="3298048F"/>
    <w:rsid w:val="32981D00"/>
    <w:rsid w:val="3298FF5D"/>
    <w:rsid w:val="329BCD01"/>
    <w:rsid w:val="329E30A8"/>
    <w:rsid w:val="329EE3D4"/>
    <w:rsid w:val="32A094FD"/>
    <w:rsid w:val="32A55981"/>
    <w:rsid w:val="32A6FCA4"/>
    <w:rsid w:val="32A95350"/>
    <w:rsid w:val="32ABF53A"/>
    <w:rsid w:val="32AC5792"/>
    <w:rsid w:val="32AD285D"/>
    <w:rsid w:val="32AF2A4D"/>
    <w:rsid w:val="32B29780"/>
    <w:rsid w:val="32B4B5C5"/>
    <w:rsid w:val="32B5C769"/>
    <w:rsid w:val="32B64EA7"/>
    <w:rsid w:val="32B68D61"/>
    <w:rsid w:val="32BAC511"/>
    <w:rsid w:val="32BB1FA9"/>
    <w:rsid w:val="32BD21C8"/>
    <w:rsid w:val="32BE2D37"/>
    <w:rsid w:val="32C3014E"/>
    <w:rsid w:val="32C6230C"/>
    <w:rsid w:val="32C66566"/>
    <w:rsid w:val="32CA0933"/>
    <w:rsid w:val="32D14C79"/>
    <w:rsid w:val="32D17251"/>
    <w:rsid w:val="32D1902F"/>
    <w:rsid w:val="32D37DDC"/>
    <w:rsid w:val="32D3BCEF"/>
    <w:rsid w:val="32D5A56F"/>
    <w:rsid w:val="32D66847"/>
    <w:rsid w:val="32D92305"/>
    <w:rsid w:val="32D9AB5B"/>
    <w:rsid w:val="32DC310A"/>
    <w:rsid w:val="32DD68F2"/>
    <w:rsid w:val="32E26EC5"/>
    <w:rsid w:val="32E33195"/>
    <w:rsid w:val="32E96FEE"/>
    <w:rsid w:val="32EA97C9"/>
    <w:rsid w:val="32EDA577"/>
    <w:rsid w:val="32EE1EB9"/>
    <w:rsid w:val="32EE74F8"/>
    <w:rsid w:val="32EF7B37"/>
    <w:rsid w:val="32F15391"/>
    <w:rsid w:val="32F3BC59"/>
    <w:rsid w:val="32FB5334"/>
    <w:rsid w:val="32FD1695"/>
    <w:rsid w:val="330927DF"/>
    <w:rsid w:val="33097150"/>
    <w:rsid w:val="3309963D"/>
    <w:rsid w:val="330CD426"/>
    <w:rsid w:val="33135A7D"/>
    <w:rsid w:val="33150884"/>
    <w:rsid w:val="3317E77C"/>
    <w:rsid w:val="33188D8A"/>
    <w:rsid w:val="3319CB02"/>
    <w:rsid w:val="331A8367"/>
    <w:rsid w:val="331E198E"/>
    <w:rsid w:val="331E7C7C"/>
    <w:rsid w:val="331EF483"/>
    <w:rsid w:val="331FEBB0"/>
    <w:rsid w:val="332283A8"/>
    <w:rsid w:val="33233295"/>
    <w:rsid w:val="33252AB8"/>
    <w:rsid w:val="3326DD76"/>
    <w:rsid w:val="332D37D7"/>
    <w:rsid w:val="332E7B6B"/>
    <w:rsid w:val="332F9394"/>
    <w:rsid w:val="332FF6EB"/>
    <w:rsid w:val="3331B7B1"/>
    <w:rsid w:val="333A802F"/>
    <w:rsid w:val="333C1A73"/>
    <w:rsid w:val="333C8308"/>
    <w:rsid w:val="333DAACA"/>
    <w:rsid w:val="33436B38"/>
    <w:rsid w:val="33453555"/>
    <w:rsid w:val="334704DA"/>
    <w:rsid w:val="3347F6FD"/>
    <w:rsid w:val="33498C3D"/>
    <w:rsid w:val="334A9502"/>
    <w:rsid w:val="335172F7"/>
    <w:rsid w:val="3354C6A1"/>
    <w:rsid w:val="33552A3C"/>
    <w:rsid w:val="3359585D"/>
    <w:rsid w:val="335BF4CD"/>
    <w:rsid w:val="335CE5A6"/>
    <w:rsid w:val="335E7002"/>
    <w:rsid w:val="336000C0"/>
    <w:rsid w:val="33608D92"/>
    <w:rsid w:val="3361ACDF"/>
    <w:rsid w:val="3363A501"/>
    <w:rsid w:val="33657DD6"/>
    <w:rsid w:val="33680A84"/>
    <w:rsid w:val="336E521A"/>
    <w:rsid w:val="337135B2"/>
    <w:rsid w:val="33740047"/>
    <w:rsid w:val="33769A9D"/>
    <w:rsid w:val="337A196F"/>
    <w:rsid w:val="337A2304"/>
    <w:rsid w:val="337B7512"/>
    <w:rsid w:val="337EE22A"/>
    <w:rsid w:val="338308D3"/>
    <w:rsid w:val="3387B59E"/>
    <w:rsid w:val="338882D1"/>
    <w:rsid w:val="338895AA"/>
    <w:rsid w:val="338E3B73"/>
    <w:rsid w:val="3390B417"/>
    <w:rsid w:val="3391F6B8"/>
    <w:rsid w:val="33932E04"/>
    <w:rsid w:val="33950F89"/>
    <w:rsid w:val="339514AF"/>
    <w:rsid w:val="33977A70"/>
    <w:rsid w:val="33984525"/>
    <w:rsid w:val="33996037"/>
    <w:rsid w:val="339BFFCB"/>
    <w:rsid w:val="339E7292"/>
    <w:rsid w:val="339F07FF"/>
    <w:rsid w:val="339FDA1B"/>
    <w:rsid w:val="33A2944D"/>
    <w:rsid w:val="33A3F7FE"/>
    <w:rsid w:val="33A8FF6E"/>
    <w:rsid w:val="33AB6FA9"/>
    <w:rsid w:val="33AF7EEB"/>
    <w:rsid w:val="33B16608"/>
    <w:rsid w:val="33B416B6"/>
    <w:rsid w:val="33B610D3"/>
    <w:rsid w:val="33B70750"/>
    <w:rsid w:val="33BC4946"/>
    <w:rsid w:val="33BCC15F"/>
    <w:rsid w:val="33BE946C"/>
    <w:rsid w:val="33C44C1F"/>
    <w:rsid w:val="33C55248"/>
    <w:rsid w:val="33C7EA6B"/>
    <w:rsid w:val="33CC3A29"/>
    <w:rsid w:val="33CE8007"/>
    <w:rsid w:val="33D3C847"/>
    <w:rsid w:val="33D696D4"/>
    <w:rsid w:val="33D74EDC"/>
    <w:rsid w:val="33D81D55"/>
    <w:rsid w:val="33DA73F9"/>
    <w:rsid w:val="33DAD142"/>
    <w:rsid w:val="33DDB227"/>
    <w:rsid w:val="33DE2995"/>
    <w:rsid w:val="33DFC839"/>
    <w:rsid w:val="33E06E38"/>
    <w:rsid w:val="33E1BFF2"/>
    <w:rsid w:val="33E249B6"/>
    <w:rsid w:val="33E5A813"/>
    <w:rsid w:val="33EB284E"/>
    <w:rsid w:val="33ED46F6"/>
    <w:rsid w:val="33EDA2CA"/>
    <w:rsid w:val="33EFE89C"/>
    <w:rsid w:val="33F22B2A"/>
    <w:rsid w:val="33F43C5B"/>
    <w:rsid w:val="33F56B02"/>
    <w:rsid w:val="33F57845"/>
    <w:rsid w:val="33F6349F"/>
    <w:rsid w:val="33F9CE9B"/>
    <w:rsid w:val="33FB9980"/>
    <w:rsid w:val="33FD5F0B"/>
    <w:rsid w:val="33FF42C4"/>
    <w:rsid w:val="3400B93D"/>
    <w:rsid w:val="3400CBA5"/>
    <w:rsid w:val="34039733"/>
    <w:rsid w:val="3406D408"/>
    <w:rsid w:val="3409E98D"/>
    <w:rsid w:val="340B0CA0"/>
    <w:rsid w:val="340C9274"/>
    <w:rsid w:val="340CE3A8"/>
    <w:rsid w:val="340D1309"/>
    <w:rsid w:val="340DD201"/>
    <w:rsid w:val="340FD141"/>
    <w:rsid w:val="34139371"/>
    <w:rsid w:val="3419C096"/>
    <w:rsid w:val="341BD53B"/>
    <w:rsid w:val="341C66C3"/>
    <w:rsid w:val="342580E3"/>
    <w:rsid w:val="34288C30"/>
    <w:rsid w:val="3429347C"/>
    <w:rsid w:val="342BD3AF"/>
    <w:rsid w:val="342C522F"/>
    <w:rsid w:val="342D5601"/>
    <w:rsid w:val="3433CE6C"/>
    <w:rsid w:val="34349C0B"/>
    <w:rsid w:val="343973A4"/>
    <w:rsid w:val="3439C764"/>
    <w:rsid w:val="343BF325"/>
    <w:rsid w:val="343C6E34"/>
    <w:rsid w:val="343CFA2F"/>
    <w:rsid w:val="343D8C76"/>
    <w:rsid w:val="3440089B"/>
    <w:rsid w:val="3440F14D"/>
    <w:rsid w:val="34485EA7"/>
    <w:rsid w:val="3448ACC5"/>
    <w:rsid w:val="344C2867"/>
    <w:rsid w:val="344DDC8D"/>
    <w:rsid w:val="344F54EE"/>
    <w:rsid w:val="3451A228"/>
    <w:rsid w:val="3452A7A9"/>
    <w:rsid w:val="34539DA5"/>
    <w:rsid w:val="345734D8"/>
    <w:rsid w:val="345A94DF"/>
    <w:rsid w:val="345C250F"/>
    <w:rsid w:val="345D0AEE"/>
    <w:rsid w:val="345D197F"/>
    <w:rsid w:val="34630D0E"/>
    <w:rsid w:val="3464BE56"/>
    <w:rsid w:val="346740D1"/>
    <w:rsid w:val="3467AA77"/>
    <w:rsid w:val="346914D2"/>
    <w:rsid w:val="346A2BC6"/>
    <w:rsid w:val="346C3323"/>
    <w:rsid w:val="346E78C8"/>
    <w:rsid w:val="346F3AEE"/>
    <w:rsid w:val="34745F18"/>
    <w:rsid w:val="347536EC"/>
    <w:rsid w:val="347A34A5"/>
    <w:rsid w:val="347A3C37"/>
    <w:rsid w:val="347AC726"/>
    <w:rsid w:val="347AC934"/>
    <w:rsid w:val="347B4AFF"/>
    <w:rsid w:val="347DF06B"/>
    <w:rsid w:val="347EEBB9"/>
    <w:rsid w:val="347EEE38"/>
    <w:rsid w:val="348748FA"/>
    <w:rsid w:val="348AA7F9"/>
    <w:rsid w:val="348C15BD"/>
    <w:rsid w:val="348C4DA9"/>
    <w:rsid w:val="348D5B8C"/>
    <w:rsid w:val="348EB6E6"/>
    <w:rsid w:val="348F923E"/>
    <w:rsid w:val="348FA103"/>
    <w:rsid w:val="34902886"/>
    <w:rsid w:val="34920D49"/>
    <w:rsid w:val="3494791E"/>
    <w:rsid w:val="3499DE19"/>
    <w:rsid w:val="349B79EE"/>
    <w:rsid w:val="349C47A6"/>
    <w:rsid w:val="349C6C5A"/>
    <w:rsid w:val="349DB9D6"/>
    <w:rsid w:val="349F9CF1"/>
    <w:rsid w:val="34A2DCBD"/>
    <w:rsid w:val="34A49822"/>
    <w:rsid w:val="34A652E1"/>
    <w:rsid w:val="34A7BE51"/>
    <w:rsid w:val="34A8042C"/>
    <w:rsid w:val="34AE2AE4"/>
    <w:rsid w:val="34AEEAA0"/>
    <w:rsid w:val="34B20547"/>
    <w:rsid w:val="34B243D4"/>
    <w:rsid w:val="34B2E359"/>
    <w:rsid w:val="34B57943"/>
    <w:rsid w:val="34B6341E"/>
    <w:rsid w:val="34BBF6A1"/>
    <w:rsid w:val="34BE43CE"/>
    <w:rsid w:val="34C08C34"/>
    <w:rsid w:val="34C0AF44"/>
    <w:rsid w:val="34C0DE76"/>
    <w:rsid w:val="34C19AD5"/>
    <w:rsid w:val="34C1E26E"/>
    <w:rsid w:val="34C36A3D"/>
    <w:rsid w:val="34C4E431"/>
    <w:rsid w:val="34C6B88C"/>
    <w:rsid w:val="34C9A512"/>
    <w:rsid w:val="34CB6B17"/>
    <w:rsid w:val="34CBD30D"/>
    <w:rsid w:val="34CE3D7A"/>
    <w:rsid w:val="34CF4092"/>
    <w:rsid w:val="34CF7F2D"/>
    <w:rsid w:val="34D47887"/>
    <w:rsid w:val="34D5B2CE"/>
    <w:rsid w:val="34D5B552"/>
    <w:rsid w:val="34DD2F85"/>
    <w:rsid w:val="34E3B96E"/>
    <w:rsid w:val="34E512D7"/>
    <w:rsid w:val="34EC5CE6"/>
    <w:rsid w:val="34EF5BDB"/>
    <w:rsid w:val="34F0DEB1"/>
    <w:rsid w:val="34F0E638"/>
    <w:rsid w:val="34F1287D"/>
    <w:rsid w:val="34F382D5"/>
    <w:rsid w:val="34F45E33"/>
    <w:rsid w:val="34F46212"/>
    <w:rsid w:val="34F62562"/>
    <w:rsid w:val="34FA0079"/>
    <w:rsid w:val="34FAD1B6"/>
    <w:rsid w:val="34FBE9F6"/>
    <w:rsid w:val="34FCA6A4"/>
    <w:rsid w:val="34FF7CD2"/>
    <w:rsid w:val="3503591E"/>
    <w:rsid w:val="3503C2A8"/>
    <w:rsid w:val="350AAD23"/>
    <w:rsid w:val="350B2969"/>
    <w:rsid w:val="350C5391"/>
    <w:rsid w:val="3511D17D"/>
    <w:rsid w:val="3512949C"/>
    <w:rsid w:val="35157E81"/>
    <w:rsid w:val="3516AE7F"/>
    <w:rsid w:val="3518F1FB"/>
    <w:rsid w:val="351A4BF1"/>
    <w:rsid w:val="351E6533"/>
    <w:rsid w:val="351EA312"/>
    <w:rsid w:val="35209C36"/>
    <w:rsid w:val="3521938E"/>
    <w:rsid w:val="3524D6FF"/>
    <w:rsid w:val="3525BA03"/>
    <w:rsid w:val="3525D405"/>
    <w:rsid w:val="352606CD"/>
    <w:rsid w:val="3529F68A"/>
    <w:rsid w:val="352C44B8"/>
    <w:rsid w:val="352FA9CB"/>
    <w:rsid w:val="3530559B"/>
    <w:rsid w:val="3530E2FD"/>
    <w:rsid w:val="35320489"/>
    <w:rsid w:val="3532D62A"/>
    <w:rsid w:val="35345504"/>
    <w:rsid w:val="35388137"/>
    <w:rsid w:val="3539B5CE"/>
    <w:rsid w:val="353A6C2B"/>
    <w:rsid w:val="353AE0A8"/>
    <w:rsid w:val="353BAD34"/>
    <w:rsid w:val="353DD63A"/>
    <w:rsid w:val="3540AE5E"/>
    <w:rsid w:val="3541E8C9"/>
    <w:rsid w:val="3543C4D1"/>
    <w:rsid w:val="35463FC8"/>
    <w:rsid w:val="3546D608"/>
    <w:rsid w:val="354A6B94"/>
    <w:rsid w:val="354BC917"/>
    <w:rsid w:val="354C2EF2"/>
    <w:rsid w:val="3550D4FB"/>
    <w:rsid w:val="3556E30F"/>
    <w:rsid w:val="35586759"/>
    <w:rsid w:val="355A359F"/>
    <w:rsid w:val="355F1F78"/>
    <w:rsid w:val="3560488C"/>
    <w:rsid w:val="35637FDA"/>
    <w:rsid w:val="356432EE"/>
    <w:rsid w:val="3565307B"/>
    <w:rsid w:val="35653081"/>
    <w:rsid w:val="3567C00A"/>
    <w:rsid w:val="3567E49A"/>
    <w:rsid w:val="356B45AF"/>
    <w:rsid w:val="356BF18B"/>
    <w:rsid w:val="356F2555"/>
    <w:rsid w:val="357104BB"/>
    <w:rsid w:val="3572F34F"/>
    <w:rsid w:val="35740FD7"/>
    <w:rsid w:val="35752D5A"/>
    <w:rsid w:val="3576641E"/>
    <w:rsid w:val="357A59AA"/>
    <w:rsid w:val="357B5E8E"/>
    <w:rsid w:val="357C8AF1"/>
    <w:rsid w:val="357EADDD"/>
    <w:rsid w:val="3580AC5C"/>
    <w:rsid w:val="35856714"/>
    <w:rsid w:val="35865926"/>
    <w:rsid w:val="358704BE"/>
    <w:rsid w:val="3587CD51"/>
    <w:rsid w:val="3589A646"/>
    <w:rsid w:val="358AEDF0"/>
    <w:rsid w:val="358BD1F7"/>
    <w:rsid w:val="358BD5F9"/>
    <w:rsid w:val="358FAA86"/>
    <w:rsid w:val="358FC21B"/>
    <w:rsid w:val="3593A457"/>
    <w:rsid w:val="3597C332"/>
    <w:rsid w:val="35981F2A"/>
    <w:rsid w:val="359A2F55"/>
    <w:rsid w:val="359C3A96"/>
    <w:rsid w:val="359CD5F1"/>
    <w:rsid w:val="359F40EC"/>
    <w:rsid w:val="359F7DD6"/>
    <w:rsid w:val="35A6153F"/>
    <w:rsid w:val="35A84063"/>
    <w:rsid w:val="35A98287"/>
    <w:rsid w:val="35AAE386"/>
    <w:rsid w:val="35AC63A2"/>
    <w:rsid w:val="35AED79A"/>
    <w:rsid w:val="35AF7CCA"/>
    <w:rsid w:val="35AF88C1"/>
    <w:rsid w:val="35B1088C"/>
    <w:rsid w:val="35B32D25"/>
    <w:rsid w:val="35B37862"/>
    <w:rsid w:val="35B3B7C5"/>
    <w:rsid w:val="35B3C32F"/>
    <w:rsid w:val="35B48D8B"/>
    <w:rsid w:val="35B53C0D"/>
    <w:rsid w:val="35B790AC"/>
    <w:rsid w:val="35B7FD9F"/>
    <w:rsid w:val="35B9E344"/>
    <w:rsid w:val="35BD582C"/>
    <w:rsid w:val="35BF97D7"/>
    <w:rsid w:val="35C0896B"/>
    <w:rsid w:val="35C0D391"/>
    <w:rsid w:val="35C2C1BC"/>
    <w:rsid w:val="35C4B24A"/>
    <w:rsid w:val="35C61A5E"/>
    <w:rsid w:val="35CA5F76"/>
    <w:rsid w:val="35CB4141"/>
    <w:rsid w:val="35CDC853"/>
    <w:rsid w:val="35CEED41"/>
    <w:rsid w:val="35D0EEFA"/>
    <w:rsid w:val="35D1752E"/>
    <w:rsid w:val="35D27D1F"/>
    <w:rsid w:val="35D7EDFE"/>
    <w:rsid w:val="35DC2A6D"/>
    <w:rsid w:val="35DE7EA9"/>
    <w:rsid w:val="35DF1B99"/>
    <w:rsid w:val="35E07C6D"/>
    <w:rsid w:val="35E7A497"/>
    <w:rsid w:val="35E807D2"/>
    <w:rsid w:val="35E89B85"/>
    <w:rsid w:val="35EDF7DF"/>
    <w:rsid w:val="35EECDF4"/>
    <w:rsid w:val="35F2BB6D"/>
    <w:rsid w:val="35F4AB09"/>
    <w:rsid w:val="35FADC3B"/>
    <w:rsid w:val="35FB65BF"/>
    <w:rsid w:val="35FB7266"/>
    <w:rsid w:val="35FD3040"/>
    <w:rsid w:val="35FFD293"/>
    <w:rsid w:val="360087F6"/>
    <w:rsid w:val="3601A1C0"/>
    <w:rsid w:val="360435B2"/>
    <w:rsid w:val="3604978E"/>
    <w:rsid w:val="3605197A"/>
    <w:rsid w:val="36061307"/>
    <w:rsid w:val="360A04A9"/>
    <w:rsid w:val="360CE8C9"/>
    <w:rsid w:val="360D89D7"/>
    <w:rsid w:val="360E18EF"/>
    <w:rsid w:val="360EF2E3"/>
    <w:rsid w:val="3611185A"/>
    <w:rsid w:val="361544E6"/>
    <w:rsid w:val="3616C64F"/>
    <w:rsid w:val="3616FEBC"/>
    <w:rsid w:val="36171831"/>
    <w:rsid w:val="361A0024"/>
    <w:rsid w:val="361BA113"/>
    <w:rsid w:val="361E4704"/>
    <w:rsid w:val="3620630C"/>
    <w:rsid w:val="36210A2A"/>
    <w:rsid w:val="36222869"/>
    <w:rsid w:val="36232297"/>
    <w:rsid w:val="36234474"/>
    <w:rsid w:val="3627239F"/>
    <w:rsid w:val="36295B39"/>
    <w:rsid w:val="3629C16B"/>
    <w:rsid w:val="362C710E"/>
    <w:rsid w:val="362DCCA3"/>
    <w:rsid w:val="362E617E"/>
    <w:rsid w:val="362EBF87"/>
    <w:rsid w:val="3630BFC8"/>
    <w:rsid w:val="36316730"/>
    <w:rsid w:val="3633C131"/>
    <w:rsid w:val="3633FA7A"/>
    <w:rsid w:val="36347FB4"/>
    <w:rsid w:val="363712C1"/>
    <w:rsid w:val="36377965"/>
    <w:rsid w:val="36390994"/>
    <w:rsid w:val="363A37E6"/>
    <w:rsid w:val="363AB9FB"/>
    <w:rsid w:val="363D8CF5"/>
    <w:rsid w:val="36404CF3"/>
    <w:rsid w:val="3642515C"/>
    <w:rsid w:val="3643B597"/>
    <w:rsid w:val="36443582"/>
    <w:rsid w:val="36463652"/>
    <w:rsid w:val="36468DCB"/>
    <w:rsid w:val="364B87FB"/>
    <w:rsid w:val="3652FC61"/>
    <w:rsid w:val="3655D1ED"/>
    <w:rsid w:val="36572E8C"/>
    <w:rsid w:val="36577BDF"/>
    <w:rsid w:val="365869C9"/>
    <w:rsid w:val="365AF3E3"/>
    <w:rsid w:val="365BD1BE"/>
    <w:rsid w:val="365C0679"/>
    <w:rsid w:val="365C2296"/>
    <w:rsid w:val="365C29D4"/>
    <w:rsid w:val="365C9C41"/>
    <w:rsid w:val="365FB871"/>
    <w:rsid w:val="3660D932"/>
    <w:rsid w:val="3665EE5E"/>
    <w:rsid w:val="366672AC"/>
    <w:rsid w:val="366780B2"/>
    <w:rsid w:val="3669336F"/>
    <w:rsid w:val="366C30DB"/>
    <w:rsid w:val="366DD3C9"/>
    <w:rsid w:val="366E737D"/>
    <w:rsid w:val="3672AA7D"/>
    <w:rsid w:val="3673B4B9"/>
    <w:rsid w:val="3674B33D"/>
    <w:rsid w:val="3676A53E"/>
    <w:rsid w:val="3676E093"/>
    <w:rsid w:val="3678C045"/>
    <w:rsid w:val="367986C2"/>
    <w:rsid w:val="367A0AF5"/>
    <w:rsid w:val="367BBECE"/>
    <w:rsid w:val="367DAC40"/>
    <w:rsid w:val="367F45CD"/>
    <w:rsid w:val="36858E76"/>
    <w:rsid w:val="3687768D"/>
    <w:rsid w:val="3688C859"/>
    <w:rsid w:val="36892FB7"/>
    <w:rsid w:val="368C6D18"/>
    <w:rsid w:val="368CC4C8"/>
    <w:rsid w:val="368CE833"/>
    <w:rsid w:val="368D4A4B"/>
    <w:rsid w:val="3692FE51"/>
    <w:rsid w:val="3693D90D"/>
    <w:rsid w:val="36982123"/>
    <w:rsid w:val="369966E5"/>
    <w:rsid w:val="36999CE9"/>
    <w:rsid w:val="369E644A"/>
    <w:rsid w:val="36A26CED"/>
    <w:rsid w:val="36A4B108"/>
    <w:rsid w:val="36A6061F"/>
    <w:rsid w:val="36A94D1D"/>
    <w:rsid w:val="36ACD105"/>
    <w:rsid w:val="36B29A32"/>
    <w:rsid w:val="36B4D56C"/>
    <w:rsid w:val="36B67DE0"/>
    <w:rsid w:val="36B6FF26"/>
    <w:rsid w:val="36B794EB"/>
    <w:rsid w:val="36B7ED5B"/>
    <w:rsid w:val="36B91929"/>
    <w:rsid w:val="36BD37B1"/>
    <w:rsid w:val="36BE084B"/>
    <w:rsid w:val="36BFB609"/>
    <w:rsid w:val="36C27E2C"/>
    <w:rsid w:val="36C6C72F"/>
    <w:rsid w:val="36C9805D"/>
    <w:rsid w:val="36CD398E"/>
    <w:rsid w:val="36CFCB1C"/>
    <w:rsid w:val="36D02882"/>
    <w:rsid w:val="36D0F903"/>
    <w:rsid w:val="36D3F447"/>
    <w:rsid w:val="36D636E3"/>
    <w:rsid w:val="36D72699"/>
    <w:rsid w:val="36DAFECD"/>
    <w:rsid w:val="36DED9A8"/>
    <w:rsid w:val="36E27B5F"/>
    <w:rsid w:val="36E3DE2B"/>
    <w:rsid w:val="36E888F0"/>
    <w:rsid w:val="36EBD4EA"/>
    <w:rsid w:val="36EE3296"/>
    <w:rsid w:val="36EF36A7"/>
    <w:rsid w:val="36EFBD0C"/>
    <w:rsid w:val="36F12F48"/>
    <w:rsid w:val="36F32361"/>
    <w:rsid w:val="36F35D4D"/>
    <w:rsid w:val="36F5B764"/>
    <w:rsid w:val="36F7C887"/>
    <w:rsid w:val="36F96035"/>
    <w:rsid w:val="36FE1608"/>
    <w:rsid w:val="37001750"/>
    <w:rsid w:val="3700183B"/>
    <w:rsid w:val="37014DC4"/>
    <w:rsid w:val="3702122D"/>
    <w:rsid w:val="37040C65"/>
    <w:rsid w:val="37096FD1"/>
    <w:rsid w:val="370A365C"/>
    <w:rsid w:val="370D1135"/>
    <w:rsid w:val="37120773"/>
    <w:rsid w:val="3715B8D1"/>
    <w:rsid w:val="37162F90"/>
    <w:rsid w:val="371C7230"/>
    <w:rsid w:val="371C7941"/>
    <w:rsid w:val="371DD033"/>
    <w:rsid w:val="3723E1D9"/>
    <w:rsid w:val="3726C92B"/>
    <w:rsid w:val="37293DB9"/>
    <w:rsid w:val="372E1699"/>
    <w:rsid w:val="372EFA02"/>
    <w:rsid w:val="372FC276"/>
    <w:rsid w:val="37316732"/>
    <w:rsid w:val="373184BE"/>
    <w:rsid w:val="37321E14"/>
    <w:rsid w:val="373418FC"/>
    <w:rsid w:val="373759D5"/>
    <w:rsid w:val="3737ADF9"/>
    <w:rsid w:val="37397D3F"/>
    <w:rsid w:val="373C4184"/>
    <w:rsid w:val="373D065D"/>
    <w:rsid w:val="373D754A"/>
    <w:rsid w:val="373EF341"/>
    <w:rsid w:val="373FC433"/>
    <w:rsid w:val="37408241"/>
    <w:rsid w:val="374137FC"/>
    <w:rsid w:val="37418547"/>
    <w:rsid w:val="37421FC6"/>
    <w:rsid w:val="374531BA"/>
    <w:rsid w:val="3749A5FB"/>
    <w:rsid w:val="374A983A"/>
    <w:rsid w:val="374B54E9"/>
    <w:rsid w:val="374D8313"/>
    <w:rsid w:val="3750A4F0"/>
    <w:rsid w:val="3750B83E"/>
    <w:rsid w:val="37514062"/>
    <w:rsid w:val="37517C27"/>
    <w:rsid w:val="375403ED"/>
    <w:rsid w:val="3757149A"/>
    <w:rsid w:val="375B925D"/>
    <w:rsid w:val="375CD777"/>
    <w:rsid w:val="375E0FC9"/>
    <w:rsid w:val="3761763C"/>
    <w:rsid w:val="3767A424"/>
    <w:rsid w:val="37697D5D"/>
    <w:rsid w:val="376AD503"/>
    <w:rsid w:val="376C5EB4"/>
    <w:rsid w:val="376CF8BE"/>
    <w:rsid w:val="376E7F5F"/>
    <w:rsid w:val="376ED2FE"/>
    <w:rsid w:val="37705B2B"/>
    <w:rsid w:val="3775CC27"/>
    <w:rsid w:val="3777EF3A"/>
    <w:rsid w:val="377C5EC5"/>
    <w:rsid w:val="378222A2"/>
    <w:rsid w:val="37823057"/>
    <w:rsid w:val="37860063"/>
    <w:rsid w:val="37865004"/>
    <w:rsid w:val="37885FF4"/>
    <w:rsid w:val="3789B65E"/>
    <w:rsid w:val="378BAAB3"/>
    <w:rsid w:val="378C21A2"/>
    <w:rsid w:val="37905EFB"/>
    <w:rsid w:val="3791666E"/>
    <w:rsid w:val="37968DC9"/>
    <w:rsid w:val="379A5393"/>
    <w:rsid w:val="379ABB7F"/>
    <w:rsid w:val="379B62FC"/>
    <w:rsid w:val="379DA21A"/>
    <w:rsid w:val="37A34A80"/>
    <w:rsid w:val="37A4C83D"/>
    <w:rsid w:val="37A6A6FA"/>
    <w:rsid w:val="37A81D52"/>
    <w:rsid w:val="37AB3D37"/>
    <w:rsid w:val="37ADE72B"/>
    <w:rsid w:val="37B47EFC"/>
    <w:rsid w:val="37B762AF"/>
    <w:rsid w:val="37BA069A"/>
    <w:rsid w:val="37BC09F9"/>
    <w:rsid w:val="37BCFF32"/>
    <w:rsid w:val="37BFEEEE"/>
    <w:rsid w:val="37C2AD40"/>
    <w:rsid w:val="37C59DA6"/>
    <w:rsid w:val="37C79A64"/>
    <w:rsid w:val="37CA759A"/>
    <w:rsid w:val="37CC26AC"/>
    <w:rsid w:val="37CCA524"/>
    <w:rsid w:val="37D06747"/>
    <w:rsid w:val="37D765AC"/>
    <w:rsid w:val="37D91D38"/>
    <w:rsid w:val="37DDB2A7"/>
    <w:rsid w:val="37DF84E8"/>
    <w:rsid w:val="37E0468E"/>
    <w:rsid w:val="37E1F961"/>
    <w:rsid w:val="37E4B449"/>
    <w:rsid w:val="37E5E619"/>
    <w:rsid w:val="37E62F9A"/>
    <w:rsid w:val="37E9ABF9"/>
    <w:rsid w:val="37E9B5CE"/>
    <w:rsid w:val="37F0431D"/>
    <w:rsid w:val="37F0C99D"/>
    <w:rsid w:val="37F22416"/>
    <w:rsid w:val="37F2C3F1"/>
    <w:rsid w:val="37F332C1"/>
    <w:rsid w:val="37F409FA"/>
    <w:rsid w:val="37F914D3"/>
    <w:rsid w:val="37FDF8C7"/>
    <w:rsid w:val="37FE8754"/>
    <w:rsid w:val="37FF1914"/>
    <w:rsid w:val="37FFF233"/>
    <w:rsid w:val="3800C59D"/>
    <w:rsid w:val="38030BD0"/>
    <w:rsid w:val="38068030"/>
    <w:rsid w:val="380761FD"/>
    <w:rsid w:val="380C280E"/>
    <w:rsid w:val="380D0986"/>
    <w:rsid w:val="380EBD3A"/>
    <w:rsid w:val="380F75E1"/>
    <w:rsid w:val="380F964F"/>
    <w:rsid w:val="38115A12"/>
    <w:rsid w:val="38129E24"/>
    <w:rsid w:val="38145876"/>
    <w:rsid w:val="3814B22F"/>
    <w:rsid w:val="3814FE6E"/>
    <w:rsid w:val="381564D6"/>
    <w:rsid w:val="381D944E"/>
    <w:rsid w:val="3820D01E"/>
    <w:rsid w:val="3820DDDD"/>
    <w:rsid w:val="38228188"/>
    <w:rsid w:val="38237970"/>
    <w:rsid w:val="38251E69"/>
    <w:rsid w:val="38258CC7"/>
    <w:rsid w:val="382630D0"/>
    <w:rsid w:val="38265504"/>
    <w:rsid w:val="3826A251"/>
    <w:rsid w:val="382A254D"/>
    <w:rsid w:val="382B093F"/>
    <w:rsid w:val="383230F8"/>
    <w:rsid w:val="3836C969"/>
    <w:rsid w:val="3837F94D"/>
    <w:rsid w:val="3838B694"/>
    <w:rsid w:val="3839A249"/>
    <w:rsid w:val="383C486D"/>
    <w:rsid w:val="383C7A8C"/>
    <w:rsid w:val="383D7DBD"/>
    <w:rsid w:val="383DE395"/>
    <w:rsid w:val="383F3B53"/>
    <w:rsid w:val="38406135"/>
    <w:rsid w:val="3841CCB4"/>
    <w:rsid w:val="384468EE"/>
    <w:rsid w:val="38450630"/>
    <w:rsid w:val="38462CFB"/>
    <w:rsid w:val="3849CE99"/>
    <w:rsid w:val="384A3993"/>
    <w:rsid w:val="384BF063"/>
    <w:rsid w:val="384D7E75"/>
    <w:rsid w:val="384F75B2"/>
    <w:rsid w:val="384FB90A"/>
    <w:rsid w:val="38516F41"/>
    <w:rsid w:val="385384BB"/>
    <w:rsid w:val="38546893"/>
    <w:rsid w:val="3854D58D"/>
    <w:rsid w:val="385510DC"/>
    <w:rsid w:val="38552460"/>
    <w:rsid w:val="38598498"/>
    <w:rsid w:val="385BAC18"/>
    <w:rsid w:val="385E11CB"/>
    <w:rsid w:val="385F41FA"/>
    <w:rsid w:val="386050D5"/>
    <w:rsid w:val="3861DC0B"/>
    <w:rsid w:val="386368B5"/>
    <w:rsid w:val="386445E2"/>
    <w:rsid w:val="38651456"/>
    <w:rsid w:val="3867D390"/>
    <w:rsid w:val="386C4931"/>
    <w:rsid w:val="386DB2FF"/>
    <w:rsid w:val="387004CF"/>
    <w:rsid w:val="3870A6DF"/>
    <w:rsid w:val="38718371"/>
    <w:rsid w:val="387275B1"/>
    <w:rsid w:val="3872CB3F"/>
    <w:rsid w:val="3875205D"/>
    <w:rsid w:val="38772D00"/>
    <w:rsid w:val="38775ABC"/>
    <w:rsid w:val="38795F25"/>
    <w:rsid w:val="387EB80E"/>
    <w:rsid w:val="387FC500"/>
    <w:rsid w:val="3880A3B0"/>
    <w:rsid w:val="3882A826"/>
    <w:rsid w:val="38843B9E"/>
    <w:rsid w:val="38844830"/>
    <w:rsid w:val="38884A1D"/>
    <w:rsid w:val="38891584"/>
    <w:rsid w:val="3892881A"/>
    <w:rsid w:val="3892FFB0"/>
    <w:rsid w:val="389599DA"/>
    <w:rsid w:val="3899770D"/>
    <w:rsid w:val="389A33BF"/>
    <w:rsid w:val="389B7F61"/>
    <w:rsid w:val="389BBD81"/>
    <w:rsid w:val="389EC5FF"/>
    <w:rsid w:val="38A15FBB"/>
    <w:rsid w:val="38A288D3"/>
    <w:rsid w:val="38A46EB8"/>
    <w:rsid w:val="38A6B283"/>
    <w:rsid w:val="38A97D01"/>
    <w:rsid w:val="38A9A573"/>
    <w:rsid w:val="38ABA7AA"/>
    <w:rsid w:val="38ADD5D5"/>
    <w:rsid w:val="38B3B03F"/>
    <w:rsid w:val="38B515DD"/>
    <w:rsid w:val="38B63C18"/>
    <w:rsid w:val="38B8B48A"/>
    <w:rsid w:val="38BAA772"/>
    <w:rsid w:val="38BAB9F8"/>
    <w:rsid w:val="38C07610"/>
    <w:rsid w:val="38C190BE"/>
    <w:rsid w:val="38C37434"/>
    <w:rsid w:val="38C87631"/>
    <w:rsid w:val="38CAE6FE"/>
    <w:rsid w:val="38CAF4C7"/>
    <w:rsid w:val="38CB8330"/>
    <w:rsid w:val="38CD2D49"/>
    <w:rsid w:val="38CE0BB3"/>
    <w:rsid w:val="38CED276"/>
    <w:rsid w:val="38CFEF84"/>
    <w:rsid w:val="38D079DC"/>
    <w:rsid w:val="38D1395E"/>
    <w:rsid w:val="38D31C3D"/>
    <w:rsid w:val="38D34E52"/>
    <w:rsid w:val="38D37EAB"/>
    <w:rsid w:val="38D496E0"/>
    <w:rsid w:val="38D8FB9B"/>
    <w:rsid w:val="38D9AA9E"/>
    <w:rsid w:val="38DAD109"/>
    <w:rsid w:val="38DC51C4"/>
    <w:rsid w:val="38E127F8"/>
    <w:rsid w:val="38E232F5"/>
    <w:rsid w:val="38E4E7E4"/>
    <w:rsid w:val="38E702A9"/>
    <w:rsid w:val="38E7E3C6"/>
    <w:rsid w:val="38E97789"/>
    <w:rsid w:val="38EA23D9"/>
    <w:rsid w:val="38EAF81A"/>
    <w:rsid w:val="38F0E42A"/>
    <w:rsid w:val="38F1DF92"/>
    <w:rsid w:val="38F3E1AE"/>
    <w:rsid w:val="38F4132E"/>
    <w:rsid w:val="38F68800"/>
    <w:rsid w:val="38F97C89"/>
    <w:rsid w:val="38FA62A1"/>
    <w:rsid w:val="38FE07C1"/>
    <w:rsid w:val="39001B16"/>
    <w:rsid w:val="3901EFDC"/>
    <w:rsid w:val="3902151D"/>
    <w:rsid w:val="3904E49F"/>
    <w:rsid w:val="3905B1F7"/>
    <w:rsid w:val="390A2752"/>
    <w:rsid w:val="390BC4F0"/>
    <w:rsid w:val="390D3DB9"/>
    <w:rsid w:val="390DAD4B"/>
    <w:rsid w:val="390FC594"/>
    <w:rsid w:val="3910C380"/>
    <w:rsid w:val="3913FD12"/>
    <w:rsid w:val="3917C3FD"/>
    <w:rsid w:val="3917D9FC"/>
    <w:rsid w:val="391B2E5D"/>
    <w:rsid w:val="391CB39E"/>
    <w:rsid w:val="392383AB"/>
    <w:rsid w:val="3924FC36"/>
    <w:rsid w:val="39277552"/>
    <w:rsid w:val="3927A469"/>
    <w:rsid w:val="392B818E"/>
    <w:rsid w:val="392EA726"/>
    <w:rsid w:val="392ED09F"/>
    <w:rsid w:val="3931A41C"/>
    <w:rsid w:val="3932DFEC"/>
    <w:rsid w:val="39349AF1"/>
    <w:rsid w:val="3937FDA9"/>
    <w:rsid w:val="3938B88F"/>
    <w:rsid w:val="39443ECD"/>
    <w:rsid w:val="39479D1A"/>
    <w:rsid w:val="3947FE6F"/>
    <w:rsid w:val="394A79B5"/>
    <w:rsid w:val="394DC18F"/>
    <w:rsid w:val="39505B7F"/>
    <w:rsid w:val="3957555B"/>
    <w:rsid w:val="395CBD44"/>
    <w:rsid w:val="395F8A7D"/>
    <w:rsid w:val="39616259"/>
    <w:rsid w:val="39622704"/>
    <w:rsid w:val="39659737"/>
    <w:rsid w:val="396A43E2"/>
    <w:rsid w:val="396BC3F8"/>
    <w:rsid w:val="3970927E"/>
    <w:rsid w:val="3974010B"/>
    <w:rsid w:val="39743A66"/>
    <w:rsid w:val="397517FF"/>
    <w:rsid w:val="3976104E"/>
    <w:rsid w:val="3978F71D"/>
    <w:rsid w:val="397C6E2D"/>
    <w:rsid w:val="398297D3"/>
    <w:rsid w:val="3982D725"/>
    <w:rsid w:val="3983F2E9"/>
    <w:rsid w:val="3985D0CF"/>
    <w:rsid w:val="3987BDAC"/>
    <w:rsid w:val="3988FA1A"/>
    <w:rsid w:val="3989D43E"/>
    <w:rsid w:val="398AA2C4"/>
    <w:rsid w:val="398C25F0"/>
    <w:rsid w:val="398C9230"/>
    <w:rsid w:val="398CF0DE"/>
    <w:rsid w:val="3997B53A"/>
    <w:rsid w:val="39988513"/>
    <w:rsid w:val="39997421"/>
    <w:rsid w:val="399C1D04"/>
    <w:rsid w:val="399C84AF"/>
    <w:rsid w:val="399D5B74"/>
    <w:rsid w:val="399E1C14"/>
    <w:rsid w:val="399EA10C"/>
    <w:rsid w:val="399F243A"/>
    <w:rsid w:val="39A26732"/>
    <w:rsid w:val="39A28E13"/>
    <w:rsid w:val="39A4EE79"/>
    <w:rsid w:val="39A8B3B2"/>
    <w:rsid w:val="39A8F36E"/>
    <w:rsid w:val="39A93957"/>
    <w:rsid w:val="39AF062A"/>
    <w:rsid w:val="39B097DB"/>
    <w:rsid w:val="39B7F5B9"/>
    <w:rsid w:val="39BCFE4D"/>
    <w:rsid w:val="39BD638D"/>
    <w:rsid w:val="39BE25A1"/>
    <w:rsid w:val="39BE25C3"/>
    <w:rsid w:val="39C3263C"/>
    <w:rsid w:val="39C3A5BE"/>
    <w:rsid w:val="39C44237"/>
    <w:rsid w:val="39C68CFB"/>
    <w:rsid w:val="39C7B358"/>
    <w:rsid w:val="39C8CFC3"/>
    <w:rsid w:val="39D00010"/>
    <w:rsid w:val="39D20677"/>
    <w:rsid w:val="39D3AF24"/>
    <w:rsid w:val="39D684AB"/>
    <w:rsid w:val="39D6AE0F"/>
    <w:rsid w:val="39D7A9A9"/>
    <w:rsid w:val="39D9F86C"/>
    <w:rsid w:val="39DDF127"/>
    <w:rsid w:val="39E0C9F7"/>
    <w:rsid w:val="39E2D1E8"/>
    <w:rsid w:val="39E49034"/>
    <w:rsid w:val="39E59E9E"/>
    <w:rsid w:val="39E63D8C"/>
    <w:rsid w:val="39E6D400"/>
    <w:rsid w:val="39E78312"/>
    <w:rsid w:val="39E8531E"/>
    <w:rsid w:val="39ECA51A"/>
    <w:rsid w:val="39ED87F9"/>
    <w:rsid w:val="39EDC61F"/>
    <w:rsid w:val="39EF7B96"/>
    <w:rsid w:val="39F0B953"/>
    <w:rsid w:val="39F30A1A"/>
    <w:rsid w:val="39F49643"/>
    <w:rsid w:val="39F4D511"/>
    <w:rsid w:val="39F5010B"/>
    <w:rsid w:val="39F5962B"/>
    <w:rsid w:val="39F9F39C"/>
    <w:rsid w:val="39FA9CC4"/>
    <w:rsid w:val="39FA9F40"/>
    <w:rsid w:val="39FCEBEC"/>
    <w:rsid w:val="39FD6DAB"/>
    <w:rsid w:val="39FD6EB7"/>
    <w:rsid w:val="3A017884"/>
    <w:rsid w:val="3A0376CD"/>
    <w:rsid w:val="3A044B63"/>
    <w:rsid w:val="3A05345A"/>
    <w:rsid w:val="3A06ECA0"/>
    <w:rsid w:val="3A07DC50"/>
    <w:rsid w:val="3A0CB90F"/>
    <w:rsid w:val="3A0D2717"/>
    <w:rsid w:val="3A0DB3CC"/>
    <w:rsid w:val="3A13091E"/>
    <w:rsid w:val="3A160833"/>
    <w:rsid w:val="3A16CF02"/>
    <w:rsid w:val="3A1737C9"/>
    <w:rsid w:val="3A19C635"/>
    <w:rsid w:val="3A19E244"/>
    <w:rsid w:val="3A1B330C"/>
    <w:rsid w:val="3A1B3464"/>
    <w:rsid w:val="3A1B3DCE"/>
    <w:rsid w:val="3A1BF277"/>
    <w:rsid w:val="3A1F6B9B"/>
    <w:rsid w:val="3A2093BF"/>
    <w:rsid w:val="3A21965D"/>
    <w:rsid w:val="3A2350DC"/>
    <w:rsid w:val="3A2453E8"/>
    <w:rsid w:val="3A273C50"/>
    <w:rsid w:val="3A2E3CCB"/>
    <w:rsid w:val="3A2E9F64"/>
    <w:rsid w:val="3A2EDF77"/>
    <w:rsid w:val="3A314F05"/>
    <w:rsid w:val="3A31C7AD"/>
    <w:rsid w:val="3A3335E0"/>
    <w:rsid w:val="3A34097A"/>
    <w:rsid w:val="3A385518"/>
    <w:rsid w:val="3A3D7697"/>
    <w:rsid w:val="3A3E42A7"/>
    <w:rsid w:val="3A3E6AC9"/>
    <w:rsid w:val="3A42F1B5"/>
    <w:rsid w:val="3A445E16"/>
    <w:rsid w:val="3A456E50"/>
    <w:rsid w:val="3A4597B4"/>
    <w:rsid w:val="3A4B66EF"/>
    <w:rsid w:val="3A4C01D7"/>
    <w:rsid w:val="3A4EB70F"/>
    <w:rsid w:val="3A51016B"/>
    <w:rsid w:val="3A52356A"/>
    <w:rsid w:val="3A53B63B"/>
    <w:rsid w:val="3A53FC94"/>
    <w:rsid w:val="3A55EC9C"/>
    <w:rsid w:val="3A58A076"/>
    <w:rsid w:val="3A593227"/>
    <w:rsid w:val="3A599C98"/>
    <w:rsid w:val="3A5BFE5C"/>
    <w:rsid w:val="3A5C7F5A"/>
    <w:rsid w:val="3A5CC5C6"/>
    <w:rsid w:val="3A5D55F5"/>
    <w:rsid w:val="3A5F48C0"/>
    <w:rsid w:val="3A617FDD"/>
    <w:rsid w:val="3A629795"/>
    <w:rsid w:val="3A67FF56"/>
    <w:rsid w:val="3A683DCD"/>
    <w:rsid w:val="3A6A4A94"/>
    <w:rsid w:val="3A6E2E29"/>
    <w:rsid w:val="3A70765D"/>
    <w:rsid w:val="3A710C75"/>
    <w:rsid w:val="3A71AFB0"/>
    <w:rsid w:val="3A72EF86"/>
    <w:rsid w:val="3A754BFC"/>
    <w:rsid w:val="3A764B19"/>
    <w:rsid w:val="3A778CD7"/>
    <w:rsid w:val="3A7CAE41"/>
    <w:rsid w:val="3A7F2F69"/>
    <w:rsid w:val="3A837462"/>
    <w:rsid w:val="3A839BA3"/>
    <w:rsid w:val="3A8635AA"/>
    <w:rsid w:val="3A8782E8"/>
    <w:rsid w:val="3A8D21AB"/>
    <w:rsid w:val="3A91F302"/>
    <w:rsid w:val="3A9499D5"/>
    <w:rsid w:val="3A94D568"/>
    <w:rsid w:val="3A9A5378"/>
    <w:rsid w:val="3AA10242"/>
    <w:rsid w:val="3AA1CC21"/>
    <w:rsid w:val="3AA2C27F"/>
    <w:rsid w:val="3AA6E7E8"/>
    <w:rsid w:val="3AA7EBC9"/>
    <w:rsid w:val="3AADE75C"/>
    <w:rsid w:val="3AB35E46"/>
    <w:rsid w:val="3AB4E5D6"/>
    <w:rsid w:val="3AB56D52"/>
    <w:rsid w:val="3AB92408"/>
    <w:rsid w:val="3ABDC79E"/>
    <w:rsid w:val="3ABFF652"/>
    <w:rsid w:val="3AC28A63"/>
    <w:rsid w:val="3AC2AE57"/>
    <w:rsid w:val="3AC4D174"/>
    <w:rsid w:val="3AC4ED9D"/>
    <w:rsid w:val="3AC77B75"/>
    <w:rsid w:val="3AC780F2"/>
    <w:rsid w:val="3AC836A9"/>
    <w:rsid w:val="3ACF902C"/>
    <w:rsid w:val="3AD2EECB"/>
    <w:rsid w:val="3AD66E10"/>
    <w:rsid w:val="3AD673B3"/>
    <w:rsid w:val="3AD7F295"/>
    <w:rsid w:val="3AD81F8D"/>
    <w:rsid w:val="3ADBF681"/>
    <w:rsid w:val="3ADC5CD6"/>
    <w:rsid w:val="3ADC6BE5"/>
    <w:rsid w:val="3AE206D0"/>
    <w:rsid w:val="3AE44C5C"/>
    <w:rsid w:val="3AE6DD09"/>
    <w:rsid w:val="3AE7FB55"/>
    <w:rsid w:val="3AE8822B"/>
    <w:rsid w:val="3AE8CECB"/>
    <w:rsid w:val="3AEB7583"/>
    <w:rsid w:val="3AEC05A8"/>
    <w:rsid w:val="3AEC3DAC"/>
    <w:rsid w:val="3AED1B53"/>
    <w:rsid w:val="3AEEBDEB"/>
    <w:rsid w:val="3AF03DCF"/>
    <w:rsid w:val="3AF182C0"/>
    <w:rsid w:val="3AF21BF4"/>
    <w:rsid w:val="3AF2E231"/>
    <w:rsid w:val="3AF2E698"/>
    <w:rsid w:val="3AF382DD"/>
    <w:rsid w:val="3AF5807C"/>
    <w:rsid w:val="3AF5D785"/>
    <w:rsid w:val="3AF66F56"/>
    <w:rsid w:val="3AF78DFA"/>
    <w:rsid w:val="3AF89DA8"/>
    <w:rsid w:val="3AF9BB13"/>
    <w:rsid w:val="3AFBB1C8"/>
    <w:rsid w:val="3AFCB9EA"/>
    <w:rsid w:val="3AFCE38F"/>
    <w:rsid w:val="3AFEA66B"/>
    <w:rsid w:val="3AFF8372"/>
    <w:rsid w:val="3B012E70"/>
    <w:rsid w:val="3B036175"/>
    <w:rsid w:val="3B074EAD"/>
    <w:rsid w:val="3B07CEBA"/>
    <w:rsid w:val="3B08F231"/>
    <w:rsid w:val="3B093A7C"/>
    <w:rsid w:val="3B09B889"/>
    <w:rsid w:val="3B0B99C9"/>
    <w:rsid w:val="3B0CAD92"/>
    <w:rsid w:val="3B0EE3D8"/>
    <w:rsid w:val="3B136797"/>
    <w:rsid w:val="3B14FCAE"/>
    <w:rsid w:val="3B18EC7B"/>
    <w:rsid w:val="3B1A7B21"/>
    <w:rsid w:val="3B1C18B2"/>
    <w:rsid w:val="3B1C6189"/>
    <w:rsid w:val="3B1CAF6C"/>
    <w:rsid w:val="3B1CF9C6"/>
    <w:rsid w:val="3B1DD2A7"/>
    <w:rsid w:val="3B22B12E"/>
    <w:rsid w:val="3B267EEA"/>
    <w:rsid w:val="3B2827FE"/>
    <w:rsid w:val="3B28301E"/>
    <w:rsid w:val="3B29A966"/>
    <w:rsid w:val="3B29B9F5"/>
    <w:rsid w:val="3B29DB94"/>
    <w:rsid w:val="3B2A9427"/>
    <w:rsid w:val="3B2B86E6"/>
    <w:rsid w:val="3B2D62DE"/>
    <w:rsid w:val="3B2E6A6C"/>
    <w:rsid w:val="3B2F8B4A"/>
    <w:rsid w:val="3B30EA0B"/>
    <w:rsid w:val="3B37D258"/>
    <w:rsid w:val="3B384F7F"/>
    <w:rsid w:val="3B395D1B"/>
    <w:rsid w:val="3B3E3800"/>
    <w:rsid w:val="3B3ED400"/>
    <w:rsid w:val="3B3F8022"/>
    <w:rsid w:val="3B4070AC"/>
    <w:rsid w:val="3B42E0C9"/>
    <w:rsid w:val="3B4783FE"/>
    <w:rsid w:val="3B494282"/>
    <w:rsid w:val="3B4AEC8A"/>
    <w:rsid w:val="3B4C5AA7"/>
    <w:rsid w:val="3B5343B5"/>
    <w:rsid w:val="3B58BF7C"/>
    <w:rsid w:val="3B5DC1C2"/>
    <w:rsid w:val="3B609989"/>
    <w:rsid w:val="3B6166BD"/>
    <w:rsid w:val="3B62BCF8"/>
    <w:rsid w:val="3B66AFF1"/>
    <w:rsid w:val="3B66B41C"/>
    <w:rsid w:val="3B672A0C"/>
    <w:rsid w:val="3B6A37F1"/>
    <w:rsid w:val="3B6B34A9"/>
    <w:rsid w:val="3B6B5BC7"/>
    <w:rsid w:val="3B6B88DA"/>
    <w:rsid w:val="3B6BB140"/>
    <w:rsid w:val="3B6CF6AA"/>
    <w:rsid w:val="3B6EDE2C"/>
    <w:rsid w:val="3B70A8B4"/>
    <w:rsid w:val="3B72516E"/>
    <w:rsid w:val="3B75DC6F"/>
    <w:rsid w:val="3B76609A"/>
    <w:rsid w:val="3B79DD08"/>
    <w:rsid w:val="3B7AC190"/>
    <w:rsid w:val="3B7C1DBC"/>
    <w:rsid w:val="3B7C3F52"/>
    <w:rsid w:val="3B7CCFB4"/>
    <w:rsid w:val="3B7CD0EA"/>
    <w:rsid w:val="3B82212C"/>
    <w:rsid w:val="3B846B3E"/>
    <w:rsid w:val="3B85C573"/>
    <w:rsid w:val="3B85EFF2"/>
    <w:rsid w:val="3B8A4C78"/>
    <w:rsid w:val="3B8A83E5"/>
    <w:rsid w:val="3B8BB86F"/>
    <w:rsid w:val="3B8C0C4F"/>
    <w:rsid w:val="3B8D6569"/>
    <w:rsid w:val="3B8E3C62"/>
    <w:rsid w:val="3B8F89AE"/>
    <w:rsid w:val="3B91BBAC"/>
    <w:rsid w:val="3B9330FC"/>
    <w:rsid w:val="3B938CC4"/>
    <w:rsid w:val="3B938EF8"/>
    <w:rsid w:val="3B954717"/>
    <w:rsid w:val="3B95C49C"/>
    <w:rsid w:val="3B96C61E"/>
    <w:rsid w:val="3B9F0EF3"/>
    <w:rsid w:val="3B9FCF20"/>
    <w:rsid w:val="3BA41D44"/>
    <w:rsid w:val="3BAB5C32"/>
    <w:rsid w:val="3BAB5C9C"/>
    <w:rsid w:val="3BAE2965"/>
    <w:rsid w:val="3BB005E6"/>
    <w:rsid w:val="3BB1938C"/>
    <w:rsid w:val="3BB2CDB1"/>
    <w:rsid w:val="3BB307EE"/>
    <w:rsid w:val="3BB4CF5B"/>
    <w:rsid w:val="3BB5EB5B"/>
    <w:rsid w:val="3BB876C4"/>
    <w:rsid w:val="3BBA5211"/>
    <w:rsid w:val="3BBBFD38"/>
    <w:rsid w:val="3BBCED86"/>
    <w:rsid w:val="3BBEA3AA"/>
    <w:rsid w:val="3BBF1E7A"/>
    <w:rsid w:val="3BBF30CA"/>
    <w:rsid w:val="3BC1197F"/>
    <w:rsid w:val="3BC18845"/>
    <w:rsid w:val="3BC1DABB"/>
    <w:rsid w:val="3BC25B35"/>
    <w:rsid w:val="3BC6A701"/>
    <w:rsid w:val="3BC6EAA3"/>
    <w:rsid w:val="3BC8E410"/>
    <w:rsid w:val="3BCAD1B1"/>
    <w:rsid w:val="3BCC5DF3"/>
    <w:rsid w:val="3BCCF61B"/>
    <w:rsid w:val="3BCED2EA"/>
    <w:rsid w:val="3BD2A35E"/>
    <w:rsid w:val="3BD2A577"/>
    <w:rsid w:val="3BD4338A"/>
    <w:rsid w:val="3BD650E1"/>
    <w:rsid w:val="3BD9B3FB"/>
    <w:rsid w:val="3BDB6495"/>
    <w:rsid w:val="3BE049AE"/>
    <w:rsid w:val="3BE15804"/>
    <w:rsid w:val="3BE87430"/>
    <w:rsid w:val="3BE9A12B"/>
    <w:rsid w:val="3BED18A6"/>
    <w:rsid w:val="3BEE5355"/>
    <w:rsid w:val="3BF03E4B"/>
    <w:rsid w:val="3BF080CC"/>
    <w:rsid w:val="3BF0A8BE"/>
    <w:rsid w:val="3BF51FC6"/>
    <w:rsid w:val="3BF5BF40"/>
    <w:rsid w:val="3BF5D21B"/>
    <w:rsid w:val="3C029368"/>
    <w:rsid w:val="3C07DA59"/>
    <w:rsid w:val="3C0A1300"/>
    <w:rsid w:val="3C0BE469"/>
    <w:rsid w:val="3C0C492A"/>
    <w:rsid w:val="3C0C8014"/>
    <w:rsid w:val="3C0CD1C5"/>
    <w:rsid w:val="3C107AA5"/>
    <w:rsid w:val="3C1224B3"/>
    <w:rsid w:val="3C13790D"/>
    <w:rsid w:val="3C14C800"/>
    <w:rsid w:val="3C1550BF"/>
    <w:rsid w:val="3C1946D2"/>
    <w:rsid w:val="3C1C20F0"/>
    <w:rsid w:val="3C1C630A"/>
    <w:rsid w:val="3C1F0D5A"/>
    <w:rsid w:val="3C20F9D0"/>
    <w:rsid w:val="3C2170A9"/>
    <w:rsid w:val="3C222EDA"/>
    <w:rsid w:val="3C261E90"/>
    <w:rsid w:val="3C27D869"/>
    <w:rsid w:val="3C2A2B71"/>
    <w:rsid w:val="3C2B1B1E"/>
    <w:rsid w:val="3C31F384"/>
    <w:rsid w:val="3C35FBAB"/>
    <w:rsid w:val="3C36983E"/>
    <w:rsid w:val="3C36AF60"/>
    <w:rsid w:val="3C370E9C"/>
    <w:rsid w:val="3C3A31BF"/>
    <w:rsid w:val="3C3EBCF1"/>
    <w:rsid w:val="3C3EC620"/>
    <w:rsid w:val="3C3FD7F3"/>
    <w:rsid w:val="3C497365"/>
    <w:rsid w:val="3C4A3F95"/>
    <w:rsid w:val="3C4CD815"/>
    <w:rsid w:val="3C4CE511"/>
    <w:rsid w:val="3C4DAB66"/>
    <w:rsid w:val="3C4F1D4F"/>
    <w:rsid w:val="3C52BB4D"/>
    <w:rsid w:val="3C5337A3"/>
    <w:rsid w:val="3C55606C"/>
    <w:rsid w:val="3C56581E"/>
    <w:rsid w:val="3C58E0BD"/>
    <w:rsid w:val="3C59E7D4"/>
    <w:rsid w:val="3C5CC1CD"/>
    <w:rsid w:val="3C5CE3BE"/>
    <w:rsid w:val="3C5EBD2A"/>
    <w:rsid w:val="3C5F1B30"/>
    <w:rsid w:val="3C67869D"/>
    <w:rsid w:val="3C680235"/>
    <w:rsid w:val="3C697ED0"/>
    <w:rsid w:val="3C6EC2B8"/>
    <w:rsid w:val="3C6F59D3"/>
    <w:rsid w:val="3C7001FB"/>
    <w:rsid w:val="3C75FFE6"/>
    <w:rsid w:val="3C7706DF"/>
    <w:rsid w:val="3C7763AA"/>
    <w:rsid w:val="3C7B829D"/>
    <w:rsid w:val="3C7FC3D9"/>
    <w:rsid w:val="3C8627CA"/>
    <w:rsid w:val="3C86C5A0"/>
    <w:rsid w:val="3C879207"/>
    <w:rsid w:val="3C8C3965"/>
    <w:rsid w:val="3C909F26"/>
    <w:rsid w:val="3C911D29"/>
    <w:rsid w:val="3C934993"/>
    <w:rsid w:val="3C938113"/>
    <w:rsid w:val="3C9844C6"/>
    <w:rsid w:val="3C9B452A"/>
    <w:rsid w:val="3C9DA93D"/>
    <w:rsid w:val="3C9F6B5F"/>
    <w:rsid w:val="3CA02285"/>
    <w:rsid w:val="3CA06977"/>
    <w:rsid w:val="3CA1B25B"/>
    <w:rsid w:val="3CA25327"/>
    <w:rsid w:val="3CA2775F"/>
    <w:rsid w:val="3CA2ABB3"/>
    <w:rsid w:val="3CA2E1E3"/>
    <w:rsid w:val="3CA47A15"/>
    <w:rsid w:val="3CA5B682"/>
    <w:rsid w:val="3CA6A660"/>
    <w:rsid w:val="3CA6E515"/>
    <w:rsid w:val="3CAA28FB"/>
    <w:rsid w:val="3CAAEC52"/>
    <w:rsid w:val="3CADAB14"/>
    <w:rsid w:val="3CAE6C53"/>
    <w:rsid w:val="3CB016E5"/>
    <w:rsid w:val="3CB1C125"/>
    <w:rsid w:val="3CB5FC48"/>
    <w:rsid w:val="3CB7A871"/>
    <w:rsid w:val="3CBA81F0"/>
    <w:rsid w:val="3CBF0D19"/>
    <w:rsid w:val="3CC11C37"/>
    <w:rsid w:val="3CC1BD55"/>
    <w:rsid w:val="3CC1F788"/>
    <w:rsid w:val="3CC3682F"/>
    <w:rsid w:val="3CC490A3"/>
    <w:rsid w:val="3CC4A48F"/>
    <w:rsid w:val="3CCBDADC"/>
    <w:rsid w:val="3CCCF447"/>
    <w:rsid w:val="3CCDD502"/>
    <w:rsid w:val="3CD19390"/>
    <w:rsid w:val="3CD2842D"/>
    <w:rsid w:val="3CD2DDFA"/>
    <w:rsid w:val="3CD2EF41"/>
    <w:rsid w:val="3CD4F5BD"/>
    <w:rsid w:val="3CD59E64"/>
    <w:rsid w:val="3CD5EAD2"/>
    <w:rsid w:val="3CDA08CB"/>
    <w:rsid w:val="3CDB7B46"/>
    <w:rsid w:val="3CDCE248"/>
    <w:rsid w:val="3CDF889F"/>
    <w:rsid w:val="3CE47C2F"/>
    <w:rsid w:val="3CE59566"/>
    <w:rsid w:val="3CE8788B"/>
    <w:rsid w:val="3CE9FB4F"/>
    <w:rsid w:val="3CEA767E"/>
    <w:rsid w:val="3CEC27E8"/>
    <w:rsid w:val="3CF0CF1C"/>
    <w:rsid w:val="3CF3252A"/>
    <w:rsid w:val="3CF4B70F"/>
    <w:rsid w:val="3CF5216F"/>
    <w:rsid w:val="3CF8F57C"/>
    <w:rsid w:val="3CF939D6"/>
    <w:rsid w:val="3CFF9F6A"/>
    <w:rsid w:val="3D07A5BB"/>
    <w:rsid w:val="3D0A2184"/>
    <w:rsid w:val="3D0A974E"/>
    <w:rsid w:val="3D0ABAA1"/>
    <w:rsid w:val="3D0DE23C"/>
    <w:rsid w:val="3D0DEAEF"/>
    <w:rsid w:val="3D0E1388"/>
    <w:rsid w:val="3D0E215D"/>
    <w:rsid w:val="3D0F16B5"/>
    <w:rsid w:val="3D209754"/>
    <w:rsid w:val="3D22AB18"/>
    <w:rsid w:val="3D23881D"/>
    <w:rsid w:val="3D2896F6"/>
    <w:rsid w:val="3D2A04F7"/>
    <w:rsid w:val="3D2B107A"/>
    <w:rsid w:val="3D2D0832"/>
    <w:rsid w:val="3D3370BF"/>
    <w:rsid w:val="3D364E06"/>
    <w:rsid w:val="3D372624"/>
    <w:rsid w:val="3D3C6EFF"/>
    <w:rsid w:val="3D3E75FA"/>
    <w:rsid w:val="3D4019EC"/>
    <w:rsid w:val="3D40480C"/>
    <w:rsid w:val="3D404C97"/>
    <w:rsid w:val="3D43CAEA"/>
    <w:rsid w:val="3D43DD54"/>
    <w:rsid w:val="3D43F0EB"/>
    <w:rsid w:val="3D43FECC"/>
    <w:rsid w:val="3D45F2EA"/>
    <w:rsid w:val="3D4680AB"/>
    <w:rsid w:val="3D46C506"/>
    <w:rsid w:val="3D470E7F"/>
    <w:rsid w:val="3D48123A"/>
    <w:rsid w:val="3D499410"/>
    <w:rsid w:val="3D4A1ACF"/>
    <w:rsid w:val="3D4BC375"/>
    <w:rsid w:val="3D50603A"/>
    <w:rsid w:val="3D51080E"/>
    <w:rsid w:val="3D518FC0"/>
    <w:rsid w:val="3D531F4D"/>
    <w:rsid w:val="3D533D05"/>
    <w:rsid w:val="3D551310"/>
    <w:rsid w:val="3D559E68"/>
    <w:rsid w:val="3D56976E"/>
    <w:rsid w:val="3D577473"/>
    <w:rsid w:val="3D5A7C9D"/>
    <w:rsid w:val="3D5BED1B"/>
    <w:rsid w:val="3D62B5E1"/>
    <w:rsid w:val="3D66B228"/>
    <w:rsid w:val="3D68F81C"/>
    <w:rsid w:val="3D6972A2"/>
    <w:rsid w:val="3D6C6BBD"/>
    <w:rsid w:val="3D6D13F7"/>
    <w:rsid w:val="3D6EA70B"/>
    <w:rsid w:val="3D6F754B"/>
    <w:rsid w:val="3D70C08D"/>
    <w:rsid w:val="3D70E832"/>
    <w:rsid w:val="3D723870"/>
    <w:rsid w:val="3D733AFE"/>
    <w:rsid w:val="3D7380D9"/>
    <w:rsid w:val="3D7889A0"/>
    <w:rsid w:val="3D79A592"/>
    <w:rsid w:val="3D7E71CA"/>
    <w:rsid w:val="3D81FF5D"/>
    <w:rsid w:val="3D833FBD"/>
    <w:rsid w:val="3D84CB5C"/>
    <w:rsid w:val="3D853CF0"/>
    <w:rsid w:val="3D8ACC3F"/>
    <w:rsid w:val="3D8E0B5A"/>
    <w:rsid w:val="3D8F7CF1"/>
    <w:rsid w:val="3D904266"/>
    <w:rsid w:val="3D91B7FF"/>
    <w:rsid w:val="3D9317D4"/>
    <w:rsid w:val="3D94F74D"/>
    <w:rsid w:val="3D997C6C"/>
    <w:rsid w:val="3D9AFCC7"/>
    <w:rsid w:val="3D9CFA71"/>
    <w:rsid w:val="3D9E454D"/>
    <w:rsid w:val="3D9F48AD"/>
    <w:rsid w:val="3DA110E9"/>
    <w:rsid w:val="3DA1FE4B"/>
    <w:rsid w:val="3DA3E94F"/>
    <w:rsid w:val="3DA44757"/>
    <w:rsid w:val="3DA45506"/>
    <w:rsid w:val="3DA5B64D"/>
    <w:rsid w:val="3DA8DC5F"/>
    <w:rsid w:val="3DA8F706"/>
    <w:rsid w:val="3DA96B46"/>
    <w:rsid w:val="3DB22E0A"/>
    <w:rsid w:val="3DB3EE9E"/>
    <w:rsid w:val="3DB57898"/>
    <w:rsid w:val="3DB8D860"/>
    <w:rsid w:val="3DBA37E0"/>
    <w:rsid w:val="3DBB62DE"/>
    <w:rsid w:val="3DBC8545"/>
    <w:rsid w:val="3DC34091"/>
    <w:rsid w:val="3DC3E1A9"/>
    <w:rsid w:val="3DC4A2DE"/>
    <w:rsid w:val="3DC83D2C"/>
    <w:rsid w:val="3DCB3FF4"/>
    <w:rsid w:val="3DCB5D3C"/>
    <w:rsid w:val="3DCD4F7A"/>
    <w:rsid w:val="3DD35864"/>
    <w:rsid w:val="3DD380F7"/>
    <w:rsid w:val="3DD5DF8B"/>
    <w:rsid w:val="3DD78BED"/>
    <w:rsid w:val="3DD8758B"/>
    <w:rsid w:val="3DDBB438"/>
    <w:rsid w:val="3DDBB7BE"/>
    <w:rsid w:val="3DE1952F"/>
    <w:rsid w:val="3DE2DDC2"/>
    <w:rsid w:val="3DE3BBF6"/>
    <w:rsid w:val="3DE63894"/>
    <w:rsid w:val="3DE63B22"/>
    <w:rsid w:val="3DF1542E"/>
    <w:rsid w:val="3DF173EC"/>
    <w:rsid w:val="3DF24D00"/>
    <w:rsid w:val="3DF2607C"/>
    <w:rsid w:val="3DF2ADB7"/>
    <w:rsid w:val="3DF2F632"/>
    <w:rsid w:val="3DF39F79"/>
    <w:rsid w:val="3DF79716"/>
    <w:rsid w:val="3DF7AD60"/>
    <w:rsid w:val="3DFD4A2A"/>
    <w:rsid w:val="3DFDA168"/>
    <w:rsid w:val="3DFE8712"/>
    <w:rsid w:val="3E01E7EC"/>
    <w:rsid w:val="3E05BD39"/>
    <w:rsid w:val="3E077F0B"/>
    <w:rsid w:val="3E07BF0C"/>
    <w:rsid w:val="3E0AB0F8"/>
    <w:rsid w:val="3E0AD6DF"/>
    <w:rsid w:val="3E0B4833"/>
    <w:rsid w:val="3E0C067B"/>
    <w:rsid w:val="3E0CA80C"/>
    <w:rsid w:val="3E0D0F76"/>
    <w:rsid w:val="3E1759B8"/>
    <w:rsid w:val="3E1F440E"/>
    <w:rsid w:val="3E1F6B7F"/>
    <w:rsid w:val="3E2281A0"/>
    <w:rsid w:val="3E234665"/>
    <w:rsid w:val="3E26C716"/>
    <w:rsid w:val="3E26FE9C"/>
    <w:rsid w:val="3E27C9D7"/>
    <w:rsid w:val="3E292440"/>
    <w:rsid w:val="3E3311CB"/>
    <w:rsid w:val="3E337655"/>
    <w:rsid w:val="3E34D6C3"/>
    <w:rsid w:val="3E34E525"/>
    <w:rsid w:val="3E378D12"/>
    <w:rsid w:val="3E39424A"/>
    <w:rsid w:val="3E3A4AD2"/>
    <w:rsid w:val="3E3CEA43"/>
    <w:rsid w:val="3E3DB924"/>
    <w:rsid w:val="3E3EDD24"/>
    <w:rsid w:val="3E4828B5"/>
    <w:rsid w:val="3E493667"/>
    <w:rsid w:val="3E4CD97C"/>
    <w:rsid w:val="3E4D5F5C"/>
    <w:rsid w:val="3E4E4D7A"/>
    <w:rsid w:val="3E4F6FBF"/>
    <w:rsid w:val="3E526F97"/>
    <w:rsid w:val="3E54D363"/>
    <w:rsid w:val="3E54DF10"/>
    <w:rsid w:val="3E55A72D"/>
    <w:rsid w:val="3E5A70C7"/>
    <w:rsid w:val="3E5CA5EE"/>
    <w:rsid w:val="3E5D08CC"/>
    <w:rsid w:val="3E6009B3"/>
    <w:rsid w:val="3E678A90"/>
    <w:rsid w:val="3E6993C1"/>
    <w:rsid w:val="3E6D89C8"/>
    <w:rsid w:val="3E6DC770"/>
    <w:rsid w:val="3E6DC936"/>
    <w:rsid w:val="3E6DD91C"/>
    <w:rsid w:val="3E6E087B"/>
    <w:rsid w:val="3E6EEE37"/>
    <w:rsid w:val="3E738EF9"/>
    <w:rsid w:val="3E7514F7"/>
    <w:rsid w:val="3E75FC40"/>
    <w:rsid w:val="3E77E0AA"/>
    <w:rsid w:val="3E79E7F4"/>
    <w:rsid w:val="3E7A686A"/>
    <w:rsid w:val="3E7AECFE"/>
    <w:rsid w:val="3E80A540"/>
    <w:rsid w:val="3E81D2A6"/>
    <w:rsid w:val="3E82330A"/>
    <w:rsid w:val="3E858084"/>
    <w:rsid w:val="3E88872A"/>
    <w:rsid w:val="3E895EFD"/>
    <w:rsid w:val="3E8D34B1"/>
    <w:rsid w:val="3E8E8602"/>
    <w:rsid w:val="3E9245A6"/>
    <w:rsid w:val="3E9306AE"/>
    <w:rsid w:val="3E93BED2"/>
    <w:rsid w:val="3E94B60F"/>
    <w:rsid w:val="3E964290"/>
    <w:rsid w:val="3E9A7B2D"/>
    <w:rsid w:val="3E9BFA5E"/>
    <w:rsid w:val="3EA0AA43"/>
    <w:rsid w:val="3EA4F6F2"/>
    <w:rsid w:val="3EA947F5"/>
    <w:rsid w:val="3EABE584"/>
    <w:rsid w:val="3EACAF9A"/>
    <w:rsid w:val="3EAD1A0E"/>
    <w:rsid w:val="3EB16A3B"/>
    <w:rsid w:val="3EB200C9"/>
    <w:rsid w:val="3EB230E3"/>
    <w:rsid w:val="3EB9FE6C"/>
    <w:rsid w:val="3EBADE7A"/>
    <w:rsid w:val="3EBBA0A1"/>
    <w:rsid w:val="3EBFDA2C"/>
    <w:rsid w:val="3EC1CC8D"/>
    <w:rsid w:val="3EC253D2"/>
    <w:rsid w:val="3EC2A387"/>
    <w:rsid w:val="3EC2D33B"/>
    <w:rsid w:val="3EC2E9F8"/>
    <w:rsid w:val="3EC3EE94"/>
    <w:rsid w:val="3EC428B9"/>
    <w:rsid w:val="3EC6921C"/>
    <w:rsid w:val="3EC973E8"/>
    <w:rsid w:val="3EC98D9A"/>
    <w:rsid w:val="3ECD02BE"/>
    <w:rsid w:val="3ECF565C"/>
    <w:rsid w:val="3ED02346"/>
    <w:rsid w:val="3ED11E4F"/>
    <w:rsid w:val="3ED1CC97"/>
    <w:rsid w:val="3ED2D4F4"/>
    <w:rsid w:val="3ED2F3F4"/>
    <w:rsid w:val="3ED70306"/>
    <w:rsid w:val="3ED72C01"/>
    <w:rsid w:val="3ED74D76"/>
    <w:rsid w:val="3ED79091"/>
    <w:rsid w:val="3ED7A26E"/>
    <w:rsid w:val="3EDEBD1C"/>
    <w:rsid w:val="3EE1C2C7"/>
    <w:rsid w:val="3EE5CDC3"/>
    <w:rsid w:val="3EE7B4F6"/>
    <w:rsid w:val="3EE7EEA5"/>
    <w:rsid w:val="3EEEFBDE"/>
    <w:rsid w:val="3EF0782E"/>
    <w:rsid w:val="3EF2005D"/>
    <w:rsid w:val="3EF22278"/>
    <w:rsid w:val="3EF26920"/>
    <w:rsid w:val="3EF56B43"/>
    <w:rsid w:val="3EF5F1AA"/>
    <w:rsid w:val="3EF62289"/>
    <w:rsid w:val="3EF78752"/>
    <w:rsid w:val="3EFA9580"/>
    <w:rsid w:val="3EFC030B"/>
    <w:rsid w:val="3EFCAB3D"/>
    <w:rsid w:val="3F009705"/>
    <w:rsid w:val="3F021FEA"/>
    <w:rsid w:val="3F032E51"/>
    <w:rsid w:val="3F037633"/>
    <w:rsid w:val="3F04DEBE"/>
    <w:rsid w:val="3F05E75A"/>
    <w:rsid w:val="3F076E09"/>
    <w:rsid w:val="3F08828D"/>
    <w:rsid w:val="3F0B1D82"/>
    <w:rsid w:val="3F0C7D64"/>
    <w:rsid w:val="3F10053F"/>
    <w:rsid w:val="3F121C93"/>
    <w:rsid w:val="3F153192"/>
    <w:rsid w:val="3F160707"/>
    <w:rsid w:val="3F17C6B1"/>
    <w:rsid w:val="3F222694"/>
    <w:rsid w:val="3F224ACA"/>
    <w:rsid w:val="3F25A684"/>
    <w:rsid w:val="3F2E9D6B"/>
    <w:rsid w:val="3F31E143"/>
    <w:rsid w:val="3F32B19E"/>
    <w:rsid w:val="3F32B979"/>
    <w:rsid w:val="3F36372E"/>
    <w:rsid w:val="3F3BBDB8"/>
    <w:rsid w:val="3F3C23A6"/>
    <w:rsid w:val="3F3CF0FB"/>
    <w:rsid w:val="3F3FC730"/>
    <w:rsid w:val="3F402A44"/>
    <w:rsid w:val="3F444EB7"/>
    <w:rsid w:val="3F44DEC5"/>
    <w:rsid w:val="3F44EAA4"/>
    <w:rsid w:val="3F459B9A"/>
    <w:rsid w:val="3F49F6FE"/>
    <w:rsid w:val="3F4A8F21"/>
    <w:rsid w:val="3F507DA7"/>
    <w:rsid w:val="3F510D27"/>
    <w:rsid w:val="3F5256F8"/>
    <w:rsid w:val="3F528E71"/>
    <w:rsid w:val="3F54A96E"/>
    <w:rsid w:val="3F55ACEF"/>
    <w:rsid w:val="3F572642"/>
    <w:rsid w:val="3F578011"/>
    <w:rsid w:val="3F589F67"/>
    <w:rsid w:val="3F5A428C"/>
    <w:rsid w:val="3F5AC9E3"/>
    <w:rsid w:val="3F5DCFF6"/>
    <w:rsid w:val="3F6289F9"/>
    <w:rsid w:val="3F62BCF1"/>
    <w:rsid w:val="3F632BF5"/>
    <w:rsid w:val="3F634A51"/>
    <w:rsid w:val="3F650941"/>
    <w:rsid w:val="3F6836FC"/>
    <w:rsid w:val="3F6B3AAF"/>
    <w:rsid w:val="3F6C2AF1"/>
    <w:rsid w:val="3F6D2300"/>
    <w:rsid w:val="3F6E339F"/>
    <w:rsid w:val="3F704289"/>
    <w:rsid w:val="3F707E56"/>
    <w:rsid w:val="3F746184"/>
    <w:rsid w:val="3F754CC7"/>
    <w:rsid w:val="3F756FDB"/>
    <w:rsid w:val="3F7826A7"/>
    <w:rsid w:val="3F78A237"/>
    <w:rsid w:val="3F78D861"/>
    <w:rsid w:val="3F7999C9"/>
    <w:rsid w:val="3F7AECD2"/>
    <w:rsid w:val="3F7C9A91"/>
    <w:rsid w:val="3F7D4405"/>
    <w:rsid w:val="3F7ED384"/>
    <w:rsid w:val="3F7F7CE0"/>
    <w:rsid w:val="3F85944B"/>
    <w:rsid w:val="3F869FCC"/>
    <w:rsid w:val="3F870B07"/>
    <w:rsid w:val="3F89EFB5"/>
    <w:rsid w:val="3F8C70FD"/>
    <w:rsid w:val="3F8DD448"/>
    <w:rsid w:val="3F8E5DC2"/>
    <w:rsid w:val="3F9022D5"/>
    <w:rsid w:val="3F90D050"/>
    <w:rsid w:val="3F957DCD"/>
    <w:rsid w:val="3F97B10F"/>
    <w:rsid w:val="3F9B6CB0"/>
    <w:rsid w:val="3F9C7EE7"/>
    <w:rsid w:val="3F9D78D5"/>
    <w:rsid w:val="3FA0CA0B"/>
    <w:rsid w:val="3FA0F37D"/>
    <w:rsid w:val="3FA1B221"/>
    <w:rsid w:val="3FA283CC"/>
    <w:rsid w:val="3FA3B321"/>
    <w:rsid w:val="3FA5584F"/>
    <w:rsid w:val="3FB11F33"/>
    <w:rsid w:val="3FB51A7D"/>
    <w:rsid w:val="3FB55A24"/>
    <w:rsid w:val="3FB686ED"/>
    <w:rsid w:val="3FB6B67E"/>
    <w:rsid w:val="3FB6F172"/>
    <w:rsid w:val="3FB9A411"/>
    <w:rsid w:val="3FB9B737"/>
    <w:rsid w:val="3FBE2978"/>
    <w:rsid w:val="3FC032B5"/>
    <w:rsid w:val="3FC0DEBA"/>
    <w:rsid w:val="3FC69E80"/>
    <w:rsid w:val="3FC7803E"/>
    <w:rsid w:val="3FC8E20F"/>
    <w:rsid w:val="3FCB3E63"/>
    <w:rsid w:val="3FCB4EE8"/>
    <w:rsid w:val="3FCCD05C"/>
    <w:rsid w:val="3FCF4487"/>
    <w:rsid w:val="3FCF5B25"/>
    <w:rsid w:val="3FD0C9EC"/>
    <w:rsid w:val="3FD1DBAC"/>
    <w:rsid w:val="3FD27DD3"/>
    <w:rsid w:val="3FD44916"/>
    <w:rsid w:val="3FD4A9BC"/>
    <w:rsid w:val="3FD70473"/>
    <w:rsid w:val="3FDC0740"/>
    <w:rsid w:val="3FE01E32"/>
    <w:rsid w:val="3FE13D3E"/>
    <w:rsid w:val="3FE3A4A2"/>
    <w:rsid w:val="3FE54FDC"/>
    <w:rsid w:val="3FE68474"/>
    <w:rsid w:val="3FE785C4"/>
    <w:rsid w:val="3FE79206"/>
    <w:rsid w:val="3FE92301"/>
    <w:rsid w:val="3FEF48EF"/>
    <w:rsid w:val="3FF103E9"/>
    <w:rsid w:val="3FF1A100"/>
    <w:rsid w:val="3FF22EF3"/>
    <w:rsid w:val="3FF6F5AE"/>
    <w:rsid w:val="3FF769AA"/>
    <w:rsid w:val="3FF81E42"/>
    <w:rsid w:val="3FF9F836"/>
    <w:rsid w:val="3FFADB75"/>
    <w:rsid w:val="3FFB9588"/>
    <w:rsid w:val="3FFCDB0B"/>
    <w:rsid w:val="3FFD014C"/>
    <w:rsid w:val="4001546F"/>
    <w:rsid w:val="4002CB9D"/>
    <w:rsid w:val="40030814"/>
    <w:rsid w:val="4006034A"/>
    <w:rsid w:val="40063B0D"/>
    <w:rsid w:val="400ADED7"/>
    <w:rsid w:val="400C26D6"/>
    <w:rsid w:val="400EDAE5"/>
    <w:rsid w:val="400F1A97"/>
    <w:rsid w:val="4010029C"/>
    <w:rsid w:val="4010BAE7"/>
    <w:rsid w:val="40113E5E"/>
    <w:rsid w:val="40131D46"/>
    <w:rsid w:val="4013A767"/>
    <w:rsid w:val="40140322"/>
    <w:rsid w:val="4016BC86"/>
    <w:rsid w:val="40182292"/>
    <w:rsid w:val="401C4E9A"/>
    <w:rsid w:val="401F1537"/>
    <w:rsid w:val="401F6FD3"/>
    <w:rsid w:val="402172CB"/>
    <w:rsid w:val="402227B5"/>
    <w:rsid w:val="4025CBAD"/>
    <w:rsid w:val="40280AF6"/>
    <w:rsid w:val="402B2FCD"/>
    <w:rsid w:val="402D06E2"/>
    <w:rsid w:val="402DB73D"/>
    <w:rsid w:val="40370A22"/>
    <w:rsid w:val="403798F2"/>
    <w:rsid w:val="4038D39D"/>
    <w:rsid w:val="403C0E2C"/>
    <w:rsid w:val="403DEF3A"/>
    <w:rsid w:val="404130ED"/>
    <w:rsid w:val="40436015"/>
    <w:rsid w:val="40443546"/>
    <w:rsid w:val="404BB54C"/>
    <w:rsid w:val="404E6358"/>
    <w:rsid w:val="40506EA5"/>
    <w:rsid w:val="4051249B"/>
    <w:rsid w:val="4054AE50"/>
    <w:rsid w:val="4054CF84"/>
    <w:rsid w:val="40570F84"/>
    <w:rsid w:val="40578A7D"/>
    <w:rsid w:val="40593291"/>
    <w:rsid w:val="405B5D83"/>
    <w:rsid w:val="405B7FBE"/>
    <w:rsid w:val="405BD3C5"/>
    <w:rsid w:val="405DA5A9"/>
    <w:rsid w:val="405DE381"/>
    <w:rsid w:val="405F1C31"/>
    <w:rsid w:val="40605DAB"/>
    <w:rsid w:val="40612625"/>
    <w:rsid w:val="40618645"/>
    <w:rsid w:val="40631972"/>
    <w:rsid w:val="40638128"/>
    <w:rsid w:val="40682378"/>
    <w:rsid w:val="40699663"/>
    <w:rsid w:val="406C6347"/>
    <w:rsid w:val="406CFA70"/>
    <w:rsid w:val="406D8AE7"/>
    <w:rsid w:val="40703633"/>
    <w:rsid w:val="40748E22"/>
    <w:rsid w:val="407A1DE8"/>
    <w:rsid w:val="407D2680"/>
    <w:rsid w:val="407D8829"/>
    <w:rsid w:val="407EF982"/>
    <w:rsid w:val="4087849E"/>
    <w:rsid w:val="40888847"/>
    <w:rsid w:val="408D1E48"/>
    <w:rsid w:val="408E515D"/>
    <w:rsid w:val="408FBA67"/>
    <w:rsid w:val="40906C09"/>
    <w:rsid w:val="4090DFD4"/>
    <w:rsid w:val="40928AB8"/>
    <w:rsid w:val="409AA672"/>
    <w:rsid w:val="409B8A50"/>
    <w:rsid w:val="409D38A9"/>
    <w:rsid w:val="40A2E7DE"/>
    <w:rsid w:val="40A64649"/>
    <w:rsid w:val="40A6AD6E"/>
    <w:rsid w:val="40A9861A"/>
    <w:rsid w:val="40AB79B4"/>
    <w:rsid w:val="40ABD9D4"/>
    <w:rsid w:val="40B21E7A"/>
    <w:rsid w:val="40B29CD2"/>
    <w:rsid w:val="40B3C6C8"/>
    <w:rsid w:val="40BACD4C"/>
    <w:rsid w:val="40BADCE9"/>
    <w:rsid w:val="40C59D29"/>
    <w:rsid w:val="40C6DE8C"/>
    <w:rsid w:val="40C8C28C"/>
    <w:rsid w:val="40CA7605"/>
    <w:rsid w:val="40CBFAA9"/>
    <w:rsid w:val="40CC304B"/>
    <w:rsid w:val="40CCF68B"/>
    <w:rsid w:val="40D10D51"/>
    <w:rsid w:val="40D366B2"/>
    <w:rsid w:val="40D45591"/>
    <w:rsid w:val="40D7AB69"/>
    <w:rsid w:val="40D8A4B5"/>
    <w:rsid w:val="40D9A7DE"/>
    <w:rsid w:val="40DDE781"/>
    <w:rsid w:val="40DF6C4C"/>
    <w:rsid w:val="40DFD9B6"/>
    <w:rsid w:val="40E3C913"/>
    <w:rsid w:val="40E5CB5D"/>
    <w:rsid w:val="40E65972"/>
    <w:rsid w:val="40E7BCBD"/>
    <w:rsid w:val="40E8DDAB"/>
    <w:rsid w:val="40E9870C"/>
    <w:rsid w:val="40EBFB55"/>
    <w:rsid w:val="40F36048"/>
    <w:rsid w:val="40F3D583"/>
    <w:rsid w:val="40F5C394"/>
    <w:rsid w:val="40F66B32"/>
    <w:rsid w:val="40F6D833"/>
    <w:rsid w:val="40F7A225"/>
    <w:rsid w:val="40F7CFBC"/>
    <w:rsid w:val="40FA1264"/>
    <w:rsid w:val="40FD0117"/>
    <w:rsid w:val="4101C7C1"/>
    <w:rsid w:val="4101E37F"/>
    <w:rsid w:val="41042632"/>
    <w:rsid w:val="41048B2F"/>
    <w:rsid w:val="4105F5C3"/>
    <w:rsid w:val="41071CD7"/>
    <w:rsid w:val="4108D2F2"/>
    <w:rsid w:val="41098510"/>
    <w:rsid w:val="41114290"/>
    <w:rsid w:val="41139C2A"/>
    <w:rsid w:val="4113E171"/>
    <w:rsid w:val="41172FC4"/>
    <w:rsid w:val="41183A22"/>
    <w:rsid w:val="41188077"/>
    <w:rsid w:val="4118B214"/>
    <w:rsid w:val="4119728B"/>
    <w:rsid w:val="411D315E"/>
    <w:rsid w:val="411DB77C"/>
    <w:rsid w:val="411DD143"/>
    <w:rsid w:val="4123A6E3"/>
    <w:rsid w:val="4125F69A"/>
    <w:rsid w:val="41298FE7"/>
    <w:rsid w:val="4129F7D2"/>
    <w:rsid w:val="412B87D4"/>
    <w:rsid w:val="41321676"/>
    <w:rsid w:val="413406CE"/>
    <w:rsid w:val="4136419A"/>
    <w:rsid w:val="41381B47"/>
    <w:rsid w:val="413A6F90"/>
    <w:rsid w:val="413CF496"/>
    <w:rsid w:val="413DCAE9"/>
    <w:rsid w:val="413EA71C"/>
    <w:rsid w:val="413EFE3F"/>
    <w:rsid w:val="4144860A"/>
    <w:rsid w:val="41451BF5"/>
    <w:rsid w:val="4146CB83"/>
    <w:rsid w:val="4149FBB6"/>
    <w:rsid w:val="414A2163"/>
    <w:rsid w:val="414AF26C"/>
    <w:rsid w:val="414BC19D"/>
    <w:rsid w:val="414FB0AC"/>
    <w:rsid w:val="41506ACF"/>
    <w:rsid w:val="4151EB62"/>
    <w:rsid w:val="4152B948"/>
    <w:rsid w:val="41545EAE"/>
    <w:rsid w:val="4158323A"/>
    <w:rsid w:val="41608F76"/>
    <w:rsid w:val="41631068"/>
    <w:rsid w:val="416326F3"/>
    <w:rsid w:val="4163B339"/>
    <w:rsid w:val="41640501"/>
    <w:rsid w:val="416426DF"/>
    <w:rsid w:val="416453A3"/>
    <w:rsid w:val="4164F498"/>
    <w:rsid w:val="41658C82"/>
    <w:rsid w:val="41667809"/>
    <w:rsid w:val="416A072F"/>
    <w:rsid w:val="416B2C39"/>
    <w:rsid w:val="416E636C"/>
    <w:rsid w:val="41733FB7"/>
    <w:rsid w:val="4174D622"/>
    <w:rsid w:val="41754921"/>
    <w:rsid w:val="4176DA8B"/>
    <w:rsid w:val="41780611"/>
    <w:rsid w:val="4178C85D"/>
    <w:rsid w:val="4179F013"/>
    <w:rsid w:val="417EB1C8"/>
    <w:rsid w:val="4180F708"/>
    <w:rsid w:val="41817953"/>
    <w:rsid w:val="4181A4CA"/>
    <w:rsid w:val="4183609B"/>
    <w:rsid w:val="418418FF"/>
    <w:rsid w:val="41853124"/>
    <w:rsid w:val="41869200"/>
    <w:rsid w:val="41871E22"/>
    <w:rsid w:val="41881136"/>
    <w:rsid w:val="4189D6ED"/>
    <w:rsid w:val="418B92DB"/>
    <w:rsid w:val="41901F19"/>
    <w:rsid w:val="4191A515"/>
    <w:rsid w:val="419259C0"/>
    <w:rsid w:val="41944091"/>
    <w:rsid w:val="419820B1"/>
    <w:rsid w:val="419968AC"/>
    <w:rsid w:val="41A0BF56"/>
    <w:rsid w:val="41A104C1"/>
    <w:rsid w:val="41A22875"/>
    <w:rsid w:val="41A3620C"/>
    <w:rsid w:val="41A541C5"/>
    <w:rsid w:val="41A5BBDC"/>
    <w:rsid w:val="41A7F150"/>
    <w:rsid w:val="41AA5205"/>
    <w:rsid w:val="41AA56CF"/>
    <w:rsid w:val="41AC4314"/>
    <w:rsid w:val="41AC8271"/>
    <w:rsid w:val="41AC90A1"/>
    <w:rsid w:val="41ACFAD4"/>
    <w:rsid w:val="41AF772E"/>
    <w:rsid w:val="41B11B0F"/>
    <w:rsid w:val="41B28BA6"/>
    <w:rsid w:val="41B35074"/>
    <w:rsid w:val="41B4F3B9"/>
    <w:rsid w:val="41B5BD76"/>
    <w:rsid w:val="41BA20E3"/>
    <w:rsid w:val="41BB4DB5"/>
    <w:rsid w:val="41BB70F8"/>
    <w:rsid w:val="41BB9290"/>
    <w:rsid w:val="41BB94BE"/>
    <w:rsid w:val="41BBA481"/>
    <w:rsid w:val="41BDA32B"/>
    <w:rsid w:val="41BEAF17"/>
    <w:rsid w:val="41BF485E"/>
    <w:rsid w:val="41C2B0CD"/>
    <w:rsid w:val="41C4FBE3"/>
    <w:rsid w:val="41C5952D"/>
    <w:rsid w:val="41C9AF11"/>
    <w:rsid w:val="41CB2F32"/>
    <w:rsid w:val="41CB4B06"/>
    <w:rsid w:val="41CB5872"/>
    <w:rsid w:val="41CC3262"/>
    <w:rsid w:val="41CE4D2C"/>
    <w:rsid w:val="41D4E2FC"/>
    <w:rsid w:val="41DDC5D9"/>
    <w:rsid w:val="41E20DF0"/>
    <w:rsid w:val="41E2D736"/>
    <w:rsid w:val="41E3D128"/>
    <w:rsid w:val="41E51A74"/>
    <w:rsid w:val="41F01223"/>
    <w:rsid w:val="41F02240"/>
    <w:rsid w:val="41F1BC0A"/>
    <w:rsid w:val="41FACB50"/>
    <w:rsid w:val="41FBAE51"/>
    <w:rsid w:val="4200ABAF"/>
    <w:rsid w:val="4200CFB8"/>
    <w:rsid w:val="4201779B"/>
    <w:rsid w:val="42040EDF"/>
    <w:rsid w:val="42048D5E"/>
    <w:rsid w:val="42052423"/>
    <w:rsid w:val="42091090"/>
    <w:rsid w:val="4209D1FC"/>
    <w:rsid w:val="420B3BD0"/>
    <w:rsid w:val="420C40F0"/>
    <w:rsid w:val="420D072F"/>
    <w:rsid w:val="420D8328"/>
    <w:rsid w:val="420E3920"/>
    <w:rsid w:val="420ED81F"/>
    <w:rsid w:val="4212B4F2"/>
    <w:rsid w:val="42134829"/>
    <w:rsid w:val="4214E732"/>
    <w:rsid w:val="421776DF"/>
    <w:rsid w:val="4218FA03"/>
    <w:rsid w:val="421A1578"/>
    <w:rsid w:val="421A5128"/>
    <w:rsid w:val="421B00D0"/>
    <w:rsid w:val="421B3974"/>
    <w:rsid w:val="421C656B"/>
    <w:rsid w:val="421D4019"/>
    <w:rsid w:val="421E01FD"/>
    <w:rsid w:val="421EE0FC"/>
    <w:rsid w:val="42210923"/>
    <w:rsid w:val="42219B63"/>
    <w:rsid w:val="42239A9A"/>
    <w:rsid w:val="42251DD8"/>
    <w:rsid w:val="42270A01"/>
    <w:rsid w:val="422A8DC7"/>
    <w:rsid w:val="422EC322"/>
    <w:rsid w:val="422EFE1F"/>
    <w:rsid w:val="4232616D"/>
    <w:rsid w:val="4233A744"/>
    <w:rsid w:val="42341219"/>
    <w:rsid w:val="4234A7A9"/>
    <w:rsid w:val="42351F5F"/>
    <w:rsid w:val="4239FF62"/>
    <w:rsid w:val="423B322D"/>
    <w:rsid w:val="423C360F"/>
    <w:rsid w:val="423D5CB9"/>
    <w:rsid w:val="423F6B95"/>
    <w:rsid w:val="4241E959"/>
    <w:rsid w:val="424512EB"/>
    <w:rsid w:val="424603F6"/>
    <w:rsid w:val="4247ECFB"/>
    <w:rsid w:val="424947B6"/>
    <w:rsid w:val="42494CB7"/>
    <w:rsid w:val="424BAFDD"/>
    <w:rsid w:val="424F0205"/>
    <w:rsid w:val="424FFD83"/>
    <w:rsid w:val="4251D2AA"/>
    <w:rsid w:val="4252C0FA"/>
    <w:rsid w:val="42551B67"/>
    <w:rsid w:val="4256B165"/>
    <w:rsid w:val="4257A792"/>
    <w:rsid w:val="4257ACB0"/>
    <w:rsid w:val="4259F905"/>
    <w:rsid w:val="425EDE7A"/>
    <w:rsid w:val="425FC79A"/>
    <w:rsid w:val="4262B9E6"/>
    <w:rsid w:val="42636158"/>
    <w:rsid w:val="4264BBD7"/>
    <w:rsid w:val="426700F6"/>
    <w:rsid w:val="42698E64"/>
    <w:rsid w:val="426A5576"/>
    <w:rsid w:val="426B2CBF"/>
    <w:rsid w:val="426C1CFA"/>
    <w:rsid w:val="426DDF4F"/>
    <w:rsid w:val="426E107D"/>
    <w:rsid w:val="427027B1"/>
    <w:rsid w:val="4271DD43"/>
    <w:rsid w:val="42720154"/>
    <w:rsid w:val="42752020"/>
    <w:rsid w:val="42756204"/>
    <w:rsid w:val="427CF992"/>
    <w:rsid w:val="427DFF69"/>
    <w:rsid w:val="427E3464"/>
    <w:rsid w:val="427EB5E6"/>
    <w:rsid w:val="427FAEF0"/>
    <w:rsid w:val="427FCA68"/>
    <w:rsid w:val="4283241E"/>
    <w:rsid w:val="4283C88D"/>
    <w:rsid w:val="4284292A"/>
    <w:rsid w:val="42875DF9"/>
    <w:rsid w:val="428CCC4A"/>
    <w:rsid w:val="428FBABF"/>
    <w:rsid w:val="429276A9"/>
    <w:rsid w:val="4292843D"/>
    <w:rsid w:val="4292C202"/>
    <w:rsid w:val="4293BB86"/>
    <w:rsid w:val="4295CEF0"/>
    <w:rsid w:val="42996B99"/>
    <w:rsid w:val="429B4831"/>
    <w:rsid w:val="429D4081"/>
    <w:rsid w:val="42A20D51"/>
    <w:rsid w:val="42A2FC93"/>
    <w:rsid w:val="42A630D6"/>
    <w:rsid w:val="42ADB199"/>
    <w:rsid w:val="42AF9F9C"/>
    <w:rsid w:val="42B15F51"/>
    <w:rsid w:val="42B3C17A"/>
    <w:rsid w:val="42B49EC9"/>
    <w:rsid w:val="42B4CA6B"/>
    <w:rsid w:val="42B98054"/>
    <w:rsid w:val="42BD6FFC"/>
    <w:rsid w:val="42BF8C79"/>
    <w:rsid w:val="42C026E8"/>
    <w:rsid w:val="42C15B17"/>
    <w:rsid w:val="42C74C2F"/>
    <w:rsid w:val="42CC000D"/>
    <w:rsid w:val="42CC571B"/>
    <w:rsid w:val="42D0B9C9"/>
    <w:rsid w:val="42D3B25B"/>
    <w:rsid w:val="42D4D91D"/>
    <w:rsid w:val="42D4EF39"/>
    <w:rsid w:val="42D5BB95"/>
    <w:rsid w:val="42D73BFD"/>
    <w:rsid w:val="42D9B6A2"/>
    <w:rsid w:val="42DC0FD2"/>
    <w:rsid w:val="42DDD121"/>
    <w:rsid w:val="42DFC8B4"/>
    <w:rsid w:val="42E19995"/>
    <w:rsid w:val="42E28E1A"/>
    <w:rsid w:val="42E680E4"/>
    <w:rsid w:val="42E6AEF6"/>
    <w:rsid w:val="42EA3473"/>
    <w:rsid w:val="42ECF755"/>
    <w:rsid w:val="42ED5469"/>
    <w:rsid w:val="42EDD61C"/>
    <w:rsid w:val="42F0B3A0"/>
    <w:rsid w:val="42F4A249"/>
    <w:rsid w:val="42F61521"/>
    <w:rsid w:val="42F924AC"/>
    <w:rsid w:val="42F9320C"/>
    <w:rsid w:val="42F939E7"/>
    <w:rsid w:val="42F9C480"/>
    <w:rsid w:val="42FB165A"/>
    <w:rsid w:val="42FF3A76"/>
    <w:rsid w:val="4303B3A8"/>
    <w:rsid w:val="4305EC1C"/>
    <w:rsid w:val="43067FC3"/>
    <w:rsid w:val="4307DBCA"/>
    <w:rsid w:val="43087E53"/>
    <w:rsid w:val="4308BA4C"/>
    <w:rsid w:val="430A0550"/>
    <w:rsid w:val="430A4572"/>
    <w:rsid w:val="430C2C1E"/>
    <w:rsid w:val="430D9080"/>
    <w:rsid w:val="430F8C38"/>
    <w:rsid w:val="431286CC"/>
    <w:rsid w:val="4313053D"/>
    <w:rsid w:val="431535C8"/>
    <w:rsid w:val="43169F44"/>
    <w:rsid w:val="4316F8C5"/>
    <w:rsid w:val="43192158"/>
    <w:rsid w:val="431FBA0D"/>
    <w:rsid w:val="432224CD"/>
    <w:rsid w:val="43226257"/>
    <w:rsid w:val="43229203"/>
    <w:rsid w:val="4327FAD3"/>
    <w:rsid w:val="4329BFE5"/>
    <w:rsid w:val="432E5DA7"/>
    <w:rsid w:val="432EB49F"/>
    <w:rsid w:val="4330BD73"/>
    <w:rsid w:val="4339219C"/>
    <w:rsid w:val="433E1480"/>
    <w:rsid w:val="433FD1AE"/>
    <w:rsid w:val="4340EACE"/>
    <w:rsid w:val="43433E0F"/>
    <w:rsid w:val="43439F1C"/>
    <w:rsid w:val="43448EB2"/>
    <w:rsid w:val="434788A1"/>
    <w:rsid w:val="4347CF9D"/>
    <w:rsid w:val="434CE765"/>
    <w:rsid w:val="434D8AB6"/>
    <w:rsid w:val="43510E4D"/>
    <w:rsid w:val="4358A57E"/>
    <w:rsid w:val="43595276"/>
    <w:rsid w:val="435D7CC2"/>
    <w:rsid w:val="435E376C"/>
    <w:rsid w:val="435F0B8C"/>
    <w:rsid w:val="43613CDA"/>
    <w:rsid w:val="43655777"/>
    <w:rsid w:val="4366D091"/>
    <w:rsid w:val="4367E126"/>
    <w:rsid w:val="4369EEFB"/>
    <w:rsid w:val="436C6D6D"/>
    <w:rsid w:val="436D7212"/>
    <w:rsid w:val="436E4A6D"/>
    <w:rsid w:val="436F9475"/>
    <w:rsid w:val="4373446B"/>
    <w:rsid w:val="43758032"/>
    <w:rsid w:val="43770145"/>
    <w:rsid w:val="4377D948"/>
    <w:rsid w:val="437B0A9D"/>
    <w:rsid w:val="437DF99F"/>
    <w:rsid w:val="437E7D38"/>
    <w:rsid w:val="437ED869"/>
    <w:rsid w:val="438360C2"/>
    <w:rsid w:val="438BE05A"/>
    <w:rsid w:val="438D639F"/>
    <w:rsid w:val="438E2A7C"/>
    <w:rsid w:val="438E36E6"/>
    <w:rsid w:val="438E65D9"/>
    <w:rsid w:val="438F648E"/>
    <w:rsid w:val="439541A3"/>
    <w:rsid w:val="439569FF"/>
    <w:rsid w:val="4397C66D"/>
    <w:rsid w:val="43996B41"/>
    <w:rsid w:val="4399A156"/>
    <w:rsid w:val="439A08A6"/>
    <w:rsid w:val="439A3105"/>
    <w:rsid w:val="43A20A6E"/>
    <w:rsid w:val="43A2DF73"/>
    <w:rsid w:val="43A63196"/>
    <w:rsid w:val="43A6B533"/>
    <w:rsid w:val="43A78679"/>
    <w:rsid w:val="43A91A7F"/>
    <w:rsid w:val="43AE1477"/>
    <w:rsid w:val="43B2FE6B"/>
    <w:rsid w:val="43B38705"/>
    <w:rsid w:val="43B449AB"/>
    <w:rsid w:val="43B51762"/>
    <w:rsid w:val="43B94242"/>
    <w:rsid w:val="43BC4C25"/>
    <w:rsid w:val="43BDE4F8"/>
    <w:rsid w:val="43C192D8"/>
    <w:rsid w:val="43C4DCBD"/>
    <w:rsid w:val="43C92F5B"/>
    <w:rsid w:val="43CC8567"/>
    <w:rsid w:val="43CD1BCC"/>
    <w:rsid w:val="43D1F2A7"/>
    <w:rsid w:val="43D788FD"/>
    <w:rsid w:val="43D84D89"/>
    <w:rsid w:val="43D8E57F"/>
    <w:rsid w:val="43DA5A86"/>
    <w:rsid w:val="43DEDC2D"/>
    <w:rsid w:val="43E2A356"/>
    <w:rsid w:val="43E2E42D"/>
    <w:rsid w:val="43E399A1"/>
    <w:rsid w:val="43E61388"/>
    <w:rsid w:val="43E9DECB"/>
    <w:rsid w:val="43E9DF16"/>
    <w:rsid w:val="43EE9A48"/>
    <w:rsid w:val="43EEA051"/>
    <w:rsid w:val="43F1E840"/>
    <w:rsid w:val="43F62D11"/>
    <w:rsid w:val="43F8A776"/>
    <w:rsid w:val="43F9D897"/>
    <w:rsid w:val="43FB41E8"/>
    <w:rsid w:val="43FF8701"/>
    <w:rsid w:val="4400F0DE"/>
    <w:rsid w:val="4401681A"/>
    <w:rsid w:val="4404619E"/>
    <w:rsid w:val="44099AE1"/>
    <w:rsid w:val="4409EC86"/>
    <w:rsid w:val="440AE96D"/>
    <w:rsid w:val="440BBA1F"/>
    <w:rsid w:val="4413C9B0"/>
    <w:rsid w:val="4419A6EC"/>
    <w:rsid w:val="441DFBB3"/>
    <w:rsid w:val="441FFFA4"/>
    <w:rsid w:val="442466FB"/>
    <w:rsid w:val="44268211"/>
    <w:rsid w:val="442C7072"/>
    <w:rsid w:val="442CD8CC"/>
    <w:rsid w:val="442FB31F"/>
    <w:rsid w:val="4431ADD9"/>
    <w:rsid w:val="44368463"/>
    <w:rsid w:val="44376F9A"/>
    <w:rsid w:val="4438FB9E"/>
    <w:rsid w:val="443DB3AB"/>
    <w:rsid w:val="4443D314"/>
    <w:rsid w:val="444725DC"/>
    <w:rsid w:val="4447A180"/>
    <w:rsid w:val="444A29C7"/>
    <w:rsid w:val="444A77E9"/>
    <w:rsid w:val="44507DE9"/>
    <w:rsid w:val="4453DACA"/>
    <w:rsid w:val="44578946"/>
    <w:rsid w:val="445950EE"/>
    <w:rsid w:val="445A3423"/>
    <w:rsid w:val="445A7774"/>
    <w:rsid w:val="445E1839"/>
    <w:rsid w:val="445FBC77"/>
    <w:rsid w:val="44640944"/>
    <w:rsid w:val="44647E66"/>
    <w:rsid w:val="4466F19C"/>
    <w:rsid w:val="446A366A"/>
    <w:rsid w:val="446AAA56"/>
    <w:rsid w:val="446C6B92"/>
    <w:rsid w:val="446F3517"/>
    <w:rsid w:val="44730A28"/>
    <w:rsid w:val="44759155"/>
    <w:rsid w:val="44798BAE"/>
    <w:rsid w:val="447AA1FB"/>
    <w:rsid w:val="447AFE35"/>
    <w:rsid w:val="447E1953"/>
    <w:rsid w:val="44807180"/>
    <w:rsid w:val="4484BBC5"/>
    <w:rsid w:val="4484C5AF"/>
    <w:rsid w:val="4487D324"/>
    <w:rsid w:val="448BF44E"/>
    <w:rsid w:val="448E7297"/>
    <w:rsid w:val="4490F472"/>
    <w:rsid w:val="4492DA2D"/>
    <w:rsid w:val="44937CE4"/>
    <w:rsid w:val="4494E763"/>
    <w:rsid w:val="4494FBEB"/>
    <w:rsid w:val="4495C9A6"/>
    <w:rsid w:val="44969D97"/>
    <w:rsid w:val="449A84CD"/>
    <w:rsid w:val="44A47E6E"/>
    <w:rsid w:val="44A6D78C"/>
    <w:rsid w:val="44A75919"/>
    <w:rsid w:val="44A95D2D"/>
    <w:rsid w:val="44AA14F6"/>
    <w:rsid w:val="44AD4CD8"/>
    <w:rsid w:val="44AD9ED0"/>
    <w:rsid w:val="44B007D4"/>
    <w:rsid w:val="44B08544"/>
    <w:rsid w:val="44B2341E"/>
    <w:rsid w:val="44BBDC57"/>
    <w:rsid w:val="44C00C7B"/>
    <w:rsid w:val="44C08248"/>
    <w:rsid w:val="44C2007E"/>
    <w:rsid w:val="44C5052D"/>
    <w:rsid w:val="44C54076"/>
    <w:rsid w:val="44C99776"/>
    <w:rsid w:val="44CA4719"/>
    <w:rsid w:val="44CC73AB"/>
    <w:rsid w:val="44CD4456"/>
    <w:rsid w:val="44CDA4C8"/>
    <w:rsid w:val="44CF3406"/>
    <w:rsid w:val="44D02514"/>
    <w:rsid w:val="44D4720C"/>
    <w:rsid w:val="44D48CA7"/>
    <w:rsid w:val="44D55EBE"/>
    <w:rsid w:val="44D6C022"/>
    <w:rsid w:val="44D7873D"/>
    <w:rsid w:val="44D7AE4F"/>
    <w:rsid w:val="44D8089B"/>
    <w:rsid w:val="44D92088"/>
    <w:rsid w:val="44D96995"/>
    <w:rsid w:val="44D9BF67"/>
    <w:rsid w:val="44DE2AF0"/>
    <w:rsid w:val="44E1FA30"/>
    <w:rsid w:val="44E2F6DE"/>
    <w:rsid w:val="44E57348"/>
    <w:rsid w:val="44EC0BDA"/>
    <w:rsid w:val="44ED2573"/>
    <w:rsid w:val="44F0A95F"/>
    <w:rsid w:val="44F1B124"/>
    <w:rsid w:val="44F420B5"/>
    <w:rsid w:val="44F7AC55"/>
    <w:rsid w:val="44FB4D68"/>
    <w:rsid w:val="44FB7B8C"/>
    <w:rsid w:val="44FD765A"/>
    <w:rsid w:val="44FF42F8"/>
    <w:rsid w:val="4500BD25"/>
    <w:rsid w:val="4504B4F5"/>
    <w:rsid w:val="4504BFE9"/>
    <w:rsid w:val="4505B6B5"/>
    <w:rsid w:val="4508304F"/>
    <w:rsid w:val="450A47E0"/>
    <w:rsid w:val="450B2ACB"/>
    <w:rsid w:val="45110004"/>
    <w:rsid w:val="45125F73"/>
    <w:rsid w:val="45145C4C"/>
    <w:rsid w:val="45165F45"/>
    <w:rsid w:val="451964F3"/>
    <w:rsid w:val="451CC6B7"/>
    <w:rsid w:val="451CD64B"/>
    <w:rsid w:val="45250690"/>
    <w:rsid w:val="45259D69"/>
    <w:rsid w:val="45261946"/>
    <w:rsid w:val="4526CDDB"/>
    <w:rsid w:val="4527E596"/>
    <w:rsid w:val="452A95C3"/>
    <w:rsid w:val="452D1041"/>
    <w:rsid w:val="452DA3BE"/>
    <w:rsid w:val="452F3126"/>
    <w:rsid w:val="452FA2A6"/>
    <w:rsid w:val="452FF4EC"/>
    <w:rsid w:val="4530447F"/>
    <w:rsid w:val="45307C47"/>
    <w:rsid w:val="45315789"/>
    <w:rsid w:val="4532EB70"/>
    <w:rsid w:val="4537B70F"/>
    <w:rsid w:val="453806A7"/>
    <w:rsid w:val="453A0720"/>
    <w:rsid w:val="454051AE"/>
    <w:rsid w:val="45426AAB"/>
    <w:rsid w:val="4544CC13"/>
    <w:rsid w:val="4545CCE9"/>
    <w:rsid w:val="4545FFB4"/>
    <w:rsid w:val="4546688F"/>
    <w:rsid w:val="4546DDBE"/>
    <w:rsid w:val="454A6029"/>
    <w:rsid w:val="454AD9E5"/>
    <w:rsid w:val="454BA255"/>
    <w:rsid w:val="454C7A64"/>
    <w:rsid w:val="454DC49C"/>
    <w:rsid w:val="454F14C4"/>
    <w:rsid w:val="455122EF"/>
    <w:rsid w:val="4551D01E"/>
    <w:rsid w:val="4551E386"/>
    <w:rsid w:val="4554DD1E"/>
    <w:rsid w:val="45578015"/>
    <w:rsid w:val="4557BD59"/>
    <w:rsid w:val="45583707"/>
    <w:rsid w:val="4558C20F"/>
    <w:rsid w:val="455A01BC"/>
    <w:rsid w:val="455A1227"/>
    <w:rsid w:val="455ACC87"/>
    <w:rsid w:val="455EFE34"/>
    <w:rsid w:val="4566F948"/>
    <w:rsid w:val="456EA62E"/>
    <w:rsid w:val="4573A777"/>
    <w:rsid w:val="4573B248"/>
    <w:rsid w:val="457663FB"/>
    <w:rsid w:val="45794CAD"/>
    <w:rsid w:val="457E7E3F"/>
    <w:rsid w:val="45839212"/>
    <w:rsid w:val="4583F847"/>
    <w:rsid w:val="458773C5"/>
    <w:rsid w:val="45880688"/>
    <w:rsid w:val="45898097"/>
    <w:rsid w:val="458BC36A"/>
    <w:rsid w:val="458C2A61"/>
    <w:rsid w:val="458C6D38"/>
    <w:rsid w:val="458DB39A"/>
    <w:rsid w:val="458E41F0"/>
    <w:rsid w:val="458F3115"/>
    <w:rsid w:val="45946349"/>
    <w:rsid w:val="459567D9"/>
    <w:rsid w:val="459BE57D"/>
    <w:rsid w:val="459BF371"/>
    <w:rsid w:val="459C5AAE"/>
    <w:rsid w:val="459F6648"/>
    <w:rsid w:val="459FD417"/>
    <w:rsid w:val="45A02CB9"/>
    <w:rsid w:val="45A5958E"/>
    <w:rsid w:val="45A9D80F"/>
    <w:rsid w:val="45ADAD66"/>
    <w:rsid w:val="45B2A836"/>
    <w:rsid w:val="45B31BAE"/>
    <w:rsid w:val="45B3D3E9"/>
    <w:rsid w:val="45B5A3C4"/>
    <w:rsid w:val="45B5D403"/>
    <w:rsid w:val="45B62B9B"/>
    <w:rsid w:val="45B8CA9E"/>
    <w:rsid w:val="45C600DE"/>
    <w:rsid w:val="45C91F12"/>
    <w:rsid w:val="45CA45E1"/>
    <w:rsid w:val="45CAFF53"/>
    <w:rsid w:val="45CB5E7C"/>
    <w:rsid w:val="45CB83BA"/>
    <w:rsid w:val="45CC2F3B"/>
    <w:rsid w:val="45CC88D8"/>
    <w:rsid w:val="45CD8BF2"/>
    <w:rsid w:val="45D0FE17"/>
    <w:rsid w:val="45D5CE44"/>
    <w:rsid w:val="45D6E92D"/>
    <w:rsid w:val="45D7B978"/>
    <w:rsid w:val="45D8B58C"/>
    <w:rsid w:val="45DB0111"/>
    <w:rsid w:val="45DD862D"/>
    <w:rsid w:val="45DDC1ED"/>
    <w:rsid w:val="45DE6990"/>
    <w:rsid w:val="45DF4CDE"/>
    <w:rsid w:val="45E2B912"/>
    <w:rsid w:val="45E33893"/>
    <w:rsid w:val="45E40A52"/>
    <w:rsid w:val="45E42D6F"/>
    <w:rsid w:val="45E51D8E"/>
    <w:rsid w:val="45E92A43"/>
    <w:rsid w:val="45EB0F61"/>
    <w:rsid w:val="45EB22B2"/>
    <w:rsid w:val="45EBAA06"/>
    <w:rsid w:val="45ED878F"/>
    <w:rsid w:val="45EE0C27"/>
    <w:rsid w:val="45EE632F"/>
    <w:rsid w:val="45EEFFD6"/>
    <w:rsid w:val="45F0A530"/>
    <w:rsid w:val="45F353C4"/>
    <w:rsid w:val="45F8B21C"/>
    <w:rsid w:val="45F9CE66"/>
    <w:rsid w:val="45F9FBA0"/>
    <w:rsid w:val="45FF3BB9"/>
    <w:rsid w:val="46034ECC"/>
    <w:rsid w:val="4603D5BE"/>
    <w:rsid w:val="4604842F"/>
    <w:rsid w:val="4605C394"/>
    <w:rsid w:val="46063063"/>
    <w:rsid w:val="460758B3"/>
    <w:rsid w:val="4608FF25"/>
    <w:rsid w:val="4609299C"/>
    <w:rsid w:val="4609472F"/>
    <w:rsid w:val="460B59C7"/>
    <w:rsid w:val="460D4485"/>
    <w:rsid w:val="460DBE75"/>
    <w:rsid w:val="460DDD98"/>
    <w:rsid w:val="461362AE"/>
    <w:rsid w:val="4614C31D"/>
    <w:rsid w:val="46173B56"/>
    <w:rsid w:val="461BB561"/>
    <w:rsid w:val="461BD53F"/>
    <w:rsid w:val="461CCC2A"/>
    <w:rsid w:val="461E323F"/>
    <w:rsid w:val="461FE336"/>
    <w:rsid w:val="4622F139"/>
    <w:rsid w:val="46232D0A"/>
    <w:rsid w:val="4623E880"/>
    <w:rsid w:val="4627A89D"/>
    <w:rsid w:val="462C04D4"/>
    <w:rsid w:val="462C1B31"/>
    <w:rsid w:val="462F4F28"/>
    <w:rsid w:val="4630141C"/>
    <w:rsid w:val="4631A480"/>
    <w:rsid w:val="4632591C"/>
    <w:rsid w:val="46328E9C"/>
    <w:rsid w:val="46376572"/>
    <w:rsid w:val="4637CDEB"/>
    <w:rsid w:val="463E89D8"/>
    <w:rsid w:val="46431239"/>
    <w:rsid w:val="4643749C"/>
    <w:rsid w:val="46440E5A"/>
    <w:rsid w:val="464519F3"/>
    <w:rsid w:val="4645848D"/>
    <w:rsid w:val="464A4D65"/>
    <w:rsid w:val="464AD13F"/>
    <w:rsid w:val="464AD8B9"/>
    <w:rsid w:val="464B4DC7"/>
    <w:rsid w:val="464BBFBC"/>
    <w:rsid w:val="464F70A5"/>
    <w:rsid w:val="4651801A"/>
    <w:rsid w:val="4652AA82"/>
    <w:rsid w:val="46537650"/>
    <w:rsid w:val="4654BC3D"/>
    <w:rsid w:val="4657013F"/>
    <w:rsid w:val="4657345E"/>
    <w:rsid w:val="4659BBED"/>
    <w:rsid w:val="465B3BC1"/>
    <w:rsid w:val="465CA1FB"/>
    <w:rsid w:val="46614DD5"/>
    <w:rsid w:val="46653974"/>
    <w:rsid w:val="46658DA3"/>
    <w:rsid w:val="4668229E"/>
    <w:rsid w:val="46689C74"/>
    <w:rsid w:val="4668FCC7"/>
    <w:rsid w:val="4669A0ED"/>
    <w:rsid w:val="466AA2E9"/>
    <w:rsid w:val="466B7382"/>
    <w:rsid w:val="466BEEEC"/>
    <w:rsid w:val="466DBBED"/>
    <w:rsid w:val="46705999"/>
    <w:rsid w:val="46730887"/>
    <w:rsid w:val="46733A83"/>
    <w:rsid w:val="46749617"/>
    <w:rsid w:val="4675011C"/>
    <w:rsid w:val="46756DB1"/>
    <w:rsid w:val="467605CD"/>
    <w:rsid w:val="46767FC3"/>
    <w:rsid w:val="467DD864"/>
    <w:rsid w:val="46821757"/>
    <w:rsid w:val="4684A2DF"/>
    <w:rsid w:val="4684CFAB"/>
    <w:rsid w:val="4685CD1D"/>
    <w:rsid w:val="468603B0"/>
    <w:rsid w:val="468875EA"/>
    <w:rsid w:val="4689D720"/>
    <w:rsid w:val="468C9DB1"/>
    <w:rsid w:val="468F31AB"/>
    <w:rsid w:val="46907144"/>
    <w:rsid w:val="469074D5"/>
    <w:rsid w:val="4691F40B"/>
    <w:rsid w:val="4691FDB2"/>
    <w:rsid w:val="4698B70F"/>
    <w:rsid w:val="469902C1"/>
    <w:rsid w:val="4699CDCC"/>
    <w:rsid w:val="469B02F8"/>
    <w:rsid w:val="469C6F07"/>
    <w:rsid w:val="469DBB28"/>
    <w:rsid w:val="469DD2BB"/>
    <w:rsid w:val="46A030BF"/>
    <w:rsid w:val="46A285F0"/>
    <w:rsid w:val="46A345AD"/>
    <w:rsid w:val="46A3F962"/>
    <w:rsid w:val="46A42F5C"/>
    <w:rsid w:val="46A43BA5"/>
    <w:rsid w:val="46A6D0FF"/>
    <w:rsid w:val="46A7D6D6"/>
    <w:rsid w:val="46AA6E58"/>
    <w:rsid w:val="46AAD593"/>
    <w:rsid w:val="46AC86CE"/>
    <w:rsid w:val="46AE2C89"/>
    <w:rsid w:val="46AF1FF2"/>
    <w:rsid w:val="46AFF634"/>
    <w:rsid w:val="46B10152"/>
    <w:rsid w:val="46B73697"/>
    <w:rsid w:val="46BAAF4E"/>
    <w:rsid w:val="46BB095C"/>
    <w:rsid w:val="46BF646A"/>
    <w:rsid w:val="46C21BF9"/>
    <w:rsid w:val="46C4ECC9"/>
    <w:rsid w:val="46C6BDED"/>
    <w:rsid w:val="46C90520"/>
    <w:rsid w:val="46CD6712"/>
    <w:rsid w:val="46CF3A06"/>
    <w:rsid w:val="46D78527"/>
    <w:rsid w:val="46D8C256"/>
    <w:rsid w:val="46DADC99"/>
    <w:rsid w:val="46DC50E1"/>
    <w:rsid w:val="46E19E67"/>
    <w:rsid w:val="46E3C7E7"/>
    <w:rsid w:val="46E601E1"/>
    <w:rsid w:val="46EE0B9D"/>
    <w:rsid w:val="46EE9503"/>
    <w:rsid w:val="46EF7B23"/>
    <w:rsid w:val="46F0475F"/>
    <w:rsid w:val="46F11716"/>
    <w:rsid w:val="46F168D7"/>
    <w:rsid w:val="46F22968"/>
    <w:rsid w:val="46F60660"/>
    <w:rsid w:val="46FB887B"/>
    <w:rsid w:val="46FCF43B"/>
    <w:rsid w:val="4701B903"/>
    <w:rsid w:val="470379D0"/>
    <w:rsid w:val="4703B59F"/>
    <w:rsid w:val="4704A7A3"/>
    <w:rsid w:val="47051EE8"/>
    <w:rsid w:val="4706AD5F"/>
    <w:rsid w:val="470D1353"/>
    <w:rsid w:val="470D76DC"/>
    <w:rsid w:val="470F9B84"/>
    <w:rsid w:val="47121300"/>
    <w:rsid w:val="4712DA10"/>
    <w:rsid w:val="47130FC4"/>
    <w:rsid w:val="47186715"/>
    <w:rsid w:val="471C6033"/>
    <w:rsid w:val="471FF556"/>
    <w:rsid w:val="4721D440"/>
    <w:rsid w:val="47237ADC"/>
    <w:rsid w:val="4724AB43"/>
    <w:rsid w:val="4728415A"/>
    <w:rsid w:val="4729AF16"/>
    <w:rsid w:val="4729C789"/>
    <w:rsid w:val="4729DA1D"/>
    <w:rsid w:val="472A4CA0"/>
    <w:rsid w:val="47311E03"/>
    <w:rsid w:val="4734C925"/>
    <w:rsid w:val="47371946"/>
    <w:rsid w:val="4739A1F4"/>
    <w:rsid w:val="473B6CD7"/>
    <w:rsid w:val="473B8A68"/>
    <w:rsid w:val="473D6A2E"/>
    <w:rsid w:val="473DDAD3"/>
    <w:rsid w:val="473E9416"/>
    <w:rsid w:val="473F9226"/>
    <w:rsid w:val="4742398C"/>
    <w:rsid w:val="4742EFB0"/>
    <w:rsid w:val="47478F55"/>
    <w:rsid w:val="47484090"/>
    <w:rsid w:val="474A214E"/>
    <w:rsid w:val="474A345E"/>
    <w:rsid w:val="474B00E3"/>
    <w:rsid w:val="474D2FFE"/>
    <w:rsid w:val="474EB643"/>
    <w:rsid w:val="4750DF0D"/>
    <w:rsid w:val="47518B25"/>
    <w:rsid w:val="4752E395"/>
    <w:rsid w:val="47563CFF"/>
    <w:rsid w:val="47567A97"/>
    <w:rsid w:val="475A587C"/>
    <w:rsid w:val="475AACD6"/>
    <w:rsid w:val="475AD308"/>
    <w:rsid w:val="475DFCD6"/>
    <w:rsid w:val="4762E9BB"/>
    <w:rsid w:val="47649299"/>
    <w:rsid w:val="4764B2B9"/>
    <w:rsid w:val="4768A82E"/>
    <w:rsid w:val="476CA3CD"/>
    <w:rsid w:val="476D7FAD"/>
    <w:rsid w:val="476E5BA5"/>
    <w:rsid w:val="476FA8B4"/>
    <w:rsid w:val="476FE64D"/>
    <w:rsid w:val="47724D5D"/>
    <w:rsid w:val="47737DE5"/>
    <w:rsid w:val="4776E160"/>
    <w:rsid w:val="477773D9"/>
    <w:rsid w:val="4778BB14"/>
    <w:rsid w:val="47794266"/>
    <w:rsid w:val="477B2D1F"/>
    <w:rsid w:val="477B60CA"/>
    <w:rsid w:val="477C512F"/>
    <w:rsid w:val="477E48C0"/>
    <w:rsid w:val="4781B10D"/>
    <w:rsid w:val="4784EF30"/>
    <w:rsid w:val="47856EC8"/>
    <w:rsid w:val="4789A1FC"/>
    <w:rsid w:val="478B17A7"/>
    <w:rsid w:val="478B322A"/>
    <w:rsid w:val="478BB712"/>
    <w:rsid w:val="478D42A9"/>
    <w:rsid w:val="47900763"/>
    <w:rsid w:val="47920CC9"/>
    <w:rsid w:val="4792941B"/>
    <w:rsid w:val="4792F3C6"/>
    <w:rsid w:val="47931A5F"/>
    <w:rsid w:val="47944984"/>
    <w:rsid w:val="47944DA4"/>
    <w:rsid w:val="4794D69E"/>
    <w:rsid w:val="4795C2FD"/>
    <w:rsid w:val="4795F510"/>
    <w:rsid w:val="479748FD"/>
    <w:rsid w:val="479C2DA5"/>
    <w:rsid w:val="47A1E1FE"/>
    <w:rsid w:val="47A43632"/>
    <w:rsid w:val="47A91DBB"/>
    <w:rsid w:val="47A9B4DE"/>
    <w:rsid w:val="47AA599D"/>
    <w:rsid w:val="47ADA4A8"/>
    <w:rsid w:val="47AEF47F"/>
    <w:rsid w:val="47B095DA"/>
    <w:rsid w:val="47B50C1C"/>
    <w:rsid w:val="47B770AA"/>
    <w:rsid w:val="47B806DA"/>
    <w:rsid w:val="47B955F0"/>
    <w:rsid w:val="47BACC3D"/>
    <w:rsid w:val="47BD9C38"/>
    <w:rsid w:val="47BE4D55"/>
    <w:rsid w:val="47C1559A"/>
    <w:rsid w:val="47CB4264"/>
    <w:rsid w:val="47CCBEA2"/>
    <w:rsid w:val="47CCFF0A"/>
    <w:rsid w:val="47CE462D"/>
    <w:rsid w:val="47D1050C"/>
    <w:rsid w:val="47D1576B"/>
    <w:rsid w:val="47D3D4FE"/>
    <w:rsid w:val="47D4E263"/>
    <w:rsid w:val="47D5552B"/>
    <w:rsid w:val="47D5A6CC"/>
    <w:rsid w:val="47D78664"/>
    <w:rsid w:val="47D9DDE9"/>
    <w:rsid w:val="47DB0C0B"/>
    <w:rsid w:val="47DC2586"/>
    <w:rsid w:val="47DC9F16"/>
    <w:rsid w:val="47DFA2E6"/>
    <w:rsid w:val="47E19F40"/>
    <w:rsid w:val="47E77F0A"/>
    <w:rsid w:val="47E7D543"/>
    <w:rsid w:val="47E89D0D"/>
    <w:rsid w:val="47E8F59D"/>
    <w:rsid w:val="47EDBA57"/>
    <w:rsid w:val="47EF2E3E"/>
    <w:rsid w:val="47F20DD4"/>
    <w:rsid w:val="47F638CC"/>
    <w:rsid w:val="47FBC001"/>
    <w:rsid w:val="47FD909D"/>
    <w:rsid w:val="47FEDC7F"/>
    <w:rsid w:val="4806D7E7"/>
    <w:rsid w:val="48091D98"/>
    <w:rsid w:val="480C0099"/>
    <w:rsid w:val="480DD4C1"/>
    <w:rsid w:val="480EE3E6"/>
    <w:rsid w:val="4811C45F"/>
    <w:rsid w:val="4814E317"/>
    <w:rsid w:val="4815B671"/>
    <w:rsid w:val="4815BBC4"/>
    <w:rsid w:val="481835D4"/>
    <w:rsid w:val="4819E3E2"/>
    <w:rsid w:val="481BA2F7"/>
    <w:rsid w:val="481C0887"/>
    <w:rsid w:val="481E8D89"/>
    <w:rsid w:val="481F3E95"/>
    <w:rsid w:val="4821AAB6"/>
    <w:rsid w:val="482F73F7"/>
    <w:rsid w:val="483147B9"/>
    <w:rsid w:val="483463D9"/>
    <w:rsid w:val="48388F1D"/>
    <w:rsid w:val="48391BD8"/>
    <w:rsid w:val="4839BDD4"/>
    <w:rsid w:val="48424298"/>
    <w:rsid w:val="48436B07"/>
    <w:rsid w:val="48439C39"/>
    <w:rsid w:val="48442133"/>
    <w:rsid w:val="4844BD76"/>
    <w:rsid w:val="4845C8E6"/>
    <w:rsid w:val="4846C62A"/>
    <w:rsid w:val="4849DC53"/>
    <w:rsid w:val="484A4B78"/>
    <w:rsid w:val="484DC9F9"/>
    <w:rsid w:val="484E56AB"/>
    <w:rsid w:val="4852A111"/>
    <w:rsid w:val="4854514A"/>
    <w:rsid w:val="4855BC7B"/>
    <w:rsid w:val="4855D832"/>
    <w:rsid w:val="4856C3C9"/>
    <w:rsid w:val="485A482D"/>
    <w:rsid w:val="485AE062"/>
    <w:rsid w:val="485EC7EA"/>
    <w:rsid w:val="486074F7"/>
    <w:rsid w:val="486423EF"/>
    <w:rsid w:val="486583D6"/>
    <w:rsid w:val="4865AEC5"/>
    <w:rsid w:val="4866CFCF"/>
    <w:rsid w:val="486A53CF"/>
    <w:rsid w:val="486EF8EF"/>
    <w:rsid w:val="486FA656"/>
    <w:rsid w:val="4874078D"/>
    <w:rsid w:val="4874FB82"/>
    <w:rsid w:val="48770BC6"/>
    <w:rsid w:val="48786EF7"/>
    <w:rsid w:val="48792D24"/>
    <w:rsid w:val="4879A74E"/>
    <w:rsid w:val="487CEEE3"/>
    <w:rsid w:val="487DC1B7"/>
    <w:rsid w:val="487E0A39"/>
    <w:rsid w:val="487E5E02"/>
    <w:rsid w:val="487FE4D4"/>
    <w:rsid w:val="4883425C"/>
    <w:rsid w:val="4887BB4D"/>
    <w:rsid w:val="48896BD6"/>
    <w:rsid w:val="488BEAA0"/>
    <w:rsid w:val="488E2B04"/>
    <w:rsid w:val="488E6B3A"/>
    <w:rsid w:val="48914BE4"/>
    <w:rsid w:val="489361A7"/>
    <w:rsid w:val="48989292"/>
    <w:rsid w:val="489EC7DD"/>
    <w:rsid w:val="48A1B45E"/>
    <w:rsid w:val="48A28996"/>
    <w:rsid w:val="48A37C5B"/>
    <w:rsid w:val="48A47087"/>
    <w:rsid w:val="48A76FAD"/>
    <w:rsid w:val="48A7E0FC"/>
    <w:rsid w:val="48A879DC"/>
    <w:rsid w:val="48AE73B2"/>
    <w:rsid w:val="48AFE2BD"/>
    <w:rsid w:val="48B2E6C2"/>
    <w:rsid w:val="48B329CF"/>
    <w:rsid w:val="48B416BE"/>
    <w:rsid w:val="48B47F9E"/>
    <w:rsid w:val="48BE1168"/>
    <w:rsid w:val="48C12084"/>
    <w:rsid w:val="48C35CD2"/>
    <w:rsid w:val="48C3A6FA"/>
    <w:rsid w:val="48C3E20C"/>
    <w:rsid w:val="48C56EE0"/>
    <w:rsid w:val="48C5E488"/>
    <w:rsid w:val="48C7AEFB"/>
    <w:rsid w:val="48CCD621"/>
    <w:rsid w:val="48CDD9AD"/>
    <w:rsid w:val="48CECF99"/>
    <w:rsid w:val="48CEF584"/>
    <w:rsid w:val="48D5DF18"/>
    <w:rsid w:val="48D5E7FB"/>
    <w:rsid w:val="48DA6BC1"/>
    <w:rsid w:val="48DAFF9D"/>
    <w:rsid w:val="48DB9520"/>
    <w:rsid w:val="48DFDFA9"/>
    <w:rsid w:val="48E05B62"/>
    <w:rsid w:val="48E12A9D"/>
    <w:rsid w:val="48E5AF22"/>
    <w:rsid w:val="48E79EDD"/>
    <w:rsid w:val="48E81F65"/>
    <w:rsid w:val="48E8C0AA"/>
    <w:rsid w:val="48EB6699"/>
    <w:rsid w:val="48EE3ACB"/>
    <w:rsid w:val="48F0EACD"/>
    <w:rsid w:val="48FD93C4"/>
    <w:rsid w:val="4904A06A"/>
    <w:rsid w:val="4905467D"/>
    <w:rsid w:val="490622DF"/>
    <w:rsid w:val="490BF94C"/>
    <w:rsid w:val="490C7E50"/>
    <w:rsid w:val="49102E03"/>
    <w:rsid w:val="4914C1DD"/>
    <w:rsid w:val="4914CA85"/>
    <w:rsid w:val="49182448"/>
    <w:rsid w:val="491B198E"/>
    <w:rsid w:val="491D9AD3"/>
    <w:rsid w:val="491E266F"/>
    <w:rsid w:val="492428B2"/>
    <w:rsid w:val="49249B1B"/>
    <w:rsid w:val="49259062"/>
    <w:rsid w:val="492A84C4"/>
    <w:rsid w:val="492A9427"/>
    <w:rsid w:val="492B9C02"/>
    <w:rsid w:val="492C39DB"/>
    <w:rsid w:val="492ECC5D"/>
    <w:rsid w:val="492F8E14"/>
    <w:rsid w:val="492F9C68"/>
    <w:rsid w:val="49329760"/>
    <w:rsid w:val="4932B791"/>
    <w:rsid w:val="4933CF3D"/>
    <w:rsid w:val="49344A06"/>
    <w:rsid w:val="4934CBB0"/>
    <w:rsid w:val="493730F6"/>
    <w:rsid w:val="49377820"/>
    <w:rsid w:val="4938E5A9"/>
    <w:rsid w:val="49397F87"/>
    <w:rsid w:val="493B02F7"/>
    <w:rsid w:val="493F346B"/>
    <w:rsid w:val="49409DFB"/>
    <w:rsid w:val="4940FBE6"/>
    <w:rsid w:val="494380A1"/>
    <w:rsid w:val="494414FB"/>
    <w:rsid w:val="494C10F5"/>
    <w:rsid w:val="49500C07"/>
    <w:rsid w:val="4953CC23"/>
    <w:rsid w:val="4955418A"/>
    <w:rsid w:val="495580EC"/>
    <w:rsid w:val="49576A04"/>
    <w:rsid w:val="4959A054"/>
    <w:rsid w:val="495C6EB2"/>
    <w:rsid w:val="495C7D70"/>
    <w:rsid w:val="495E3E41"/>
    <w:rsid w:val="495E6AFB"/>
    <w:rsid w:val="495E848A"/>
    <w:rsid w:val="495F0401"/>
    <w:rsid w:val="4961590F"/>
    <w:rsid w:val="49617785"/>
    <w:rsid w:val="4961CB6D"/>
    <w:rsid w:val="4964BEC9"/>
    <w:rsid w:val="49651F9C"/>
    <w:rsid w:val="4966DFEF"/>
    <w:rsid w:val="49688239"/>
    <w:rsid w:val="496C84AF"/>
    <w:rsid w:val="496EB1BB"/>
    <w:rsid w:val="496FA9F5"/>
    <w:rsid w:val="497463B9"/>
    <w:rsid w:val="4974826D"/>
    <w:rsid w:val="4974880B"/>
    <w:rsid w:val="4974FEE9"/>
    <w:rsid w:val="4976B22A"/>
    <w:rsid w:val="49779CBB"/>
    <w:rsid w:val="497BF08A"/>
    <w:rsid w:val="497D852E"/>
    <w:rsid w:val="49805ADD"/>
    <w:rsid w:val="49837718"/>
    <w:rsid w:val="4984DF46"/>
    <w:rsid w:val="4985FA9D"/>
    <w:rsid w:val="4986E602"/>
    <w:rsid w:val="498810A0"/>
    <w:rsid w:val="4988F035"/>
    <w:rsid w:val="498BB26F"/>
    <w:rsid w:val="499034E7"/>
    <w:rsid w:val="4991D37D"/>
    <w:rsid w:val="49938CF6"/>
    <w:rsid w:val="49971DF2"/>
    <w:rsid w:val="49986BA1"/>
    <w:rsid w:val="499B86C7"/>
    <w:rsid w:val="499CFC11"/>
    <w:rsid w:val="499D8573"/>
    <w:rsid w:val="499EF8CE"/>
    <w:rsid w:val="49A11AFD"/>
    <w:rsid w:val="49A1A1D5"/>
    <w:rsid w:val="49A50F4A"/>
    <w:rsid w:val="49A53400"/>
    <w:rsid w:val="49A638D4"/>
    <w:rsid w:val="49A7A308"/>
    <w:rsid w:val="49A9626C"/>
    <w:rsid w:val="49AAB8D5"/>
    <w:rsid w:val="49AF7F3A"/>
    <w:rsid w:val="49B3F893"/>
    <w:rsid w:val="49B47F8B"/>
    <w:rsid w:val="49BA59DB"/>
    <w:rsid w:val="49BC3421"/>
    <w:rsid w:val="49BE913D"/>
    <w:rsid w:val="49BF6B52"/>
    <w:rsid w:val="49C07E2B"/>
    <w:rsid w:val="49C2EBBD"/>
    <w:rsid w:val="49C453B3"/>
    <w:rsid w:val="49C4A303"/>
    <w:rsid w:val="49C538F1"/>
    <w:rsid w:val="49C65116"/>
    <w:rsid w:val="49C74D9A"/>
    <w:rsid w:val="49C75291"/>
    <w:rsid w:val="49C8A2E5"/>
    <w:rsid w:val="49C90342"/>
    <w:rsid w:val="49C90676"/>
    <w:rsid w:val="49C9EB0C"/>
    <w:rsid w:val="49CA5197"/>
    <w:rsid w:val="49CDCF14"/>
    <w:rsid w:val="49CE72EC"/>
    <w:rsid w:val="49D24809"/>
    <w:rsid w:val="49D29B6F"/>
    <w:rsid w:val="49D4F635"/>
    <w:rsid w:val="49D523D3"/>
    <w:rsid w:val="49D58501"/>
    <w:rsid w:val="49D604BD"/>
    <w:rsid w:val="49D750DF"/>
    <w:rsid w:val="49D757AF"/>
    <w:rsid w:val="49DFA141"/>
    <w:rsid w:val="49E27D4C"/>
    <w:rsid w:val="49E2F310"/>
    <w:rsid w:val="49E71FB0"/>
    <w:rsid w:val="49EA8DBF"/>
    <w:rsid w:val="49EB0848"/>
    <w:rsid w:val="49EBAFD7"/>
    <w:rsid w:val="49ECF442"/>
    <w:rsid w:val="49EF692B"/>
    <w:rsid w:val="49F187FA"/>
    <w:rsid w:val="49F221C6"/>
    <w:rsid w:val="49F322EB"/>
    <w:rsid w:val="49F344DE"/>
    <w:rsid w:val="49F5BB92"/>
    <w:rsid w:val="49F6EE5E"/>
    <w:rsid w:val="49F72080"/>
    <w:rsid w:val="49F7F758"/>
    <w:rsid w:val="49F9C21E"/>
    <w:rsid w:val="49FE2AF0"/>
    <w:rsid w:val="49FF86C8"/>
    <w:rsid w:val="4A013F75"/>
    <w:rsid w:val="4A02E9A8"/>
    <w:rsid w:val="4A083232"/>
    <w:rsid w:val="4A0F7796"/>
    <w:rsid w:val="4A12F76F"/>
    <w:rsid w:val="4A15B107"/>
    <w:rsid w:val="4A168D8D"/>
    <w:rsid w:val="4A16E26A"/>
    <w:rsid w:val="4A18BE16"/>
    <w:rsid w:val="4A18E427"/>
    <w:rsid w:val="4A1AC095"/>
    <w:rsid w:val="4A1AC59D"/>
    <w:rsid w:val="4A1D523D"/>
    <w:rsid w:val="4A1EB235"/>
    <w:rsid w:val="4A20EA24"/>
    <w:rsid w:val="4A293F40"/>
    <w:rsid w:val="4A2EFB7C"/>
    <w:rsid w:val="4A31ACA7"/>
    <w:rsid w:val="4A324EE2"/>
    <w:rsid w:val="4A363F21"/>
    <w:rsid w:val="4A38CE59"/>
    <w:rsid w:val="4A398141"/>
    <w:rsid w:val="4A3C0974"/>
    <w:rsid w:val="4A3CBE49"/>
    <w:rsid w:val="4A3D8980"/>
    <w:rsid w:val="4A3F55DB"/>
    <w:rsid w:val="4A3F8286"/>
    <w:rsid w:val="4A419601"/>
    <w:rsid w:val="4A438D28"/>
    <w:rsid w:val="4A44BDD7"/>
    <w:rsid w:val="4A456C57"/>
    <w:rsid w:val="4A476227"/>
    <w:rsid w:val="4A481684"/>
    <w:rsid w:val="4A4AA8D7"/>
    <w:rsid w:val="4A4D5E6E"/>
    <w:rsid w:val="4A4DB81C"/>
    <w:rsid w:val="4A4DC2BD"/>
    <w:rsid w:val="4A4E65A0"/>
    <w:rsid w:val="4A52C207"/>
    <w:rsid w:val="4A53CB59"/>
    <w:rsid w:val="4A5444AB"/>
    <w:rsid w:val="4A54FE29"/>
    <w:rsid w:val="4A57F59B"/>
    <w:rsid w:val="4A5AA2C3"/>
    <w:rsid w:val="4A5E3C99"/>
    <w:rsid w:val="4A5EFE90"/>
    <w:rsid w:val="4A612868"/>
    <w:rsid w:val="4A625E79"/>
    <w:rsid w:val="4A628068"/>
    <w:rsid w:val="4A63BF13"/>
    <w:rsid w:val="4A6701AC"/>
    <w:rsid w:val="4A67CC56"/>
    <w:rsid w:val="4A6890F6"/>
    <w:rsid w:val="4A69B9BD"/>
    <w:rsid w:val="4A6DA161"/>
    <w:rsid w:val="4A71D9B5"/>
    <w:rsid w:val="4A738CFD"/>
    <w:rsid w:val="4A742B3A"/>
    <w:rsid w:val="4A7A0BB4"/>
    <w:rsid w:val="4A7A13AE"/>
    <w:rsid w:val="4A7BE7EF"/>
    <w:rsid w:val="4A7F744D"/>
    <w:rsid w:val="4A881300"/>
    <w:rsid w:val="4A899DAB"/>
    <w:rsid w:val="4A8C4C5F"/>
    <w:rsid w:val="4A8EBBDF"/>
    <w:rsid w:val="4A902F2C"/>
    <w:rsid w:val="4A91FBA5"/>
    <w:rsid w:val="4A921EF8"/>
    <w:rsid w:val="4A95192B"/>
    <w:rsid w:val="4A99B859"/>
    <w:rsid w:val="4A9C84CD"/>
    <w:rsid w:val="4A9D1D32"/>
    <w:rsid w:val="4A9D30D3"/>
    <w:rsid w:val="4A9F88DC"/>
    <w:rsid w:val="4AA132D4"/>
    <w:rsid w:val="4AA248BE"/>
    <w:rsid w:val="4AA6094A"/>
    <w:rsid w:val="4AA63C18"/>
    <w:rsid w:val="4AA8C02B"/>
    <w:rsid w:val="4AAB630C"/>
    <w:rsid w:val="4AAC13BD"/>
    <w:rsid w:val="4AAE1C74"/>
    <w:rsid w:val="4AB05D7F"/>
    <w:rsid w:val="4AB09252"/>
    <w:rsid w:val="4AB0E985"/>
    <w:rsid w:val="4AB2C004"/>
    <w:rsid w:val="4AB451BF"/>
    <w:rsid w:val="4AB50A21"/>
    <w:rsid w:val="4AB6F6C4"/>
    <w:rsid w:val="4AB7CB60"/>
    <w:rsid w:val="4AB8F958"/>
    <w:rsid w:val="4AB9750D"/>
    <w:rsid w:val="4AB9B16A"/>
    <w:rsid w:val="4AB9EAC3"/>
    <w:rsid w:val="4ABA5EBA"/>
    <w:rsid w:val="4ABD8102"/>
    <w:rsid w:val="4ABE8FEC"/>
    <w:rsid w:val="4AC368E7"/>
    <w:rsid w:val="4AC76658"/>
    <w:rsid w:val="4AC807C0"/>
    <w:rsid w:val="4ACB7318"/>
    <w:rsid w:val="4ACE40F5"/>
    <w:rsid w:val="4AD115D6"/>
    <w:rsid w:val="4AD5E2CE"/>
    <w:rsid w:val="4AD88D6E"/>
    <w:rsid w:val="4AD8DD02"/>
    <w:rsid w:val="4AD9299A"/>
    <w:rsid w:val="4ADC123B"/>
    <w:rsid w:val="4ADE1E85"/>
    <w:rsid w:val="4ADEA08B"/>
    <w:rsid w:val="4ADF53D2"/>
    <w:rsid w:val="4ADF8A76"/>
    <w:rsid w:val="4AE1A187"/>
    <w:rsid w:val="4AE2CD3A"/>
    <w:rsid w:val="4AE30EB5"/>
    <w:rsid w:val="4AE488D6"/>
    <w:rsid w:val="4AE5B975"/>
    <w:rsid w:val="4AE65711"/>
    <w:rsid w:val="4AE79B63"/>
    <w:rsid w:val="4AE7BE70"/>
    <w:rsid w:val="4AE9A3A4"/>
    <w:rsid w:val="4AEA7F45"/>
    <w:rsid w:val="4AEA9722"/>
    <w:rsid w:val="4AEB12CB"/>
    <w:rsid w:val="4AED77FA"/>
    <w:rsid w:val="4AF3E669"/>
    <w:rsid w:val="4AF65594"/>
    <w:rsid w:val="4AF73696"/>
    <w:rsid w:val="4AF7C688"/>
    <w:rsid w:val="4AF7D8F8"/>
    <w:rsid w:val="4AF8EBF0"/>
    <w:rsid w:val="4AFBE5DA"/>
    <w:rsid w:val="4B003777"/>
    <w:rsid w:val="4B0470FC"/>
    <w:rsid w:val="4B050C67"/>
    <w:rsid w:val="4B0747A8"/>
    <w:rsid w:val="4B07DA3A"/>
    <w:rsid w:val="4B10CF63"/>
    <w:rsid w:val="4B13C246"/>
    <w:rsid w:val="4B1418DC"/>
    <w:rsid w:val="4B18B050"/>
    <w:rsid w:val="4B18E1A0"/>
    <w:rsid w:val="4B1CBADF"/>
    <w:rsid w:val="4B1D8372"/>
    <w:rsid w:val="4B21E3E7"/>
    <w:rsid w:val="4B22BAEE"/>
    <w:rsid w:val="4B2307DB"/>
    <w:rsid w:val="4B24A894"/>
    <w:rsid w:val="4B24C8C5"/>
    <w:rsid w:val="4B26106B"/>
    <w:rsid w:val="4B2AEBF6"/>
    <w:rsid w:val="4B2B4BB7"/>
    <w:rsid w:val="4B2EE43D"/>
    <w:rsid w:val="4B2F5FB7"/>
    <w:rsid w:val="4B2FA2CD"/>
    <w:rsid w:val="4B2FE8DA"/>
    <w:rsid w:val="4B2FF1DA"/>
    <w:rsid w:val="4B342884"/>
    <w:rsid w:val="4B34D760"/>
    <w:rsid w:val="4B3C34D1"/>
    <w:rsid w:val="4B3DBDBF"/>
    <w:rsid w:val="4B3EF848"/>
    <w:rsid w:val="4B437154"/>
    <w:rsid w:val="4B44DEA6"/>
    <w:rsid w:val="4B45F0D6"/>
    <w:rsid w:val="4B46D445"/>
    <w:rsid w:val="4B486EFA"/>
    <w:rsid w:val="4B48E60A"/>
    <w:rsid w:val="4B4A8A18"/>
    <w:rsid w:val="4B4D0011"/>
    <w:rsid w:val="4B4F49E8"/>
    <w:rsid w:val="4B5487F3"/>
    <w:rsid w:val="4B566269"/>
    <w:rsid w:val="4B57C18E"/>
    <w:rsid w:val="4B5B36A9"/>
    <w:rsid w:val="4B5BD64E"/>
    <w:rsid w:val="4B5C46BE"/>
    <w:rsid w:val="4B61EF91"/>
    <w:rsid w:val="4B625747"/>
    <w:rsid w:val="4B63755C"/>
    <w:rsid w:val="4B64DFFB"/>
    <w:rsid w:val="4B653C3F"/>
    <w:rsid w:val="4B66C777"/>
    <w:rsid w:val="4B6751AE"/>
    <w:rsid w:val="4B679D29"/>
    <w:rsid w:val="4B6AA8B9"/>
    <w:rsid w:val="4B6E2DA7"/>
    <w:rsid w:val="4B6E44C0"/>
    <w:rsid w:val="4B6E7A9D"/>
    <w:rsid w:val="4B70E418"/>
    <w:rsid w:val="4B71264E"/>
    <w:rsid w:val="4B71637B"/>
    <w:rsid w:val="4B74B7FD"/>
    <w:rsid w:val="4B75551B"/>
    <w:rsid w:val="4B770A29"/>
    <w:rsid w:val="4B7BFF60"/>
    <w:rsid w:val="4B7C1F90"/>
    <w:rsid w:val="4B7C3BFA"/>
    <w:rsid w:val="4B7D5381"/>
    <w:rsid w:val="4B7D7A89"/>
    <w:rsid w:val="4B801F88"/>
    <w:rsid w:val="4B82C8CB"/>
    <w:rsid w:val="4B879CB8"/>
    <w:rsid w:val="4B8D28A9"/>
    <w:rsid w:val="4B8F3A48"/>
    <w:rsid w:val="4B90B657"/>
    <w:rsid w:val="4B930F8A"/>
    <w:rsid w:val="4B969C19"/>
    <w:rsid w:val="4B977E32"/>
    <w:rsid w:val="4B9B3320"/>
    <w:rsid w:val="4B9B779A"/>
    <w:rsid w:val="4B9E0F86"/>
    <w:rsid w:val="4BA0A1DC"/>
    <w:rsid w:val="4BA23BF4"/>
    <w:rsid w:val="4BA42E01"/>
    <w:rsid w:val="4BA5ECBF"/>
    <w:rsid w:val="4BA666F8"/>
    <w:rsid w:val="4BA8BB9F"/>
    <w:rsid w:val="4BA9B783"/>
    <w:rsid w:val="4BAB3553"/>
    <w:rsid w:val="4BAB8BD6"/>
    <w:rsid w:val="4BAE62E2"/>
    <w:rsid w:val="4BAE6941"/>
    <w:rsid w:val="4BB015AA"/>
    <w:rsid w:val="4BB45671"/>
    <w:rsid w:val="4BB4E730"/>
    <w:rsid w:val="4BB4F2A8"/>
    <w:rsid w:val="4BB615C4"/>
    <w:rsid w:val="4BB62685"/>
    <w:rsid w:val="4BBB39B4"/>
    <w:rsid w:val="4BC0075E"/>
    <w:rsid w:val="4BC0F19B"/>
    <w:rsid w:val="4BC4EBB6"/>
    <w:rsid w:val="4BC80913"/>
    <w:rsid w:val="4BC856DD"/>
    <w:rsid w:val="4BCAFAD3"/>
    <w:rsid w:val="4BCBCDA6"/>
    <w:rsid w:val="4BCBF152"/>
    <w:rsid w:val="4BCFA9D3"/>
    <w:rsid w:val="4BCFC990"/>
    <w:rsid w:val="4BD245C3"/>
    <w:rsid w:val="4BD247F5"/>
    <w:rsid w:val="4BD25108"/>
    <w:rsid w:val="4BD6AC76"/>
    <w:rsid w:val="4BD7AC92"/>
    <w:rsid w:val="4BDD91E6"/>
    <w:rsid w:val="4BDE180F"/>
    <w:rsid w:val="4BE70DF1"/>
    <w:rsid w:val="4BEB8585"/>
    <w:rsid w:val="4BEDBDF6"/>
    <w:rsid w:val="4BEFC2F6"/>
    <w:rsid w:val="4BF2E485"/>
    <w:rsid w:val="4BF428F6"/>
    <w:rsid w:val="4BFB939B"/>
    <w:rsid w:val="4BFE6B98"/>
    <w:rsid w:val="4BFECB58"/>
    <w:rsid w:val="4BFF5BBF"/>
    <w:rsid w:val="4C01819E"/>
    <w:rsid w:val="4C026503"/>
    <w:rsid w:val="4C035752"/>
    <w:rsid w:val="4C03EFF0"/>
    <w:rsid w:val="4C04AFEE"/>
    <w:rsid w:val="4C04CFE5"/>
    <w:rsid w:val="4C054E45"/>
    <w:rsid w:val="4C05E7EA"/>
    <w:rsid w:val="4C060C91"/>
    <w:rsid w:val="4C072280"/>
    <w:rsid w:val="4C086D0C"/>
    <w:rsid w:val="4C089750"/>
    <w:rsid w:val="4C0C12F5"/>
    <w:rsid w:val="4C104F46"/>
    <w:rsid w:val="4C133028"/>
    <w:rsid w:val="4C14DDDF"/>
    <w:rsid w:val="4C15F65B"/>
    <w:rsid w:val="4C1772B9"/>
    <w:rsid w:val="4C1801D7"/>
    <w:rsid w:val="4C1852FB"/>
    <w:rsid w:val="4C1C6E76"/>
    <w:rsid w:val="4C1D88D9"/>
    <w:rsid w:val="4C1FB5E2"/>
    <w:rsid w:val="4C20BC2C"/>
    <w:rsid w:val="4C24F187"/>
    <w:rsid w:val="4C250B1A"/>
    <w:rsid w:val="4C257DEC"/>
    <w:rsid w:val="4C288A5A"/>
    <w:rsid w:val="4C290C35"/>
    <w:rsid w:val="4C2CCC24"/>
    <w:rsid w:val="4C2FE49E"/>
    <w:rsid w:val="4C3287AF"/>
    <w:rsid w:val="4C37A896"/>
    <w:rsid w:val="4C3923CB"/>
    <w:rsid w:val="4C3B17F6"/>
    <w:rsid w:val="4C3BE082"/>
    <w:rsid w:val="4C3F146D"/>
    <w:rsid w:val="4C3FAFC0"/>
    <w:rsid w:val="4C451A02"/>
    <w:rsid w:val="4C48C50C"/>
    <w:rsid w:val="4C4BF5AC"/>
    <w:rsid w:val="4C4CD0B8"/>
    <w:rsid w:val="4C5159A4"/>
    <w:rsid w:val="4C518FD3"/>
    <w:rsid w:val="4C5319AB"/>
    <w:rsid w:val="4C54EB3F"/>
    <w:rsid w:val="4C56649D"/>
    <w:rsid w:val="4C58B332"/>
    <w:rsid w:val="4C5D81CC"/>
    <w:rsid w:val="4C657F8F"/>
    <w:rsid w:val="4C65FF17"/>
    <w:rsid w:val="4C68547D"/>
    <w:rsid w:val="4C69733B"/>
    <w:rsid w:val="4C6A3D95"/>
    <w:rsid w:val="4C6ABB2B"/>
    <w:rsid w:val="4C6EC9B0"/>
    <w:rsid w:val="4C6EFA5C"/>
    <w:rsid w:val="4C6F34B7"/>
    <w:rsid w:val="4C7081AF"/>
    <w:rsid w:val="4C720BA5"/>
    <w:rsid w:val="4C727F7A"/>
    <w:rsid w:val="4C75B8EF"/>
    <w:rsid w:val="4C761951"/>
    <w:rsid w:val="4C7A0F7E"/>
    <w:rsid w:val="4C7A3871"/>
    <w:rsid w:val="4C7A40BB"/>
    <w:rsid w:val="4C7CF6E7"/>
    <w:rsid w:val="4C7E2EB8"/>
    <w:rsid w:val="4C7F38A4"/>
    <w:rsid w:val="4C808340"/>
    <w:rsid w:val="4C80CD11"/>
    <w:rsid w:val="4C82C452"/>
    <w:rsid w:val="4C837296"/>
    <w:rsid w:val="4C853C43"/>
    <w:rsid w:val="4C863359"/>
    <w:rsid w:val="4C878017"/>
    <w:rsid w:val="4C8A4A72"/>
    <w:rsid w:val="4C8B07BE"/>
    <w:rsid w:val="4C8B3B43"/>
    <w:rsid w:val="4C8B51A9"/>
    <w:rsid w:val="4C8C1CA5"/>
    <w:rsid w:val="4C8E9D1D"/>
    <w:rsid w:val="4C909F58"/>
    <w:rsid w:val="4C928D43"/>
    <w:rsid w:val="4C95ED9F"/>
    <w:rsid w:val="4C97DA36"/>
    <w:rsid w:val="4C984A0B"/>
    <w:rsid w:val="4C985060"/>
    <w:rsid w:val="4C9AC9FC"/>
    <w:rsid w:val="4C9C497E"/>
    <w:rsid w:val="4C9CA899"/>
    <w:rsid w:val="4CA53335"/>
    <w:rsid w:val="4CA555F5"/>
    <w:rsid w:val="4CA7B211"/>
    <w:rsid w:val="4CAAC5A3"/>
    <w:rsid w:val="4CAD5C2B"/>
    <w:rsid w:val="4CADF3A4"/>
    <w:rsid w:val="4CB136FC"/>
    <w:rsid w:val="4CB17DD3"/>
    <w:rsid w:val="4CB4DF1B"/>
    <w:rsid w:val="4CB50A4B"/>
    <w:rsid w:val="4CB5AA58"/>
    <w:rsid w:val="4CB7EE76"/>
    <w:rsid w:val="4CBA7935"/>
    <w:rsid w:val="4CBCAD5A"/>
    <w:rsid w:val="4CC33A9E"/>
    <w:rsid w:val="4CC62310"/>
    <w:rsid w:val="4CC78F30"/>
    <w:rsid w:val="4CCE9F11"/>
    <w:rsid w:val="4CCED0D9"/>
    <w:rsid w:val="4CCFB07C"/>
    <w:rsid w:val="4CD03D55"/>
    <w:rsid w:val="4CD0E5C6"/>
    <w:rsid w:val="4CD15927"/>
    <w:rsid w:val="4CD7EA72"/>
    <w:rsid w:val="4CD887D5"/>
    <w:rsid w:val="4CDA12DB"/>
    <w:rsid w:val="4CDA83CF"/>
    <w:rsid w:val="4CDDA3B6"/>
    <w:rsid w:val="4CDF2565"/>
    <w:rsid w:val="4CDF9E16"/>
    <w:rsid w:val="4CDFA00D"/>
    <w:rsid w:val="4CE05792"/>
    <w:rsid w:val="4CE1EB19"/>
    <w:rsid w:val="4CE3659D"/>
    <w:rsid w:val="4CE506BA"/>
    <w:rsid w:val="4CE9A41D"/>
    <w:rsid w:val="4CEA444A"/>
    <w:rsid w:val="4CEEF22A"/>
    <w:rsid w:val="4CF33ABD"/>
    <w:rsid w:val="4CF53A95"/>
    <w:rsid w:val="4CF70BB1"/>
    <w:rsid w:val="4CF7CE6B"/>
    <w:rsid w:val="4CF884A2"/>
    <w:rsid w:val="4CFA0408"/>
    <w:rsid w:val="4CFCA0BA"/>
    <w:rsid w:val="4CFF20F1"/>
    <w:rsid w:val="4D0003AD"/>
    <w:rsid w:val="4D00405A"/>
    <w:rsid w:val="4D045612"/>
    <w:rsid w:val="4D0660CF"/>
    <w:rsid w:val="4D0826D0"/>
    <w:rsid w:val="4D0A4351"/>
    <w:rsid w:val="4D0B1E12"/>
    <w:rsid w:val="4D0F517F"/>
    <w:rsid w:val="4D1295A9"/>
    <w:rsid w:val="4D18A5A4"/>
    <w:rsid w:val="4D19AB0B"/>
    <w:rsid w:val="4D1C6D40"/>
    <w:rsid w:val="4D1EC758"/>
    <w:rsid w:val="4D1F607A"/>
    <w:rsid w:val="4D1FA226"/>
    <w:rsid w:val="4D1FACBB"/>
    <w:rsid w:val="4D2068DF"/>
    <w:rsid w:val="4D221544"/>
    <w:rsid w:val="4D23A098"/>
    <w:rsid w:val="4D28083A"/>
    <w:rsid w:val="4D2873A4"/>
    <w:rsid w:val="4D295F08"/>
    <w:rsid w:val="4D299DF0"/>
    <w:rsid w:val="4D29D889"/>
    <w:rsid w:val="4D2AD7A9"/>
    <w:rsid w:val="4D2D2977"/>
    <w:rsid w:val="4D2F53A7"/>
    <w:rsid w:val="4D2FEAC0"/>
    <w:rsid w:val="4D2FF990"/>
    <w:rsid w:val="4D30A8AE"/>
    <w:rsid w:val="4D31C619"/>
    <w:rsid w:val="4D364BAC"/>
    <w:rsid w:val="4D36DA74"/>
    <w:rsid w:val="4D38B9F0"/>
    <w:rsid w:val="4D39298F"/>
    <w:rsid w:val="4D433B45"/>
    <w:rsid w:val="4D467265"/>
    <w:rsid w:val="4D492357"/>
    <w:rsid w:val="4D4BB918"/>
    <w:rsid w:val="4D515FCE"/>
    <w:rsid w:val="4D5316DC"/>
    <w:rsid w:val="4D535475"/>
    <w:rsid w:val="4D538F51"/>
    <w:rsid w:val="4D546B94"/>
    <w:rsid w:val="4D55F74F"/>
    <w:rsid w:val="4D5669C2"/>
    <w:rsid w:val="4D5A6177"/>
    <w:rsid w:val="4D610073"/>
    <w:rsid w:val="4D627D2C"/>
    <w:rsid w:val="4D637CDC"/>
    <w:rsid w:val="4D6435FC"/>
    <w:rsid w:val="4D658EF5"/>
    <w:rsid w:val="4D6790DC"/>
    <w:rsid w:val="4D6B87CF"/>
    <w:rsid w:val="4D6CB93C"/>
    <w:rsid w:val="4D70220E"/>
    <w:rsid w:val="4D74DF43"/>
    <w:rsid w:val="4D76BA6A"/>
    <w:rsid w:val="4D776ADB"/>
    <w:rsid w:val="4D7BD281"/>
    <w:rsid w:val="4D7C55E0"/>
    <w:rsid w:val="4D7EEC04"/>
    <w:rsid w:val="4D81AFCA"/>
    <w:rsid w:val="4D82B0E3"/>
    <w:rsid w:val="4D84C8E3"/>
    <w:rsid w:val="4D859CC5"/>
    <w:rsid w:val="4D85AA74"/>
    <w:rsid w:val="4D863DB7"/>
    <w:rsid w:val="4D86831B"/>
    <w:rsid w:val="4D88D0B7"/>
    <w:rsid w:val="4D8B589D"/>
    <w:rsid w:val="4D8C47F8"/>
    <w:rsid w:val="4D8C6A11"/>
    <w:rsid w:val="4D908FEE"/>
    <w:rsid w:val="4D91030E"/>
    <w:rsid w:val="4D91182E"/>
    <w:rsid w:val="4D916711"/>
    <w:rsid w:val="4D918895"/>
    <w:rsid w:val="4D94CA8C"/>
    <w:rsid w:val="4D95E13C"/>
    <w:rsid w:val="4D964C01"/>
    <w:rsid w:val="4D972703"/>
    <w:rsid w:val="4D9A5BB8"/>
    <w:rsid w:val="4D9D878A"/>
    <w:rsid w:val="4D9E1907"/>
    <w:rsid w:val="4D9F95F5"/>
    <w:rsid w:val="4DA05DE4"/>
    <w:rsid w:val="4DA57658"/>
    <w:rsid w:val="4DA64547"/>
    <w:rsid w:val="4DA65F41"/>
    <w:rsid w:val="4DA72A58"/>
    <w:rsid w:val="4DA8664E"/>
    <w:rsid w:val="4DB0EC2B"/>
    <w:rsid w:val="4DB62358"/>
    <w:rsid w:val="4DB6E3C6"/>
    <w:rsid w:val="4DB9DDC3"/>
    <w:rsid w:val="4DBA739C"/>
    <w:rsid w:val="4DBC474E"/>
    <w:rsid w:val="4DC28E33"/>
    <w:rsid w:val="4DC3CEB8"/>
    <w:rsid w:val="4DC4E946"/>
    <w:rsid w:val="4DC6327B"/>
    <w:rsid w:val="4DCD5846"/>
    <w:rsid w:val="4DCEDDFA"/>
    <w:rsid w:val="4DCFEA51"/>
    <w:rsid w:val="4DD0A654"/>
    <w:rsid w:val="4DD11FCB"/>
    <w:rsid w:val="4DD29F95"/>
    <w:rsid w:val="4DD3CDA0"/>
    <w:rsid w:val="4DD55F88"/>
    <w:rsid w:val="4DD5D597"/>
    <w:rsid w:val="4DD63156"/>
    <w:rsid w:val="4DD7A69F"/>
    <w:rsid w:val="4DD80390"/>
    <w:rsid w:val="4DD80611"/>
    <w:rsid w:val="4DDD53C4"/>
    <w:rsid w:val="4DDF5A82"/>
    <w:rsid w:val="4DDF9161"/>
    <w:rsid w:val="4DE3A249"/>
    <w:rsid w:val="4DE729A2"/>
    <w:rsid w:val="4DE8A9E6"/>
    <w:rsid w:val="4DE9720B"/>
    <w:rsid w:val="4DEAF5C9"/>
    <w:rsid w:val="4DEB7963"/>
    <w:rsid w:val="4DEBDC4E"/>
    <w:rsid w:val="4DECAC44"/>
    <w:rsid w:val="4DF104D0"/>
    <w:rsid w:val="4DF252BB"/>
    <w:rsid w:val="4DF2C1C5"/>
    <w:rsid w:val="4DF37CDC"/>
    <w:rsid w:val="4DF47B37"/>
    <w:rsid w:val="4DF84E28"/>
    <w:rsid w:val="4DF85C73"/>
    <w:rsid w:val="4DFDF62E"/>
    <w:rsid w:val="4DFF4C83"/>
    <w:rsid w:val="4E00B2CC"/>
    <w:rsid w:val="4E055223"/>
    <w:rsid w:val="4E060C8D"/>
    <w:rsid w:val="4E06ED89"/>
    <w:rsid w:val="4E0825AE"/>
    <w:rsid w:val="4E0924F2"/>
    <w:rsid w:val="4E0DE217"/>
    <w:rsid w:val="4E0E05F2"/>
    <w:rsid w:val="4E0EFE51"/>
    <w:rsid w:val="4E1050D6"/>
    <w:rsid w:val="4E156159"/>
    <w:rsid w:val="4E1567FD"/>
    <w:rsid w:val="4E15A22E"/>
    <w:rsid w:val="4E163BC7"/>
    <w:rsid w:val="4E190053"/>
    <w:rsid w:val="4E1B0825"/>
    <w:rsid w:val="4E1BBFFE"/>
    <w:rsid w:val="4E1DD088"/>
    <w:rsid w:val="4E1FBCF0"/>
    <w:rsid w:val="4E241069"/>
    <w:rsid w:val="4E2629B6"/>
    <w:rsid w:val="4E27B8A4"/>
    <w:rsid w:val="4E283275"/>
    <w:rsid w:val="4E28571A"/>
    <w:rsid w:val="4E2C9C97"/>
    <w:rsid w:val="4E2D6EE7"/>
    <w:rsid w:val="4E32D54A"/>
    <w:rsid w:val="4E330B96"/>
    <w:rsid w:val="4E3601B4"/>
    <w:rsid w:val="4E379BD8"/>
    <w:rsid w:val="4E39C691"/>
    <w:rsid w:val="4E39FCA3"/>
    <w:rsid w:val="4E3A3BE6"/>
    <w:rsid w:val="4E3BE4F1"/>
    <w:rsid w:val="4E3DA95A"/>
    <w:rsid w:val="4E3F00ED"/>
    <w:rsid w:val="4E41EC01"/>
    <w:rsid w:val="4E426320"/>
    <w:rsid w:val="4E426455"/>
    <w:rsid w:val="4E431F40"/>
    <w:rsid w:val="4E446BC0"/>
    <w:rsid w:val="4E455445"/>
    <w:rsid w:val="4E4789A4"/>
    <w:rsid w:val="4E47BC1A"/>
    <w:rsid w:val="4E497138"/>
    <w:rsid w:val="4E497F50"/>
    <w:rsid w:val="4E498F93"/>
    <w:rsid w:val="4E4D7B11"/>
    <w:rsid w:val="4E51D6D9"/>
    <w:rsid w:val="4E537E0D"/>
    <w:rsid w:val="4E54FAE0"/>
    <w:rsid w:val="4E56045A"/>
    <w:rsid w:val="4E57168C"/>
    <w:rsid w:val="4E581825"/>
    <w:rsid w:val="4E589FD3"/>
    <w:rsid w:val="4E593AFC"/>
    <w:rsid w:val="4E59EA61"/>
    <w:rsid w:val="4E5BDEC6"/>
    <w:rsid w:val="4E5C5724"/>
    <w:rsid w:val="4E5E3B65"/>
    <w:rsid w:val="4E61E0E3"/>
    <w:rsid w:val="4E634243"/>
    <w:rsid w:val="4E63CF03"/>
    <w:rsid w:val="4E641A54"/>
    <w:rsid w:val="4E64EE49"/>
    <w:rsid w:val="4E670E94"/>
    <w:rsid w:val="4E688D88"/>
    <w:rsid w:val="4E6A0704"/>
    <w:rsid w:val="4E6BCC86"/>
    <w:rsid w:val="4E6D2ECF"/>
    <w:rsid w:val="4E738D8E"/>
    <w:rsid w:val="4E773977"/>
    <w:rsid w:val="4E776951"/>
    <w:rsid w:val="4E77F643"/>
    <w:rsid w:val="4E7B604C"/>
    <w:rsid w:val="4E7B75A5"/>
    <w:rsid w:val="4E7BB4A0"/>
    <w:rsid w:val="4E7C26A5"/>
    <w:rsid w:val="4E7E4A06"/>
    <w:rsid w:val="4E7FA461"/>
    <w:rsid w:val="4E7FEDCB"/>
    <w:rsid w:val="4E80065D"/>
    <w:rsid w:val="4E80F3C7"/>
    <w:rsid w:val="4E852B1F"/>
    <w:rsid w:val="4E85FFB1"/>
    <w:rsid w:val="4E896791"/>
    <w:rsid w:val="4E8B693A"/>
    <w:rsid w:val="4E8C6863"/>
    <w:rsid w:val="4E8E14AB"/>
    <w:rsid w:val="4E921512"/>
    <w:rsid w:val="4E93AA24"/>
    <w:rsid w:val="4E94EEC9"/>
    <w:rsid w:val="4E9777B8"/>
    <w:rsid w:val="4E9ABBC8"/>
    <w:rsid w:val="4E9E136F"/>
    <w:rsid w:val="4E9EEB30"/>
    <w:rsid w:val="4E9F323D"/>
    <w:rsid w:val="4EA10F18"/>
    <w:rsid w:val="4EA55120"/>
    <w:rsid w:val="4EA554D0"/>
    <w:rsid w:val="4EA5C4B8"/>
    <w:rsid w:val="4EA6306E"/>
    <w:rsid w:val="4EA87471"/>
    <w:rsid w:val="4EA9E669"/>
    <w:rsid w:val="4EAA1A78"/>
    <w:rsid w:val="4EACA218"/>
    <w:rsid w:val="4EAD0B81"/>
    <w:rsid w:val="4EADC5CD"/>
    <w:rsid w:val="4EAFCFEE"/>
    <w:rsid w:val="4EB12FA4"/>
    <w:rsid w:val="4EB20874"/>
    <w:rsid w:val="4EB20D51"/>
    <w:rsid w:val="4EB2C682"/>
    <w:rsid w:val="4EB650E9"/>
    <w:rsid w:val="4EB8AAF1"/>
    <w:rsid w:val="4EB90586"/>
    <w:rsid w:val="4EB90A20"/>
    <w:rsid w:val="4EB9D2CC"/>
    <w:rsid w:val="4EBA4EC2"/>
    <w:rsid w:val="4EBA8F82"/>
    <w:rsid w:val="4EBACDCA"/>
    <w:rsid w:val="4EBAD197"/>
    <w:rsid w:val="4EBCA11F"/>
    <w:rsid w:val="4EBD2B10"/>
    <w:rsid w:val="4EC05594"/>
    <w:rsid w:val="4EC1B574"/>
    <w:rsid w:val="4EC3875B"/>
    <w:rsid w:val="4EC64E79"/>
    <w:rsid w:val="4EC95A84"/>
    <w:rsid w:val="4ECA808F"/>
    <w:rsid w:val="4ECDB121"/>
    <w:rsid w:val="4ED1CDC5"/>
    <w:rsid w:val="4ED29002"/>
    <w:rsid w:val="4ED452FD"/>
    <w:rsid w:val="4ED47951"/>
    <w:rsid w:val="4ED71937"/>
    <w:rsid w:val="4ED86FD3"/>
    <w:rsid w:val="4ED90186"/>
    <w:rsid w:val="4ED99310"/>
    <w:rsid w:val="4ED993A3"/>
    <w:rsid w:val="4EE10E2F"/>
    <w:rsid w:val="4EE5C400"/>
    <w:rsid w:val="4EE6DF40"/>
    <w:rsid w:val="4EE8AE31"/>
    <w:rsid w:val="4EEB8F92"/>
    <w:rsid w:val="4EECC459"/>
    <w:rsid w:val="4EEE0A90"/>
    <w:rsid w:val="4EEE3E90"/>
    <w:rsid w:val="4EEEC734"/>
    <w:rsid w:val="4EF04A1E"/>
    <w:rsid w:val="4EF39623"/>
    <w:rsid w:val="4EF46CF4"/>
    <w:rsid w:val="4EF4830A"/>
    <w:rsid w:val="4EF540BA"/>
    <w:rsid w:val="4EF5D9BD"/>
    <w:rsid w:val="4EF68B54"/>
    <w:rsid w:val="4EF759AB"/>
    <w:rsid w:val="4EFE236E"/>
    <w:rsid w:val="4EFE9F96"/>
    <w:rsid w:val="4EFECA10"/>
    <w:rsid w:val="4EFECCD9"/>
    <w:rsid w:val="4F003E60"/>
    <w:rsid w:val="4F04E609"/>
    <w:rsid w:val="4F050314"/>
    <w:rsid w:val="4F088F21"/>
    <w:rsid w:val="4F08D62F"/>
    <w:rsid w:val="4F0A2498"/>
    <w:rsid w:val="4F0ABD12"/>
    <w:rsid w:val="4F0B932E"/>
    <w:rsid w:val="4F0BA235"/>
    <w:rsid w:val="4F0BD181"/>
    <w:rsid w:val="4F0CF1CA"/>
    <w:rsid w:val="4F0D08C2"/>
    <w:rsid w:val="4F190C65"/>
    <w:rsid w:val="4F1EB719"/>
    <w:rsid w:val="4F22AB0A"/>
    <w:rsid w:val="4F23AFEA"/>
    <w:rsid w:val="4F242B87"/>
    <w:rsid w:val="4F25DC44"/>
    <w:rsid w:val="4F279E79"/>
    <w:rsid w:val="4F2903B8"/>
    <w:rsid w:val="4F2A623B"/>
    <w:rsid w:val="4F2A7479"/>
    <w:rsid w:val="4F2C084B"/>
    <w:rsid w:val="4F30870A"/>
    <w:rsid w:val="4F31A29E"/>
    <w:rsid w:val="4F3335EA"/>
    <w:rsid w:val="4F367086"/>
    <w:rsid w:val="4F39B642"/>
    <w:rsid w:val="4F39E778"/>
    <w:rsid w:val="4F3A19D1"/>
    <w:rsid w:val="4F3B1F20"/>
    <w:rsid w:val="4F3B481D"/>
    <w:rsid w:val="4F3BC09B"/>
    <w:rsid w:val="4F3CCD28"/>
    <w:rsid w:val="4F3F4F28"/>
    <w:rsid w:val="4F3F9A65"/>
    <w:rsid w:val="4F41DF32"/>
    <w:rsid w:val="4F456636"/>
    <w:rsid w:val="4F4658DF"/>
    <w:rsid w:val="4F48BA32"/>
    <w:rsid w:val="4F49071F"/>
    <w:rsid w:val="4F4AD886"/>
    <w:rsid w:val="4F5112E0"/>
    <w:rsid w:val="4F51E477"/>
    <w:rsid w:val="4F528F85"/>
    <w:rsid w:val="4F56E25C"/>
    <w:rsid w:val="4F58447D"/>
    <w:rsid w:val="4F5F3468"/>
    <w:rsid w:val="4F6384D6"/>
    <w:rsid w:val="4F640EA9"/>
    <w:rsid w:val="4F661793"/>
    <w:rsid w:val="4F6857E1"/>
    <w:rsid w:val="4F6AC85C"/>
    <w:rsid w:val="4F6B0819"/>
    <w:rsid w:val="4F6B5494"/>
    <w:rsid w:val="4F6E71F3"/>
    <w:rsid w:val="4F6F1A10"/>
    <w:rsid w:val="4F7029EF"/>
    <w:rsid w:val="4F707F0A"/>
    <w:rsid w:val="4F71B0FF"/>
    <w:rsid w:val="4F7370B5"/>
    <w:rsid w:val="4F760045"/>
    <w:rsid w:val="4F769F3F"/>
    <w:rsid w:val="4F76AD40"/>
    <w:rsid w:val="4F7905B3"/>
    <w:rsid w:val="4F798D11"/>
    <w:rsid w:val="4F7D54AA"/>
    <w:rsid w:val="4F7DF429"/>
    <w:rsid w:val="4F805538"/>
    <w:rsid w:val="4F82BD35"/>
    <w:rsid w:val="4F8AADF7"/>
    <w:rsid w:val="4F8D3E92"/>
    <w:rsid w:val="4F8DE0C4"/>
    <w:rsid w:val="4F8DF778"/>
    <w:rsid w:val="4F8E36F1"/>
    <w:rsid w:val="4F8E5EB9"/>
    <w:rsid w:val="4F8F86AD"/>
    <w:rsid w:val="4F8FC667"/>
    <w:rsid w:val="4F90AE58"/>
    <w:rsid w:val="4F916736"/>
    <w:rsid w:val="4F9731F9"/>
    <w:rsid w:val="4F9890BA"/>
    <w:rsid w:val="4F98D56F"/>
    <w:rsid w:val="4F98E42C"/>
    <w:rsid w:val="4F991971"/>
    <w:rsid w:val="4F9CEF02"/>
    <w:rsid w:val="4F9DCC4E"/>
    <w:rsid w:val="4F9F3843"/>
    <w:rsid w:val="4F9F57CA"/>
    <w:rsid w:val="4FA2A7A6"/>
    <w:rsid w:val="4FA41A35"/>
    <w:rsid w:val="4FA9BD72"/>
    <w:rsid w:val="4FABF9EB"/>
    <w:rsid w:val="4FAD0F6F"/>
    <w:rsid w:val="4FAE999C"/>
    <w:rsid w:val="4FAF2128"/>
    <w:rsid w:val="4FB31262"/>
    <w:rsid w:val="4FB7E13A"/>
    <w:rsid w:val="4FB8C0BA"/>
    <w:rsid w:val="4FBC463E"/>
    <w:rsid w:val="4FBD2821"/>
    <w:rsid w:val="4FC0F2B4"/>
    <w:rsid w:val="4FC16CEE"/>
    <w:rsid w:val="4FC2FAC5"/>
    <w:rsid w:val="4FC65BF6"/>
    <w:rsid w:val="4FC68382"/>
    <w:rsid w:val="4FC6AC41"/>
    <w:rsid w:val="4FC7A625"/>
    <w:rsid w:val="4FCB5069"/>
    <w:rsid w:val="4FD03068"/>
    <w:rsid w:val="4FD75CD1"/>
    <w:rsid w:val="4FDCC382"/>
    <w:rsid w:val="4FDD7165"/>
    <w:rsid w:val="4FE3CEDB"/>
    <w:rsid w:val="4FE77B1C"/>
    <w:rsid w:val="4FED7018"/>
    <w:rsid w:val="4FED8551"/>
    <w:rsid w:val="4FEDE92E"/>
    <w:rsid w:val="4FF18E78"/>
    <w:rsid w:val="4FF2569F"/>
    <w:rsid w:val="4FF3CFC4"/>
    <w:rsid w:val="4FF50785"/>
    <w:rsid w:val="4FF782CC"/>
    <w:rsid w:val="4FF832E9"/>
    <w:rsid w:val="4FF98495"/>
    <w:rsid w:val="4FFB1E6E"/>
    <w:rsid w:val="4FFBF46B"/>
    <w:rsid w:val="50007B0E"/>
    <w:rsid w:val="50048505"/>
    <w:rsid w:val="50073B53"/>
    <w:rsid w:val="5009FD7F"/>
    <w:rsid w:val="500C5469"/>
    <w:rsid w:val="500CC6F3"/>
    <w:rsid w:val="5017A4F2"/>
    <w:rsid w:val="5018F5B3"/>
    <w:rsid w:val="5019A7DD"/>
    <w:rsid w:val="501A9FD8"/>
    <w:rsid w:val="501D588F"/>
    <w:rsid w:val="501F9D9D"/>
    <w:rsid w:val="5020742D"/>
    <w:rsid w:val="50209AC7"/>
    <w:rsid w:val="50244ABF"/>
    <w:rsid w:val="50271307"/>
    <w:rsid w:val="502B43BA"/>
    <w:rsid w:val="502BAA35"/>
    <w:rsid w:val="502C90CE"/>
    <w:rsid w:val="502CBF11"/>
    <w:rsid w:val="50303BD4"/>
    <w:rsid w:val="50306EE3"/>
    <w:rsid w:val="5031CE12"/>
    <w:rsid w:val="5032F127"/>
    <w:rsid w:val="50330A2B"/>
    <w:rsid w:val="5033E9D3"/>
    <w:rsid w:val="50368114"/>
    <w:rsid w:val="5037F880"/>
    <w:rsid w:val="503B92B5"/>
    <w:rsid w:val="503C5B62"/>
    <w:rsid w:val="503DA8F4"/>
    <w:rsid w:val="503EFA10"/>
    <w:rsid w:val="5044AB08"/>
    <w:rsid w:val="50476E14"/>
    <w:rsid w:val="50488E9F"/>
    <w:rsid w:val="50495729"/>
    <w:rsid w:val="504B8AF6"/>
    <w:rsid w:val="5050AB56"/>
    <w:rsid w:val="5052A35D"/>
    <w:rsid w:val="505832C9"/>
    <w:rsid w:val="5058BCEB"/>
    <w:rsid w:val="50590FE6"/>
    <w:rsid w:val="505A38BF"/>
    <w:rsid w:val="506170B2"/>
    <w:rsid w:val="5061CA45"/>
    <w:rsid w:val="50632658"/>
    <w:rsid w:val="506B723F"/>
    <w:rsid w:val="506BCAD9"/>
    <w:rsid w:val="506F2ABE"/>
    <w:rsid w:val="5074C63D"/>
    <w:rsid w:val="50761747"/>
    <w:rsid w:val="5076C3DA"/>
    <w:rsid w:val="5077EB87"/>
    <w:rsid w:val="507BCF0A"/>
    <w:rsid w:val="507E6B80"/>
    <w:rsid w:val="507FDB0D"/>
    <w:rsid w:val="50816728"/>
    <w:rsid w:val="50856273"/>
    <w:rsid w:val="50868688"/>
    <w:rsid w:val="508944B9"/>
    <w:rsid w:val="508AD62E"/>
    <w:rsid w:val="508B3DAA"/>
    <w:rsid w:val="508B680D"/>
    <w:rsid w:val="508E713B"/>
    <w:rsid w:val="508ECF0A"/>
    <w:rsid w:val="508FA476"/>
    <w:rsid w:val="5090A123"/>
    <w:rsid w:val="50914307"/>
    <w:rsid w:val="50921334"/>
    <w:rsid w:val="5096E7A6"/>
    <w:rsid w:val="509709C1"/>
    <w:rsid w:val="50986788"/>
    <w:rsid w:val="509D17EB"/>
    <w:rsid w:val="509EC546"/>
    <w:rsid w:val="50A052DB"/>
    <w:rsid w:val="50A16846"/>
    <w:rsid w:val="50A17DF9"/>
    <w:rsid w:val="50A18FFD"/>
    <w:rsid w:val="50A44604"/>
    <w:rsid w:val="50A7828D"/>
    <w:rsid w:val="50A87F1D"/>
    <w:rsid w:val="50B13712"/>
    <w:rsid w:val="50B1C869"/>
    <w:rsid w:val="50B3A486"/>
    <w:rsid w:val="50B7EDF1"/>
    <w:rsid w:val="50BBDE4A"/>
    <w:rsid w:val="50BC4CBA"/>
    <w:rsid w:val="50BEC285"/>
    <w:rsid w:val="50BF7245"/>
    <w:rsid w:val="50C02902"/>
    <w:rsid w:val="50C1065F"/>
    <w:rsid w:val="50C3F07A"/>
    <w:rsid w:val="50C6FFE9"/>
    <w:rsid w:val="50C978BD"/>
    <w:rsid w:val="50CAF4FC"/>
    <w:rsid w:val="50CE6A0B"/>
    <w:rsid w:val="50CEE4D5"/>
    <w:rsid w:val="50D7FDAF"/>
    <w:rsid w:val="50D850D7"/>
    <w:rsid w:val="50D95695"/>
    <w:rsid w:val="50DAA64C"/>
    <w:rsid w:val="50DBA48E"/>
    <w:rsid w:val="50DC8C54"/>
    <w:rsid w:val="50DCF3FE"/>
    <w:rsid w:val="50DD74DD"/>
    <w:rsid w:val="50DDDDD1"/>
    <w:rsid w:val="50E6577F"/>
    <w:rsid w:val="50E6A534"/>
    <w:rsid w:val="50EB5C0E"/>
    <w:rsid w:val="50EC90DE"/>
    <w:rsid w:val="50EE17CC"/>
    <w:rsid w:val="50F22B22"/>
    <w:rsid w:val="50FBE941"/>
    <w:rsid w:val="50FCE054"/>
    <w:rsid w:val="50FDFB4A"/>
    <w:rsid w:val="50FF439E"/>
    <w:rsid w:val="510274F0"/>
    <w:rsid w:val="510526A4"/>
    <w:rsid w:val="510746C3"/>
    <w:rsid w:val="5111291D"/>
    <w:rsid w:val="5114764D"/>
    <w:rsid w:val="5114E60E"/>
    <w:rsid w:val="5115CA3F"/>
    <w:rsid w:val="5117BA35"/>
    <w:rsid w:val="511BBB36"/>
    <w:rsid w:val="511C3288"/>
    <w:rsid w:val="5120BFEA"/>
    <w:rsid w:val="5120D40A"/>
    <w:rsid w:val="51212C5C"/>
    <w:rsid w:val="512188B5"/>
    <w:rsid w:val="512211AA"/>
    <w:rsid w:val="5126869C"/>
    <w:rsid w:val="5126C9A0"/>
    <w:rsid w:val="512710E5"/>
    <w:rsid w:val="51281791"/>
    <w:rsid w:val="51294225"/>
    <w:rsid w:val="512B369D"/>
    <w:rsid w:val="512C1C2C"/>
    <w:rsid w:val="512D1C7F"/>
    <w:rsid w:val="512E20F1"/>
    <w:rsid w:val="5132F2E2"/>
    <w:rsid w:val="5135BCFD"/>
    <w:rsid w:val="5135F436"/>
    <w:rsid w:val="5138E426"/>
    <w:rsid w:val="513AEAF3"/>
    <w:rsid w:val="513DF72D"/>
    <w:rsid w:val="514544A0"/>
    <w:rsid w:val="5146F2F0"/>
    <w:rsid w:val="514B8F67"/>
    <w:rsid w:val="514D2E5D"/>
    <w:rsid w:val="514F7C74"/>
    <w:rsid w:val="5152F555"/>
    <w:rsid w:val="51551F1B"/>
    <w:rsid w:val="515817A3"/>
    <w:rsid w:val="5159FBD3"/>
    <w:rsid w:val="515D73B0"/>
    <w:rsid w:val="515DDC70"/>
    <w:rsid w:val="515F41D9"/>
    <w:rsid w:val="516137B2"/>
    <w:rsid w:val="516174E3"/>
    <w:rsid w:val="5161EF8C"/>
    <w:rsid w:val="51640D5B"/>
    <w:rsid w:val="51656A03"/>
    <w:rsid w:val="5166F2AA"/>
    <w:rsid w:val="516C28B9"/>
    <w:rsid w:val="516C82E1"/>
    <w:rsid w:val="516C9A38"/>
    <w:rsid w:val="516CA383"/>
    <w:rsid w:val="51705F7B"/>
    <w:rsid w:val="51711417"/>
    <w:rsid w:val="5172EE85"/>
    <w:rsid w:val="5174BBD4"/>
    <w:rsid w:val="5175A70D"/>
    <w:rsid w:val="517714E7"/>
    <w:rsid w:val="517A4FB2"/>
    <w:rsid w:val="51802D7D"/>
    <w:rsid w:val="5180C773"/>
    <w:rsid w:val="51812257"/>
    <w:rsid w:val="518372D2"/>
    <w:rsid w:val="518742B1"/>
    <w:rsid w:val="518818DB"/>
    <w:rsid w:val="518AD375"/>
    <w:rsid w:val="518C2195"/>
    <w:rsid w:val="518C82B7"/>
    <w:rsid w:val="518CEBF9"/>
    <w:rsid w:val="51904BEC"/>
    <w:rsid w:val="519249DC"/>
    <w:rsid w:val="51978D88"/>
    <w:rsid w:val="519AF381"/>
    <w:rsid w:val="519BD28F"/>
    <w:rsid w:val="519C5492"/>
    <w:rsid w:val="519C8CCD"/>
    <w:rsid w:val="519E2DE0"/>
    <w:rsid w:val="519F4B4A"/>
    <w:rsid w:val="519F5B9F"/>
    <w:rsid w:val="51A10F7C"/>
    <w:rsid w:val="51A136D0"/>
    <w:rsid w:val="51A27E40"/>
    <w:rsid w:val="51A2A21F"/>
    <w:rsid w:val="51A4B41B"/>
    <w:rsid w:val="51AA4575"/>
    <w:rsid w:val="51AA6CF3"/>
    <w:rsid w:val="51AB3E98"/>
    <w:rsid w:val="51B38A78"/>
    <w:rsid w:val="51BBFB62"/>
    <w:rsid w:val="51BC6C81"/>
    <w:rsid w:val="51BDE76C"/>
    <w:rsid w:val="51BFF043"/>
    <w:rsid w:val="51C56260"/>
    <w:rsid w:val="51C7EFD6"/>
    <w:rsid w:val="51CE09CD"/>
    <w:rsid w:val="51D02B52"/>
    <w:rsid w:val="51D053F8"/>
    <w:rsid w:val="51D3AA4D"/>
    <w:rsid w:val="51D60B84"/>
    <w:rsid w:val="51D66B5B"/>
    <w:rsid w:val="51D896AA"/>
    <w:rsid w:val="51DB65E8"/>
    <w:rsid w:val="51DCB515"/>
    <w:rsid w:val="51DEB7A1"/>
    <w:rsid w:val="51DF8977"/>
    <w:rsid w:val="51DFC258"/>
    <w:rsid w:val="51E0FD56"/>
    <w:rsid w:val="51E14490"/>
    <w:rsid w:val="51E17CBC"/>
    <w:rsid w:val="51EB654B"/>
    <w:rsid w:val="51EC0021"/>
    <w:rsid w:val="51F08F39"/>
    <w:rsid w:val="51F173D6"/>
    <w:rsid w:val="51F3E5EE"/>
    <w:rsid w:val="51F603D6"/>
    <w:rsid w:val="51FB59FF"/>
    <w:rsid w:val="51FB735A"/>
    <w:rsid w:val="51FBE706"/>
    <w:rsid w:val="51FDA89C"/>
    <w:rsid w:val="5206C970"/>
    <w:rsid w:val="5207B8A6"/>
    <w:rsid w:val="5207F4E2"/>
    <w:rsid w:val="5208C976"/>
    <w:rsid w:val="520A16E2"/>
    <w:rsid w:val="520CAA14"/>
    <w:rsid w:val="520F864B"/>
    <w:rsid w:val="52120A6A"/>
    <w:rsid w:val="5214B1FC"/>
    <w:rsid w:val="5214EE43"/>
    <w:rsid w:val="521615D9"/>
    <w:rsid w:val="52185A36"/>
    <w:rsid w:val="52187344"/>
    <w:rsid w:val="5218F597"/>
    <w:rsid w:val="521987C1"/>
    <w:rsid w:val="521A52CF"/>
    <w:rsid w:val="521F5B52"/>
    <w:rsid w:val="52205B6D"/>
    <w:rsid w:val="52230DF6"/>
    <w:rsid w:val="5223CA53"/>
    <w:rsid w:val="52248D74"/>
    <w:rsid w:val="52256D49"/>
    <w:rsid w:val="52265297"/>
    <w:rsid w:val="5227E2F5"/>
    <w:rsid w:val="5229EE1A"/>
    <w:rsid w:val="522BC628"/>
    <w:rsid w:val="522FAA27"/>
    <w:rsid w:val="52303EEC"/>
    <w:rsid w:val="5234B031"/>
    <w:rsid w:val="52351F49"/>
    <w:rsid w:val="5235A2EA"/>
    <w:rsid w:val="523777BA"/>
    <w:rsid w:val="5237BB5B"/>
    <w:rsid w:val="523A2431"/>
    <w:rsid w:val="523A3571"/>
    <w:rsid w:val="523BD426"/>
    <w:rsid w:val="523C6BEA"/>
    <w:rsid w:val="523C93D6"/>
    <w:rsid w:val="523CD3DE"/>
    <w:rsid w:val="523FE17D"/>
    <w:rsid w:val="5241AA4D"/>
    <w:rsid w:val="52423F35"/>
    <w:rsid w:val="5243A60D"/>
    <w:rsid w:val="5243DC2F"/>
    <w:rsid w:val="5246E3E4"/>
    <w:rsid w:val="5246FDE9"/>
    <w:rsid w:val="525000AD"/>
    <w:rsid w:val="52506034"/>
    <w:rsid w:val="5250E470"/>
    <w:rsid w:val="5251B9C6"/>
    <w:rsid w:val="525255B8"/>
    <w:rsid w:val="525454B7"/>
    <w:rsid w:val="52551884"/>
    <w:rsid w:val="5255FBDD"/>
    <w:rsid w:val="5256CB02"/>
    <w:rsid w:val="525A08E2"/>
    <w:rsid w:val="525A5341"/>
    <w:rsid w:val="525B9199"/>
    <w:rsid w:val="525D2574"/>
    <w:rsid w:val="525E288F"/>
    <w:rsid w:val="525E4745"/>
    <w:rsid w:val="52606E36"/>
    <w:rsid w:val="52617CA4"/>
    <w:rsid w:val="5261F7A4"/>
    <w:rsid w:val="52626C0C"/>
    <w:rsid w:val="526399F5"/>
    <w:rsid w:val="5265F2DA"/>
    <w:rsid w:val="5266591F"/>
    <w:rsid w:val="5267E256"/>
    <w:rsid w:val="5269ED48"/>
    <w:rsid w:val="526B1C95"/>
    <w:rsid w:val="526C7B42"/>
    <w:rsid w:val="527318A6"/>
    <w:rsid w:val="5273EBCD"/>
    <w:rsid w:val="5274BF23"/>
    <w:rsid w:val="5278E5FD"/>
    <w:rsid w:val="527E473A"/>
    <w:rsid w:val="527EB15F"/>
    <w:rsid w:val="52811D05"/>
    <w:rsid w:val="52837F07"/>
    <w:rsid w:val="52846D2A"/>
    <w:rsid w:val="5285AF37"/>
    <w:rsid w:val="528615EA"/>
    <w:rsid w:val="52864932"/>
    <w:rsid w:val="528A0210"/>
    <w:rsid w:val="528A14A8"/>
    <w:rsid w:val="528C44BB"/>
    <w:rsid w:val="52990A02"/>
    <w:rsid w:val="529E7BEB"/>
    <w:rsid w:val="529EAF62"/>
    <w:rsid w:val="52A286EA"/>
    <w:rsid w:val="52A2974D"/>
    <w:rsid w:val="52A33740"/>
    <w:rsid w:val="52A3CF56"/>
    <w:rsid w:val="52A69713"/>
    <w:rsid w:val="52A73A90"/>
    <w:rsid w:val="52A871DE"/>
    <w:rsid w:val="52AB6270"/>
    <w:rsid w:val="52ACA0E2"/>
    <w:rsid w:val="52B0F6A3"/>
    <w:rsid w:val="52B146C3"/>
    <w:rsid w:val="52B23AE6"/>
    <w:rsid w:val="52B3C40B"/>
    <w:rsid w:val="52B5036C"/>
    <w:rsid w:val="52B5CCC7"/>
    <w:rsid w:val="52B95453"/>
    <w:rsid w:val="52B9F592"/>
    <w:rsid w:val="52BC9413"/>
    <w:rsid w:val="52C7CAD0"/>
    <w:rsid w:val="52C89B6A"/>
    <w:rsid w:val="52C965C9"/>
    <w:rsid w:val="52C9821B"/>
    <w:rsid w:val="52CA333E"/>
    <w:rsid w:val="52CC84E7"/>
    <w:rsid w:val="52CE76AB"/>
    <w:rsid w:val="52D05571"/>
    <w:rsid w:val="52E155EE"/>
    <w:rsid w:val="52E19B1D"/>
    <w:rsid w:val="52E20E40"/>
    <w:rsid w:val="52E217B2"/>
    <w:rsid w:val="52E2F122"/>
    <w:rsid w:val="52E311E3"/>
    <w:rsid w:val="52E31D88"/>
    <w:rsid w:val="52E3B12B"/>
    <w:rsid w:val="52E43271"/>
    <w:rsid w:val="52E5F982"/>
    <w:rsid w:val="52E79FD4"/>
    <w:rsid w:val="52E81402"/>
    <w:rsid w:val="52EAE7B1"/>
    <w:rsid w:val="52EBC7B4"/>
    <w:rsid w:val="52F03887"/>
    <w:rsid w:val="52F379A9"/>
    <w:rsid w:val="52F6A1E4"/>
    <w:rsid w:val="52F6B6E0"/>
    <w:rsid w:val="52F70FE2"/>
    <w:rsid w:val="52F78B97"/>
    <w:rsid w:val="52FBA83C"/>
    <w:rsid w:val="52FE7751"/>
    <w:rsid w:val="5304517C"/>
    <w:rsid w:val="5304A2F0"/>
    <w:rsid w:val="530AEE4E"/>
    <w:rsid w:val="530B440C"/>
    <w:rsid w:val="530BF8CA"/>
    <w:rsid w:val="530FF4D4"/>
    <w:rsid w:val="5312E6AD"/>
    <w:rsid w:val="5313BEAC"/>
    <w:rsid w:val="5314386C"/>
    <w:rsid w:val="53155EDD"/>
    <w:rsid w:val="531850FC"/>
    <w:rsid w:val="53185AB9"/>
    <w:rsid w:val="53195ED6"/>
    <w:rsid w:val="531D4A98"/>
    <w:rsid w:val="531D507D"/>
    <w:rsid w:val="531E85B6"/>
    <w:rsid w:val="531FF7CE"/>
    <w:rsid w:val="532201E5"/>
    <w:rsid w:val="5322DD97"/>
    <w:rsid w:val="5324C1AA"/>
    <w:rsid w:val="5325FDC5"/>
    <w:rsid w:val="53279D8F"/>
    <w:rsid w:val="532843B8"/>
    <w:rsid w:val="532D07B2"/>
    <w:rsid w:val="532D2ECC"/>
    <w:rsid w:val="532FFFA2"/>
    <w:rsid w:val="533181E9"/>
    <w:rsid w:val="53318DEC"/>
    <w:rsid w:val="53327A55"/>
    <w:rsid w:val="53346D9A"/>
    <w:rsid w:val="533585DA"/>
    <w:rsid w:val="5335AA7A"/>
    <w:rsid w:val="53370959"/>
    <w:rsid w:val="533711FB"/>
    <w:rsid w:val="533825E3"/>
    <w:rsid w:val="533BE4C7"/>
    <w:rsid w:val="533C4880"/>
    <w:rsid w:val="533C902F"/>
    <w:rsid w:val="5340C94E"/>
    <w:rsid w:val="5343C45D"/>
    <w:rsid w:val="53466562"/>
    <w:rsid w:val="534D50EC"/>
    <w:rsid w:val="534E87BD"/>
    <w:rsid w:val="534F6662"/>
    <w:rsid w:val="5350C6C6"/>
    <w:rsid w:val="53512D9E"/>
    <w:rsid w:val="535144EB"/>
    <w:rsid w:val="535292E1"/>
    <w:rsid w:val="5352C9FE"/>
    <w:rsid w:val="5353BE2B"/>
    <w:rsid w:val="5353C190"/>
    <w:rsid w:val="53578924"/>
    <w:rsid w:val="5357C3A4"/>
    <w:rsid w:val="5357EC5F"/>
    <w:rsid w:val="535A0456"/>
    <w:rsid w:val="535A6D3B"/>
    <w:rsid w:val="535BC894"/>
    <w:rsid w:val="535BED1B"/>
    <w:rsid w:val="535F43BD"/>
    <w:rsid w:val="535F5FFC"/>
    <w:rsid w:val="535F6957"/>
    <w:rsid w:val="53606394"/>
    <w:rsid w:val="53628ABA"/>
    <w:rsid w:val="536456BC"/>
    <w:rsid w:val="5366DE28"/>
    <w:rsid w:val="536A471D"/>
    <w:rsid w:val="536B2071"/>
    <w:rsid w:val="536D042E"/>
    <w:rsid w:val="536D3F09"/>
    <w:rsid w:val="536E25DA"/>
    <w:rsid w:val="5371F280"/>
    <w:rsid w:val="5372A07F"/>
    <w:rsid w:val="5378959E"/>
    <w:rsid w:val="5378ED7B"/>
    <w:rsid w:val="537D2644"/>
    <w:rsid w:val="537F0653"/>
    <w:rsid w:val="5382751A"/>
    <w:rsid w:val="538650E0"/>
    <w:rsid w:val="53874B37"/>
    <w:rsid w:val="5387E908"/>
    <w:rsid w:val="53893E4C"/>
    <w:rsid w:val="538C3E93"/>
    <w:rsid w:val="538CA8BD"/>
    <w:rsid w:val="538EC0C9"/>
    <w:rsid w:val="53901E9E"/>
    <w:rsid w:val="5394A6E1"/>
    <w:rsid w:val="5396EDBE"/>
    <w:rsid w:val="5397C70E"/>
    <w:rsid w:val="539C4CE6"/>
    <w:rsid w:val="539DB9FD"/>
    <w:rsid w:val="53A02CB7"/>
    <w:rsid w:val="53A19721"/>
    <w:rsid w:val="53A2665E"/>
    <w:rsid w:val="53A3342C"/>
    <w:rsid w:val="53A70B38"/>
    <w:rsid w:val="53A745D2"/>
    <w:rsid w:val="53A746B0"/>
    <w:rsid w:val="53AA0610"/>
    <w:rsid w:val="53AB0FCB"/>
    <w:rsid w:val="53AD77AE"/>
    <w:rsid w:val="53B2C3B0"/>
    <w:rsid w:val="53B4F4CE"/>
    <w:rsid w:val="53B522D0"/>
    <w:rsid w:val="53BB9CE9"/>
    <w:rsid w:val="53BBAB5F"/>
    <w:rsid w:val="53BCC683"/>
    <w:rsid w:val="53BE3674"/>
    <w:rsid w:val="53BFA8EB"/>
    <w:rsid w:val="53C1C298"/>
    <w:rsid w:val="53C4DCFC"/>
    <w:rsid w:val="53C805D2"/>
    <w:rsid w:val="53CB6AC1"/>
    <w:rsid w:val="53CE9EEF"/>
    <w:rsid w:val="53D12A0E"/>
    <w:rsid w:val="53D2075C"/>
    <w:rsid w:val="53D61E18"/>
    <w:rsid w:val="53D6E2CB"/>
    <w:rsid w:val="53D757E4"/>
    <w:rsid w:val="53D9382E"/>
    <w:rsid w:val="53DA4CF2"/>
    <w:rsid w:val="53DA7270"/>
    <w:rsid w:val="53DACCD9"/>
    <w:rsid w:val="53DB03F9"/>
    <w:rsid w:val="53DD1932"/>
    <w:rsid w:val="53DD9415"/>
    <w:rsid w:val="53E19741"/>
    <w:rsid w:val="53E4162D"/>
    <w:rsid w:val="53E5BCDC"/>
    <w:rsid w:val="53E870FA"/>
    <w:rsid w:val="53EA7C5F"/>
    <w:rsid w:val="53EAA079"/>
    <w:rsid w:val="53EDADCF"/>
    <w:rsid w:val="53EE0989"/>
    <w:rsid w:val="53F12E1A"/>
    <w:rsid w:val="53F64546"/>
    <w:rsid w:val="53FAA41F"/>
    <w:rsid w:val="53FD75FC"/>
    <w:rsid w:val="53FEF1C8"/>
    <w:rsid w:val="540013FE"/>
    <w:rsid w:val="540AF5CA"/>
    <w:rsid w:val="540B7C7A"/>
    <w:rsid w:val="540B8172"/>
    <w:rsid w:val="540D2CF1"/>
    <w:rsid w:val="540D7AF2"/>
    <w:rsid w:val="540F72C1"/>
    <w:rsid w:val="540FD728"/>
    <w:rsid w:val="541154CF"/>
    <w:rsid w:val="54147E0D"/>
    <w:rsid w:val="54154414"/>
    <w:rsid w:val="54158D37"/>
    <w:rsid w:val="54158FFC"/>
    <w:rsid w:val="5415F6CE"/>
    <w:rsid w:val="5417B3E2"/>
    <w:rsid w:val="54180A73"/>
    <w:rsid w:val="54190F7F"/>
    <w:rsid w:val="541F2F57"/>
    <w:rsid w:val="54204667"/>
    <w:rsid w:val="54204C8C"/>
    <w:rsid w:val="5422057A"/>
    <w:rsid w:val="54232869"/>
    <w:rsid w:val="5423A2D6"/>
    <w:rsid w:val="542440F2"/>
    <w:rsid w:val="5424CC61"/>
    <w:rsid w:val="54282C22"/>
    <w:rsid w:val="5429C28D"/>
    <w:rsid w:val="542C02A3"/>
    <w:rsid w:val="542D5949"/>
    <w:rsid w:val="5433A7AD"/>
    <w:rsid w:val="5433E591"/>
    <w:rsid w:val="54340019"/>
    <w:rsid w:val="5436ABDA"/>
    <w:rsid w:val="54371C35"/>
    <w:rsid w:val="543ADA2E"/>
    <w:rsid w:val="543B2FB8"/>
    <w:rsid w:val="543D2A26"/>
    <w:rsid w:val="543F2075"/>
    <w:rsid w:val="5440E989"/>
    <w:rsid w:val="544481D5"/>
    <w:rsid w:val="5448B80D"/>
    <w:rsid w:val="544D8531"/>
    <w:rsid w:val="544DD2A2"/>
    <w:rsid w:val="5450173B"/>
    <w:rsid w:val="5450C404"/>
    <w:rsid w:val="5450E7BB"/>
    <w:rsid w:val="54511743"/>
    <w:rsid w:val="54581DEA"/>
    <w:rsid w:val="5458CFB1"/>
    <w:rsid w:val="5459A810"/>
    <w:rsid w:val="545F6039"/>
    <w:rsid w:val="546C34B7"/>
    <w:rsid w:val="546D273C"/>
    <w:rsid w:val="546E0CA0"/>
    <w:rsid w:val="546E16B9"/>
    <w:rsid w:val="5472C0D9"/>
    <w:rsid w:val="54739281"/>
    <w:rsid w:val="5474855D"/>
    <w:rsid w:val="5477304B"/>
    <w:rsid w:val="5477A7B5"/>
    <w:rsid w:val="5478B8DB"/>
    <w:rsid w:val="547A0F4B"/>
    <w:rsid w:val="547D431D"/>
    <w:rsid w:val="5481D9C7"/>
    <w:rsid w:val="5482DD7F"/>
    <w:rsid w:val="5484E695"/>
    <w:rsid w:val="54864E32"/>
    <w:rsid w:val="5488E7CF"/>
    <w:rsid w:val="548A9699"/>
    <w:rsid w:val="548C9019"/>
    <w:rsid w:val="548D5C7F"/>
    <w:rsid w:val="548F8A12"/>
    <w:rsid w:val="54914A3D"/>
    <w:rsid w:val="54931758"/>
    <w:rsid w:val="5496C4C9"/>
    <w:rsid w:val="54975F53"/>
    <w:rsid w:val="549876BA"/>
    <w:rsid w:val="5498C1F4"/>
    <w:rsid w:val="549AC925"/>
    <w:rsid w:val="549B4919"/>
    <w:rsid w:val="549E309D"/>
    <w:rsid w:val="549EA1D0"/>
    <w:rsid w:val="54A00D35"/>
    <w:rsid w:val="54A125E8"/>
    <w:rsid w:val="54A58F01"/>
    <w:rsid w:val="54A66BEA"/>
    <w:rsid w:val="54AAE49E"/>
    <w:rsid w:val="54AB5D09"/>
    <w:rsid w:val="54AEF049"/>
    <w:rsid w:val="54AF3D08"/>
    <w:rsid w:val="54AF938B"/>
    <w:rsid w:val="54B520D8"/>
    <w:rsid w:val="54B5B910"/>
    <w:rsid w:val="54B7766B"/>
    <w:rsid w:val="54B7C132"/>
    <w:rsid w:val="54B7F359"/>
    <w:rsid w:val="54B9E9B7"/>
    <w:rsid w:val="54BAD775"/>
    <w:rsid w:val="54BFFAB9"/>
    <w:rsid w:val="54C261C1"/>
    <w:rsid w:val="54C41265"/>
    <w:rsid w:val="54C43220"/>
    <w:rsid w:val="54C50CA2"/>
    <w:rsid w:val="54C54C4C"/>
    <w:rsid w:val="54C8341F"/>
    <w:rsid w:val="54CC9F52"/>
    <w:rsid w:val="54CDD72A"/>
    <w:rsid w:val="54CFF2AA"/>
    <w:rsid w:val="54D1367B"/>
    <w:rsid w:val="54D6A8DA"/>
    <w:rsid w:val="54D74521"/>
    <w:rsid w:val="54D7A4D9"/>
    <w:rsid w:val="54D7ED55"/>
    <w:rsid w:val="54D7F594"/>
    <w:rsid w:val="54D93F48"/>
    <w:rsid w:val="54DE6962"/>
    <w:rsid w:val="54E1EC60"/>
    <w:rsid w:val="54E25F0C"/>
    <w:rsid w:val="54E42364"/>
    <w:rsid w:val="54E5DE29"/>
    <w:rsid w:val="54E68B53"/>
    <w:rsid w:val="54EADADE"/>
    <w:rsid w:val="54EADCA1"/>
    <w:rsid w:val="54EE82CF"/>
    <w:rsid w:val="54EF6A9F"/>
    <w:rsid w:val="54EF8D98"/>
    <w:rsid w:val="54F0F7BE"/>
    <w:rsid w:val="54F159BE"/>
    <w:rsid w:val="54F1B535"/>
    <w:rsid w:val="54F3690D"/>
    <w:rsid w:val="54F3D397"/>
    <w:rsid w:val="54F4064F"/>
    <w:rsid w:val="54F530C7"/>
    <w:rsid w:val="54F73373"/>
    <w:rsid w:val="54F80B08"/>
    <w:rsid w:val="54F85EF8"/>
    <w:rsid w:val="54F98BF1"/>
    <w:rsid w:val="54FC644E"/>
    <w:rsid w:val="54FC8CC7"/>
    <w:rsid w:val="54FE9DA0"/>
    <w:rsid w:val="54FF2918"/>
    <w:rsid w:val="54FF52EE"/>
    <w:rsid w:val="54FFF1B1"/>
    <w:rsid w:val="55025150"/>
    <w:rsid w:val="5503242A"/>
    <w:rsid w:val="5506460C"/>
    <w:rsid w:val="5506DDAF"/>
    <w:rsid w:val="550754C5"/>
    <w:rsid w:val="55092F3F"/>
    <w:rsid w:val="550B23E6"/>
    <w:rsid w:val="550FCE55"/>
    <w:rsid w:val="5510AA9C"/>
    <w:rsid w:val="5512440B"/>
    <w:rsid w:val="5514DDC4"/>
    <w:rsid w:val="551593D8"/>
    <w:rsid w:val="55181C30"/>
    <w:rsid w:val="551C46E3"/>
    <w:rsid w:val="551C49EA"/>
    <w:rsid w:val="551ED361"/>
    <w:rsid w:val="551FA8E4"/>
    <w:rsid w:val="55203CDE"/>
    <w:rsid w:val="55211B7D"/>
    <w:rsid w:val="55262924"/>
    <w:rsid w:val="552875FC"/>
    <w:rsid w:val="5529AD69"/>
    <w:rsid w:val="552DAFBF"/>
    <w:rsid w:val="552E9FB2"/>
    <w:rsid w:val="553308EE"/>
    <w:rsid w:val="5534628D"/>
    <w:rsid w:val="55350F09"/>
    <w:rsid w:val="5537C455"/>
    <w:rsid w:val="553AB9FF"/>
    <w:rsid w:val="553F2E4C"/>
    <w:rsid w:val="554065A8"/>
    <w:rsid w:val="55410178"/>
    <w:rsid w:val="55427471"/>
    <w:rsid w:val="5542FB23"/>
    <w:rsid w:val="554364CE"/>
    <w:rsid w:val="554D6E55"/>
    <w:rsid w:val="554F5DE6"/>
    <w:rsid w:val="5552278C"/>
    <w:rsid w:val="55530C9D"/>
    <w:rsid w:val="5553A1CB"/>
    <w:rsid w:val="5553A1F2"/>
    <w:rsid w:val="5555287D"/>
    <w:rsid w:val="5556A356"/>
    <w:rsid w:val="5558388D"/>
    <w:rsid w:val="5561B618"/>
    <w:rsid w:val="5563102B"/>
    <w:rsid w:val="5563273E"/>
    <w:rsid w:val="55633FAB"/>
    <w:rsid w:val="55671E84"/>
    <w:rsid w:val="55685AE2"/>
    <w:rsid w:val="556A2FB2"/>
    <w:rsid w:val="556CE4BA"/>
    <w:rsid w:val="556E12AB"/>
    <w:rsid w:val="556FDA4A"/>
    <w:rsid w:val="556FF55B"/>
    <w:rsid w:val="5571CE58"/>
    <w:rsid w:val="5572A32D"/>
    <w:rsid w:val="5572F777"/>
    <w:rsid w:val="5573D730"/>
    <w:rsid w:val="557414D7"/>
    <w:rsid w:val="55778AA0"/>
    <w:rsid w:val="5577D429"/>
    <w:rsid w:val="557882A7"/>
    <w:rsid w:val="557A509C"/>
    <w:rsid w:val="557CE31C"/>
    <w:rsid w:val="557E1726"/>
    <w:rsid w:val="5580BFC5"/>
    <w:rsid w:val="5580ED40"/>
    <w:rsid w:val="5582566D"/>
    <w:rsid w:val="55842742"/>
    <w:rsid w:val="55881D5C"/>
    <w:rsid w:val="5589C93A"/>
    <w:rsid w:val="558AC905"/>
    <w:rsid w:val="558ADF39"/>
    <w:rsid w:val="558EE8C7"/>
    <w:rsid w:val="558F68AB"/>
    <w:rsid w:val="5595EC33"/>
    <w:rsid w:val="559BE472"/>
    <w:rsid w:val="55A034F4"/>
    <w:rsid w:val="55A26891"/>
    <w:rsid w:val="55A3E8C6"/>
    <w:rsid w:val="55A5303C"/>
    <w:rsid w:val="55A5E50C"/>
    <w:rsid w:val="55A75515"/>
    <w:rsid w:val="55A85802"/>
    <w:rsid w:val="55A944EF"/>
    <w:rsid w:val="55AC0B50"/>
    <w:rsid w:val="55AF02CC"/>
    <w:rsid w:val="55AF45B9"/>
    <w:rsid w:val="55AFBEAD"/>
    <w:rsid w:val="55B28E0C"/>
    <w:rsid w:val="55B81EE0"/>
    <w:rsid w:val="55B9503A"/>
    <w:rsid w:val="55BB79B6"/>
    <w:rsid w:val="55BF7EC3"/>
    <w:rsid w:val="55C244BA"/>
    <w:rsid w:val="55C28B4D"/>
    <w:rsid w:val="55C767D1"/>
    <w:rsid w:val="55CFA6A2"/>
    <w:rsid w:val="55D52033"/>
    <w:rsid w:val="55DA48F9"/>
    <w:rsid w:val="55DAB966"/>
    <w:rsid w:val="55DF08E7"/>
    <w:rsid w:val="55DF143E"/>
    <w:rsid w:val="55E03C76"/>
    <w:rsid w:val="55E45B3B"/>
    <w:rsid w:val="55E62FC3"/>
    <w:rsid w:val="55E81CA7"/>
    <w:rsid w:val="55EDDBA1"/>
    <w:rsid w:val="55EE2B7E"/>
    <w:rsid w:val="55F102DD"/>
    <w:rsid w:val="55F216ED"/>
    <w:rsid w:val="55F23626"/>
    <w:rsid w:val="55F4059F"/>
    <w:rsid w:val="55F5EE49"/>
    <w:rsid w:val="55F8A142"/>
    <w:rsid w:val="55FA58BD"/>
    <w:rsid w:val="55FD9E20"/>
    <w:rsid w:val="55FEA5A5"/>
    <w:rsid w:val="55FEC1D7"/>
    <w:rsid w:val="55FED027"/>
    <w:rsid w:val="5601D7E5"/>
    <w:rsid w:val="56044810"/>
    <w:rsid w:val="56061CD0"/>
    <w:rsid w:val="560838BD"/>
    <w:rsid w:val="560FFCE7"/>
    <w:rsid w:val="5612537C"/>
    <w:rsid w:val="5612A1B6"/>
    <w:rsid w:val="5614107C"/>
    <w:rsid w:val="56144C46"/>
    <w:rsid w:val="56155C30"/>
    <w:rsid w:val="56181F4D"/>
    <w:rsid w:val="561A8981"/>
    <w:rsid w:val="56228E83"/>
    <w:rsid w:val="5623B073"/>
    <w:rsid w:val="5625BA13"/>
    <w:rsid w:val="5626E1FE"/>
    <w:rsid w:val="56278DC5"/>
    <w:rsid w:val="56288085"/>
    <w:rsid w:val="5629FEB0"/>
    <w:rsid w:val="562F0977"/>
    <w:rsid w:val="5631E754"/>
    <w:rsid w:val="56371BA2"/>
    <w:rsid w:val="563C13CD"/>
    <w:rsid w:val="563CA4EC"/>
    <w:rsid w:val="563D0E49"/>
    <w:rsid w:val="564024CD"/>
    <w:rsid w:val="5641BD5E"/>
    <w:rsid w:val="5642400A"/>
    <w:rsid w:val="56426699"/>
    <w:rsid w:val="5642EC4A"/>
    <w:rsid w:val="56431989"/>
    <w:rsid w:val="564531E2"/>
    <w:rsid w:val="56490CC7"/>
    <w:rsid w:val="56490DF5"/>
    <w:rsid w:val="56493B01"/>
    <w:rsid w:val="564BAC20"/>
    <w:rsid w:val="564ED9F6"/>
    <w:rsid w:val="5651056F"/>
    <w:rsid w:val="56540BCB"/>
    <w:rsid w:val="5654318B"/>
    <w:rsid w:val="5654F863"/>
    <w:rsid w:val="5656A5FC"/>
    <w:rsid w:val="5657060F"/>
    <w:rsid w:val="56581A6B"/>
    <w:rsid w:val="56583222"/>
    <w:rsid w:val="565E0911"/>
    <w:rsid w:val="565E2C02"/>
    <w:rsid w:val="565EF8DE"/>
    <w:rsid w:val="56612B36"/>
    <w:rsid w:val="566185FB"/>
    <w:rsid w:val="56655927"/>
    <w:rsid w:val="56695E46"/>
    <w:rsid w:val="56697724"/>
    <w:rsid w:val="566B0320"/>
    <w:rsid w:val="566B57B4"/>
    <w:rsid w:val="566CAD2C"/>
    <w:rsid w:val="566D6908"/>
    <w:rsid w:val="566F0678"/>
    <w:rsid w:val="566F1743"/>
    <w:rsid w:val="56731351"/>
    <w:rsid w:val="5676C9D2"/>
    <w:rsid w:val="5679070F"/>
    <w:rsid w:val="567A8179"/>
    <w:rsid w:val="567B12F2"/>
    <w:rsid w:val="56822584"/>
    <w:rsid w:val="56841E24"/>
    <w:rsid w:val="5684AE63"/>
    <w:rsid w:val="56855FE7"/>
    <w:rsid w:val="56865E6C"/>
    <w:rsid w:val="568D61EA"/>
    <w:rsid w:val="568FA113"/>
    <w:rsid w:val="568FEFE7"/>
    <w:rsid w:val="56927A19"/>
    <w:rsid w:val="56930EB5"/>
    <w:rsid w:val="56931C5F"/>
    <w:rsid w:val="569487CF"/>
    <w:rsid w:val="569541C8"/>
    <w:rsid w:val="56962D32"/>
    <w:rsid w:val="569A7FD3"/>
    <w:rsid w:val="569A9207"/>
    <w:rsid w:val="569C17F4"/>
    <w:rsid w:val="569C5C07"/>
    <w:rsid w:val="569EF5FA"/>
    <w:rsid w:val="569FBEDB"/>
    <w:rsid w:val="56A08A3A"/>
    <w:rsid w:val="56A18A4B"/>
    <w:rsid w:val="56A1EDAB"/>
    <w:rsid w:val="56A3B28C"/>
    <w:rsid w:val="56A6BF5A"/>
    <w:rsid w:val="56A7A61C"/>
    <w:rsid w:val="56A88636"/>
    <w:rsid w:val="56A9839C"/>
    <w:rsid w:val="56AA3E73"/>
    <w:rsid w:val="56AA9AD2"/>
    <w:rsid w:val="56AB1736"/>
    <w:rsid w:val="56AB271C"/>
    <w:rsid w:val="56AE469B"/>
    <w:rsid w:val="56AF5990"/>
    <w:rsid w:val="56B0AB8C"/>
    <w:rsid w:val="56B166BF"/>
    <w:rsid w:val="56B27B77"/>
    <w:rsid w:val="56B326BB"/>
    <w:rsid w:val="56B37146"/>
    <w:rsid w:val="56B57917"/>
    <w:rsid w:val="56B7DFCF"/>
    <w:rsid w:val="56B9097B"/>
    <w:rsid w:val="56BD0F1D"/>
    <w:rsid w:val="56BE143D"/>
    <w:rsid w:val="56BF512A"/>
    <w:rsid w:val="56C06DA1"/>
    <w:rsid w:val="56C4156D"/>
    <w:rsid w:val="56C567AF"/>
    <w:rsid w:val="56C6CD42"/>
    <w:rsid w:val="56C74519"/>
    <w:rsid w:val="56C7597A"/>
    <w:rsid w:val="56C9782E"/>
    <w:rsid w:val="56C98AE2"/>
    <w:rsid w:val="56CB607B"/>
    <w:rsid w:val="56CC8B0C"/>
    <w:rsid w:val="56CE7D23"/>
    <w:rsid w:val="56D57535"/>
    <w:rsid w:val="56D78B18"/>
    <w:rsid w:val="56D97D97"/>
    <w:rsid w:val="56D9F776"/>
    <w:rsid w:val="56DD0BAB"/>
    <w:rsid w:val="56DDD52E"/>
    <w:rsid w:val="56DE3725"/>
    <w:rsid w:val="56E213C2"/>
    <w:rsid w:val="56E2B95A"/>
    <w:rsid w:val="56E2C26B"/>
    <w:rsid w:val="56E95BBD"/>
    <w:rsid w:val="56EA699D"/>
    <w:rsid w:val="56EB87D9"/>
    <w:rsid w:val="56EF8A54"/>
    <w:rsid w:val="56F08E76"/>
    <w:rsid w:val="56F1983B"/>
    <w:rsid w:val="56F35C37"/>
    <w:rsid w:val="56FB5CC6"/>
    <w:rsid w:val="56FB9B23"/>
    <w:rsid w:val="5702F34E"/>
    <w:rsid w:val="57055DBA"/>
    <w:rsid w:val="570656B5"/>
    <w:rsid w:val="570A718D"/>
    <w:rsid w:val="570E01CE"/>
    <w:rsid w:val="570F1487"/>
    <w:rsid w:val="57115C86"/>
    <w:rsid w:val="571230DA"/>
    <w:rsid w:val="5716D5FB"/>
    <w:rsid w:val="5719F450"/>
    <w:rsid w:val="571A0E25"/>
    <w:rsid w:val="571DD168"/>
    <w:rsid w:val="5720265E"/>
    <w:rsid w:val="5720E06A"/>
    <w:rsid w:val="57222DEE"/>
    <w:rsid w:val="5722A5AA"/>
    <w:rsid w:val="572455E8"/>
    <w:rsid w:val="5726BC53"/>
    <w:rsid w:val="57275D79"/>
    <w:rsid w:val="5728176C"/>
    <w:rsid w:val="5728559A"/>
    <w:rsid w:val="57285A00"/>
    <w:rsid w:val="5728FAA6"/>
    <w:rsid w:val="572A9682"/>
    <w:rsid w:val="572CDFC9"/>
    <w:rsid w:val="57378851"/>
    <w:rsid w:val="573828F1"/>
    <w:rsid w:val="57386E9F"/>
    <w:rsid w:val="5738FF25"/>
    <w:rsid w:val="573AF0AE"/>
    <w:rsid w:val="573B2433"/>
    <w:rsid w:val="573C5D3E"/>
    <w:rsid w:val="573E0C0B"/>
    <w:rsid w:val="573EA373"/>
    <w:rsid w:val="57406903"/>
    <w:rsid w:val="5744964E"/>
    <w:rsid w:val="5744AE35"/>
    <w:rsid w:val="5749897C"/>
    <w:rsid w:val="574A76DB"/>
    <w:rsid w:val="574AA001"/>
    <w:rsid w:val="574AD51B"/>
    <w:rsid w:val="574E8986"/>
    <w:rsid w:val="574E94A6"/>
    <w:rsid w:val="574F1D20"/>
    <w:rsid w:val="57560883"/>
    <w:rsid w:val="5757F017"/>
    <w:rsid w:val="57590730"/>
    <w:rsid w:val="575B4F24"/>
    <w:rsid w:val="575D2D6F"/>
    <w:rsid w:val="575D6708"/>
    <w:rsid w:val="575E12AE"/>
    <w:rsid w:val="5761F135"/>
    <w:rsid w:val="57653650"/>
    <w:rsid w:val="57668D1F"/>
    <w:rsid w:val="5768CC3D"/>
    <w:rsid w:val="5769062A"/>
    <w:rsid w:val="576A4D3F"/>
    <w:rsid w:val="576BBC19"/>
    <w:rsid w:val="576D089A"/>
    <w:rsid w:val="5770DF5C"/>
    <w:rsid w:val="5773FBF8"/>
    <w:rsid w:val="57763701"/>
    <w:rsid w:val="5777762E"/>
    <w:rsid w:val="5778B027"/>
    <w:rsid w:val="577976B3"/>
    <w:rsid w:val="577A519A"/>
    <w:rsid w:val="577A7EEE"/>
    <w:rsid w:val="577B7578"/>
    <w:rsid w:val="57801DA1"/>
    <w:rsid w:val="5780E664"/>
    <w:rsid w:val="5785EC1B"/>
    <w:rsid w:val="578AA69A"/>
    <w:rsid w:val="578C3271"/>
    <w:rsid w:val="578D1D46"/>
    <w:rsid w:val="5790522B"/>
    <w:rsid w:val="5792920F"/>
    <w:rsid w:val="5794125E"/>
    <w:rsid w:val="5799B145"/>
    <w:rsid w:val="5799D399"/>
    <w:rsid w:val="579AF989"/>
    <w:rsid w:val="579AFE26"/>
    <w:rsid w:val="579B5B42"/>
    <w:rsid w:val="579C35BB"/>
    <w:rsid w:val="579C4F0F"/>
    <w:rsid w:val="579C79D4"/>
    <w:rsid w:val="57A0334A"/>
    <w:rsid w:val="57A0F070"/>
    <w:rsid w:val="57A2BB1C"/>
    <w:rsid w:val="57A37C50"/>
    <w:rsid w:val="57A6F63D"/>
    <w:rsid w:val="57A8C9A8"/>
    <w:rsid w:val="57ABD760"/>
    <w:rsid w:val="57AC7EE9"/>
    <w:rsid w:val="57B02870"/>
    <w:rsid w:val="57B1CFD4"/>
    <w:rsid w:val="57B6366B"/>
    <w:rsid w:val="57B671AF"/>
    <w:rsid w:val="57B7AC6D"/>
    <w:rsid w:val="57B91882"/>
    <w:rsid w:val="57B95DFE"/>
    <w:rsid w:val="57BAA8A3"/>
    <w:rsid w:val="57BAB036"/>
    <w:rsid w:val="57BB9CE1"/>
    <w:rsid w:val="57BE942A"/>
    <w:rsid w:val="57BEA019"/>
    <w:rsid w:val="57BF2FC2"/>
    <w:rsid w:val="57BF323E"/>
    <w:rsid w:val="57C0A4B7"/>
    <w:rsid w:val="57C1928C"/>
    <w:rsid w:val="57C403CB"/>
    <w:rsid w:val="57C40819"/>
    <w:rsid w:val="57C4688A"/>
    <w:rsid w:val="57C52A3E"/>
    <w:rsid w:val="57C6E7AE"/>
    <w:rsid w:val="57CAFE90"/>
    <w:rsid w:val="57CBBBF3"/>
    <w:rsid w:val="57CFFB99"/>
    <w:rsid w:val="57D62494"/>
    <w:rsid w:val="57D76260"/>
    <w:rsid w:val="57D8E4CD"/>
    <w:rsid w:val="57D902E0"/>
    <w:rsid w:val="57D91B1D"/>
    <w:rsid w:val="57D96C16"/>
    <w:rsid w:val="57DCB6C3"/>
    <w:rsid w:val="57E01C3B"/>
    <w:rsid w:val="57E1FD92"/>
    <w:rsid w:val="57E391BE"/>
    <w:rsid w:val="57E62B92"/>
    <w:rsid w:val="57E693CE"/>
    <w:rsid w:val="57E7F9DB"/>
    <w:rsid w:val="57EA1D30"/>
    <w:rsid w:val="57EAA991"/>
    <w:rsid w:val="57EDDAD6"/>
    <w:rsid w:val="57EEDE56"/>
    <w:rsid w:val="57F13127"/>
    <w:rsid w:val="57F5E7B5"/>
    <w:rsid w:val="57F67547"/>
    <w:rsid w:val="57F9D539"/>
    <w:rsid w:val="57FB8AD5"/>
    <w:rsid w:val="5808FBFE"/>
    <w:rsid w:val="58098292"/>
    <w:rsid w:val="581013FE"/>
    <w:rsid w:val="58114ECA"/>
    <w:rsid w:val="58142A21"/>
    <w:rsid w:val="5815E5B0"/>
    <w:rsid w:val="5818C24C"/>
    <w:rsid w:val="5819EC7E"/>
    <w:rsid w:val="581CC9AA"/>
    <w:rsid w:val="582187C5"/>
    <w:rsid w:val="5821EE1A"/>
    <w:rsid w:val="5823F717"/>
    <w:rsid w:val="58273809"/>
    <w:rsid w:val="5829EE08"/>
    <w:rsid w:val="582A99F6"/>
    <w:rsid w:val="5830E670"/>
    <w:rsid w:val="5832929E"/>
    <w:rsid w:val="5833BB1C"/>
    <w:rsid w:val="583454F0"/>
    <w:rsid w:val="5839A0B5"/>
    <w:rsid w:val="583B7206"/>
    <w:rsid w:val="583C0DAF"/>
    <w:rsid w:val="583D8EED"/>
    <w:rsid w:val="5843AE06"/>
    <w:rsid w:val="584691CE"/>
    <w:rsid w:val="58489210"/>
    <w:rsid w:val="58495C79"/>
    <w:rsid w:val="584A3D27"/>
    <w:rsid w:val="584AD2C5"/>
    <w:rsid w:val="584C6E16"/>
    <w:rsid w:val="5851539A"/>
    <w:rsid w:val="58524986"/>
    <w:rsid w:val="585311D0"/>
    <w:rsid w:val="5854DC85"/>
    <w:rsid w:val="58565911"/>
    <w:rsid w:val="5856B421"/>
    <w:rsid w:val="5857789A"/>
    <w:rsid w:val="58614394"/>
    <w:rsid w:val="586236D0"/>
    <w:rsid w:val="58640194"/>
    <w:rsid w:val="5866FBF8"/>
    <w:rsid w:val="5867608B"/>
    <w:rsid w:val="58691D14"/>
    <w:rsid w:val="586A0537"/>
    <w:rsid w:val="586B6850"/>
    <w:rsid w:val="586CA210"/>
    <w:rsid w:val="586E9E6F"/>
    <w:rsid w:val="58717496"/>
    <w:rsid w:val="58728A3E"/>
    <w:rsid w:val="58731818"/>
    <w:rsid w:val="5874A618"/>
    <w:rsid w:val="587648D2"/>
    <w:rsid w:val="58795E07"/>
    <w:rsid w:val="587AACB7"/>
    <w:rsid w:val="587BBD0D"/>
    <w:rsid w:val="587BE03C"/>
    <w:rsid w:val="587C2A37"/>
    <w:rsid w:val="587D8090"/>
    <w:rsid w:val="587E3F0F"/>
    <w:rsid w:val="587E7C90"/>
    <w:rsid w:val="5880C885"/>
    <w:rsid w:val="5881EBF1"/>
    <w:rsid w:val="5881FEC7"/>
    <w:rsid w:val="588263A4"/>
    <w:rsid w:val="5885DCD4"/>
    <w:rsid w:val="5886B03E"/>
    <w:rsid w:val="5887785B"/>
    <w:rsid w:val="588872EF"/>
    <w:rsid w:val="588D6F17"/>
    <w:rsid w:val="588E30E1"/>
    <w:rsid w:val="588E3A86"/>
    <w:rsid w:val="58906C91"/>
    <w:rsid w:val="58958372"/>
    <w:rsid w:val="58999E2D"/>
    <w:rsid w:val="5899EACD"/>
    <w:rsid w:val="589ED89B"/>
    <w:rsid w:val="58A033D4"/>
    <w:rsid w:val="58A040C4"/>
    <w:rsid w:val="58A8833B"/>
    <w:rsid w:val="58A89C17"/>
    <w:rsid w:val="58A91C0E"/>
    <w:rsid w:val="58A98AF3"/>
    <w:rsid w:val="58A9DA97"/>
    <w:rsid w:val="58AAB86C"/>
    <w:rsid w:val="58AB11A9"/>
    <w:rsid w:val="58AB3012"/>
    <w:rsid w:val="58AC3FC6"/>
    <w:rsid w:val="58ACA5EE"/>
    <w:rsid w:val="58B0CBD5"/>
    <w:rsid w:val="58B15898"/>
    <w:rsid w:val="58B28B97"/>
    <w:rsid w:val="58B29764"/>
    <w:rsid w:val="58B2AD73"/>
    <w:rsid w:val="58B417CA"/>
    <w:rsid w:val="58B596B4"/>
    <w:rsid w:val="58BCA46B"/>
    <w:rsid w:val="58BF27F6"/>
    <w:rsid w:val="58BF4938"/>
    <w:rsid w:val="58C2B918"/>
    <w:rsid w:val="58C38936"/>
    <w:rsid w:val="58C96AAE"/>
    <w:rsid w:val="58CB81E9"/>
    <w:rsid w:val="58CDB7EA"/>
    <w:rsid w:val="58D007A8"/>
    <w:rsid w:val="58D10C46"/>
    <w:rsid w:val="58D6D9A6"/>
    <w:rsid w:val="58D9373A"/>
    <w:rsid w:val="58D9AC54"/>
    <w:rsid w:val="58DA169A"/>
    <w:rsid w:val="58DB01CA"/>
    <w:rsid w:val="58DB6DA8"/>
    <w:rsid w:val="58DCE57E"/>
    <w:rsid w:val="58E01F82"/>
    <w:rsid w:val="58E2F813"/>
    <w:rsid w:val="58E36797"/>
    <w:rsid w:val="58E70162"/>
    <w:rsid w:val="58EF8DB3"/>
    <w:rsid w:val="58F0F6F7"/>
    <w:rsid w:val="58F4E18C"/>
    <w:rsid w:val="59016EA4"/>
    <w:rsid w:val="5901806B"/>
    <w:rsid w:val="590A51FC"/>
    <w:rsid w:val="590C8CE5"/>
    <w:rsid w:val="590DBEA7"/>
    <w:rsid w:val="590FDA93"/>
    <w:rsid w:val="59110071"/>
    <w:rsid w:val="5911C5BA"/>
    <w:rsid w:val="59121C80"/>
    <w:rsid w:val="59196BF4"/>
    <w:rsid w:val="5919B4B7"/>
    <w:rsid w:val="591A4101"/>
    <w:rsid w:val="591CC6EC"/>
    <w:rsid w:val="591D0B25"/>
    <w:rsid w:val="5924E818"/>
    <w:rsid w:val="5926F62F"/>
    <w:rsid w:val="59273DBA"/>
    <w:rsid w:val="5927D2BC"/>
    <w:rsid w:val="59280585"/>
    <w:rsid w:val="592926BB"/>
    <w:rsid w:val="592AFA5F"/>
    <w:rsid w:val="59362D28"/>
    <w:rsid w:val="593743DF"/>
    <w:rsid w:val="593798F7"/>
    <w:rsid w:val="5938EFEE"/>
    <w:rsid w:val="593A9B60"/>
    <w:rsid w:val="593C8628"/>
    <w:rsid w:val="593CEAF5"/>
    <w:rsid w:val="593F5E09"/>
    <w:rsid w:val="593F6941"/>
    <w:rsid w:val="5940F0B3"/>
    <w:rsid w:val="5941B137"/>
    <w:rsid w:val="5943D6B6"/>
    <w:rsid w:val="59464AE6"/>
    <w:rsid w:val="5947D4D2"/>
    <w:rsid w:val="594B7CF3"/>
    <w:rsid w:val="594DF685"/>
    <w:rsid w:val="594E7533"/>
    <w:rsid w:val="5953C674"/>
    <w:rsid w:val="59543290"/>
    <w:rsid w:val="59553AB8"/>
    <w:rsid w:val="5955714F"/>
    <w:rsid w:val="5956207F"/>
    <w:rsid w:val="5956B450"/>
    <w:rsid w:val="595E7512"/>
    <w:rsid w:val="5961C307"/>
    <w:rsid w:val="59629AD2"/>
    <w:rsid w:val="5963118F"/>
    <w:rsid w:val="5965E5AC"/>
    <w:rsid w:val="5967ED8F"/>
    <w:rsid w:val="596B6F2D"/>
    <w:rsid w:val="596BE941"/>
    <w:rsid w:val="596F6ACD"/>
    <w:rsid w:val="59711FF9"/>
    <w:rsid w:val="5971366A"/>
    <w:rsid w:val="5971D13D"/>
    <w:rsid w:val="59740A3F"/>
    <w:rsid w:val="5974FD77"/>
    <w:rsid w:val="59770447"/>
    <w:rsid w:val="5979C257"/>
    <w:rsid w:val="597A4707"/>
    <w:rsid w:val="597A9564"/>
    <w:rsid w:val="597ACF3E"/>
    <w:rsid w:val="597F19CA"/>
    <w:rsid w:val="597FD219"/>
    <w:rsid w:val="59830570"/>
    <w:rsid w:val="5983D6EC"/>
    <w:rsid w:val="5983E4E9"/>
    <w:rsid w:val="5989425C"/>
    <w:rsid w:val="598F9184"/>
    <w:rsid w:val="5994C02D"/>
    <w:rsid w:val="59964739"/>
    <w:rsid w:val="5996A262"/>
    <w:rsid w:val="5997EE44"/>
    <w:rsid w:val="599AD356"/>
    <w:rsid w:val="599E0C96"/>
    <w:rsid w:val="599FF3D2"/>
    <w:rsid w:val="59A8FFB7"/>
    <w:rsid w:val="59AB0D6B"/>
    <w:rsid w:val="59AF024A"/>
    <w:rsid w:val="59B00B87"/>
    <w:rsid w:val="59B157E0"/>
    <w:rsid w:val="59B1759D"/>
    <w:rsid w:val="59B186DE"/>
    <w:rsid w:val="59B25945"/>
    <w:rsid w:val="59B2636D"/>
    <w:rsid w:val="59B7BAF1"/>
    <w:rsid w:val="59B9E16D"/>
    <w:rsid w:val="59BCF2C6"/>
    <w:rsid w:val="59BCF709"/>
    <w:rsid w:val="59C8017F"/>
    <w:rsid w:val="59C90D74"/>
    <w:rsid w:val="59CA075B"/>
    <w:rsid w:val="59CFA2FC"/>
    <w:rsid w:val="59D62368"/>
    <w:rsid w:val="59DBBD7D"/>
    <w:rsid w:val="59DDB16D"/>
    <w:rsid w:val="59DE1E3D"/>
    <w:rsid w:val="59E178D3"/>
    <w:rsid w:val="59E316C3"/>
    <w:rsid w:val="59E3D69B"/>
    <w:rsid w:val="59E4133A"/>
    <w:rsid w:val="59E71D04"/>
    <w:rsid w:val="59E91B29"/>
    <w:rsid w:val="59EA7024"/>
    <w:rsid w:val="59EC6840"/>
    <w:rsid w:val="59EE5443"/>
    <w:rsid w:val="59EF2AD6"/>
    <w:rsid w:val="59F056A7"/>
    <w:rsid w:val="59F2FE3A"/>
    <w:rsid w:val="59F39378"/>
    <w:rsid w:val="59FA3880"/>
    <w:rsid w:val="5A02E455"/>
    <w:rsid w:val="5A04D0E5"/>
    <w:rsid w:val="5A077DE1"/>
    <w:rsid w:val="5A09DC5D"/>
    <w:rsid w:val="5A0C5259"/>
    <w:rsid w:val="5A0F740B"/>
    <w:rsid w:val="5A1006AC"/>
    <w:rsid w:val="5A12273D"/>
    <w:rsid w:val="5A16EDED"/>
    <w:rsid w:val="5A1955D1"/>
    <w:rsid w:val="5A1AD432"/>
    <w:rsid w:val="5A1AD5E9"/>
    <w:rsid w:val="5A1B2E27"/>
    <w:rsid w:val="5A1B6EA4"/>
    <w:rsid w:val="5A1B84C2"/>
    <w:rsid w:val="5A1C9C75"/>
    <w:rsid w:val="5A1DAE1E"/>
    <w:rsid w:val="5A1DC22F"/>
    <w:rsid w:val="5A21E0CE"/>
    <w:rsid w:val="5A248F50"/>
    <w:rsid w:val="5A27AC7A"/>
    <w:rsid w:val="5A2A7EC7"/>
    <w:rsid w:val="5A319B8B"/>
    <w:rsid w:val="5A32DEBE"/>
    <w:rsid w:val="5A332370"/>
    <w:rsid w:val="5A33AB66"/>
    <w:rsid w:val="5A39D7B4"/>
    <w:rsid w:val="5A3B4649"/>
    <w:rsid w:val="5A3DB74D"/>
    <w:rsid w:val="5A4408A4"/>
    <w:rsid w:val="5A45B595"/>
    <w:rsid w:val="5A462A92"/>
    <w:rsid w:val="5A46AD39"/>
    <w:rsid w:val="5A4DA440"/>
    <w:rsid w:val="5A4F43C0"/>
    <w:rsid w:val="5A513A13"/>
    <w:rsid w:val="5A5734EB"/>
    <w:rsid w:val="5A57D0E1"/>
    <w:rsid w:val="5A587F8D"/>
    <w:rsid w:val="5A58FCE4"/>
    <w:rsid w:val="5A592D2C"/>
    <w:rsid w:val="5A5AD5DF"/>
    <w:rsid w:val="5A5B549F"/>
    <w:rsid w:val="5A5EB4AD"/>
    <w:rsid w:val="5A618A44"/>
    <w:rsid w:val="5A624891"/>
    <w:rsid w:val="5A67B54B"/>
    <w:rsid w:val="5A67B62C"/>
    <w:rsid w:val="5A68D0BE"/>
    <w:rsid w:val="5A6905B5"/>
    <w:rsid w:val="5A69C40D"/>
    <w:rsid w:val="5A6AE7D9"/>
    <w:rsid w:val="5A6C71DE"/>
    <w:rsid w:val="5A6D0F10"/>
    <w:rsid w:val="5A6EDCDA"/>
    <w:rsid w:val="5A74B950"/>
    <w:rsid w:val="5A750C4C"/>
    <w:rsid w:val="5A7604CC"/>
    <w:rsid w:val="5A7921FE"/>
    <w:rsid w:val="5A7A133B"/>
    <w:rsid w:val="5A7E5443"/>
    <w:rsid w:val="5A8197CD"/>
    <w:rsid w:val="5A819DAD"/>
    <w:rsid w:val="5A82C987"/>
    <w:rsid w:val="5A82EB27"/>
    <w:rsid w:val="5A85B942"/>
    <w:rsid w:val="5A8752C7"/>
    <w:rsid w:val="5A888791"/>
    <w:rsid w:val="5A8A0370"/>
    <w:rsid w:val="5A8BFD06"/>
    <w:rsid w:val="5A8C4F3A"/>
    <w:rsid w:val="5A918820"/>
    <w:rsid w:val="5A9270D5"/>
    <w:rsid w:val="5A929C2A"/>
    <w:rsid w:val="5A951D0A"/>
    <w:rsid w:val="5A955EA2"/>
    <w:rsid w:val="5A957522"/>
    <w:rsid w:val="5A9AFB65"/>
    <w:rsid w:val="5A9B714C"/>
    <w:rsid w:val="5A9DC3E2"/>
    <w:rsid w:val="5A9E7F37"/>
    <w:rsid w:val="5AA361F7"/>
    <w:rsid w:val="5AA80673"/>
    <w:rsid w:val="5AAB9D33"/>
    <w:rsid w:val="5AABA7ED"/>
    <w:rsid w:val="5AABF7B2"/>
    <w:rsid w:val="5AAD315B"/>
    <w:rsid w:val="5AAD4D9D"/>
    <w:rsid w:val="5AAEADEA"/>
    <w:rsid w:val="5AB18180"/>
    <w:rsid w:val="5AB3A78F"/>
    <w:rsid w:val="5AB42C52"/>
    <w:rsid w:val="5AB94E5B"/>
    <w:rsid w:val="5ABC7246"/>
    <w:rsid w:val="5ABF00ED"/>
    <w:rsid w:val="5AC17032"/>
    <w:rsid w:val="5AC31F35"/>
    <w:rsid w:val="5AC75EC1"/>
    <w:rsid w:val="5AC8EC1D"/>
    <w:rsid w:val="5AC963E9"/>
    <w:rsid w:val="5ACA7B73"/>
    <w:rsid w:val="5ACB39B3"/>
    <w:rsid w:val="5ACBBD19"/>
    <w:rsid w:val="5ACC55E8"/>
    <w:rsid w:val="5ACDE162"/>
    <w:rsid w:val="5ACE0E76"/>
    <w:rsid w:val="5AD141AC"/>
    <w:rsid w:val="5AD26177"/>
    <w:rsid w:val="5AD35532"/>
    <w:rsid w:val="5AD44B7B"/>
    <w:rsid w:val="5AD51D97"/>
    <w:rsid w:val="5AD6A502"/>
    <w:rsid w:val="5AD6ECC3"/>
    <w:rsid w:val="5AD742EE"/>
    <w:rsid w:val="5ADB34F8"/>
    <w:rsid w:val="5ADBB9C5"/>
    <w:rsid w:val="5ADBBEC3"/>
    <w:rsid w:val="5ADD3259"/>
    <w:rsid w:val="5ADDAF66"/>
    <w:rsid w:val="5AE14EBD"/>
    <w:rsid w:val="5AE2EC7B"/>
    <w:rsid w:val="5AEA3137"/>
    <w:rsid w:val="5AEB24E0"/>
    <w:rsid w:val="5AEB988A"/>
    <w:rsid w:val="5AEC4AD9"/>
    <w:rsid w:val="5AECAD7F"/>
    <w:rsid w:val="5AECB266"/>
    <w:rsid w:val="5AED61F9"/>
    <w:rsid w:val="5AF0B65D"/>
    <w:rsid w:val="5AF76C99"/>
    <w:rsid w:val="5AF7AC45"/>
    <w:rsid w:val="5AF807F1"/>
    <w:rsid w:val="5AF84212"/>
    <w:rsid w:val="5AFAE7A4"/>
    <w:rsid w:val="5B0153F6"/>
    <w:rsid w:val="5B015824"/>
    <w:rsid w:val="5B047C64"/>
    <w:rsid w:val="5B04B23C"/>
    <w:rsid w:val="5B05DAD5"/>
    <w:rsid w:val="5B0AEFED"/>
    <w:rsid w:val="5B0B2A06"/>
    <w:rsid w:val="5B0FB470"/>
    <w:rsid w:val="5B12204E"/>
    <w:rsid w:val="5B1393A7"/>
    <w:rsid w:val="5B15921C"/>
    <w:rsid w:val="5B16CD89"/>
    <w:rsid w:val="5B19714F"/>
    <w:rsid w:val="5B1AFA90"/>
    <w:rsid w:val="5B1BE5CC"/>
    <w:rsid w:val="5B1C6085"/>
    <w:rsid w:val="5B1DEF02"/>
    <w:rsid w:val="5B1E6DC5"/>
    <w:rsid w:val="5B1ECCA5"/>
    <w:rsid w:val="5B200229"/>
    <w:rsid w:val="5B209877"/>
    <w:rsid w:val="5B210D1C"/>
    <w:rsid w:val="5B224BC2"/>
    <w:rsid w:val="5B26A136"/>
    <w:rsid w:val="5B274F77"/>
    <w:rsid w:val="5B281AA0"/>
    <w:rsid w:val="5B2B5D24"/>
    <w:rsid w:val="5B2CAC61"/>
    <w:rsid w:val="5B2E0D9C"/>
    <w:rsid w:val="5B2E2E6E"/>
    <w:rsid w:val="5B2FE5F1"/>
    <w:rsid w:val="5B300C9F"/>
    <w:rsid w:val="5B327321"/>
    <w:rsid w:val="5B3486D2"/>
    <w:rsid w:val="5B34881F"/>
    <w:rsid w:val="5B359F48"/>
    <w:rsid w:val="5B35F50F"/>
    <w:rsid w:val="5B370ECC"/>
    <w:rsid w:val="5B39FA5B"/>
    <w:rsid w:val="5B3DCF5C"/>
    <w:rsid w:val="5B425BCD"/>
    <w:rsid w:val="5B43515C"/>
    <w:rsid w:val="5B44CDB7"/>
    <w:rsid w:val="5B463C42"/>
    <w:rsid w:val="5B4F2749"/>
    <w:rsid w:val="5B51C310"/>
    <w:rsid w:val="5B52FC75"/>
    <w:rsid w:val="5B53BBF4"/>
    <w:rsid w:val="5B5480D3"/>
    <w:rsid w:val="5B560172"/>
    <w:rsid w:val="5B5775A0"/>
    <w:rsid w:val="5B5BAF82"/>
    <w:rsid w:val="5B5C4022"/>
    <w:rsid w:val="5B5C4E96"/>
    <w:rsid w:val="5B5DE5F2"/>
    <w:rsid w:val="5B5E4539"/>
    <w:rsid w:val="5B626545"/>
    <w:rsid w:val="5B632707"/>
    <w:rsid w:val="5B65C775"/>
    <w:rsid w:val="5B65E24D"/>
    <w:rsid w:val="5B67ABBA"/>
    <w:rsid w:val="5B6B475F"/>
    <w:rsid w:val="5B6D1AA2"/>
    <w:rsid w:val="5B70427F"/>
    <w:rsid w:val="5B70532C"/>
    <w:rsid w:val="5B728045"/>
    <w:rsid w:val="5B7740BB"/>
    <w:rsid w:val="5B795BC3"/>
    <w:rsid w:val="5B7B7711"/>
    <w:rsid w:val="5B7D6B79"/>
    <w:rsid w:val="5B7DE362"/>
    <w:rsid w:val="5B7DFC00"/>
    <w:rsid w:val="5B80844E"/>
    <w:rsid w:val="5B81DBAE"/>
    <w:rsid w:val="5B83CA3D"/>
    <w:rsid w:val="5B85B4AB"/>
    <w:rsid w:val="5B866F29"/>
    <w:rsid w:val="5B87342B"/>
    <w:rsid w:val="5B89DA49"/>
    <w:rsid w:val="5B8B51DE"/>
    <w:rsid w:val="5B8E7BCD"/>
    <w:rsid w:val="5B8EA8EB"/>
    <w:rsid w:val="5B8FA2C5"/>
    <w:rsid w:val="5B90D68E"/>
    <w:rsid w:val="5B922AE3"/>
    <w:rsid w:val="5B93CC48"/>
    <w:rsid w:val="5B9A9227"/>
    <w:rsid w:val="5B9BBF10"/>
    <w:rsid w:val="5B9D6C21"/>
    <w:rsid w:val="5BA09D4A"/>
    <w:rsid w:val="5BA28E2B"/>
    <w:rsid w:val="5BA3CDD2"/>
    <w:rsid w:val="5BA5A9F5"/>
    <w:rsid w:val="5BA73A45"/>
    <w:rsid w:val="5BA832CD"/>
    <w:rsid w:val="5BA9B1BE"/>
    <w:rsid w:val="5BAA1387"/>
    <w:rsid w:val="5BAC81EC"/>
    <w:rsid w:val="5BB3D383"/>
    <w:rsid w:val="5BBEE05D"/>
    <w:rsid w:val="5BC025A9"/>
    <w:rsid w:val="5BC204C8"/>
    <w:rsid w:val="5BC44922"/>
    <w:rsid w:val="5BC62046"/>
    <w:rsid w:val="5BC7AA3A"/>
    <w:rsid w:val="5BC83DA7"/>
    <w:rsid w:val="5BC966B8"/>
    <w:rsid w:val="5BCBFBB8"/>
    <w:rsid w:val="5BCC1325"/>
    <w:rsid w:val="5BCCAA28"/>
    <w:rsid w:val="5BD183BD"/>
    <w:rsid w:val="5BD2A80D"/>
    <w:rsid w:val="5BD2B596"/>
    <w:rsid w:val="5BD35516"/>
    <w:rsid w:val="5BD4256B"/>
    <w:rsid w:val="5BD6A81D"/>
    <w:rsid w:val="5BD70A1F"/>
    <w:rsid w:val="5BDA8D21"/>
    <w:rsid w:val="5BDF0667"/>
    <w:rsid w:val="5BE06328"/>
    <w:rsid w:val="5BE25B81"/>
    <w:rsid w:val="5BE34795"/>
    <w:rsid w:val="5BE59555"/>
    <w:rsid w:val="5BE59D6E"/>
    <w:rsid w:val="5BE8FB65"/>
    <w:rsid w:val="5BEB0B82"/>
    <w:rsid w:val="5BECBC1B"/>
    <w:rsid w:val="5BED3172"/>
    <w:rsid w:val="5BEE9FBE"/>
    <w:rsid w:val="5BF007F0"/>
    <w:rsid w:val="5BF09103"/>
    <w:rsid w:val="5BF1A38B"/>
    <w:rsid w:val="5BF37FCE"/>
    <w:rsid w:val="5BF45B00"/>
    <w:rsid w:val="5BFCDA24"/>
    <w:rsid w:val="5C012A91"/>
    <w:rsid w:val="5C0236D5"/>
    <w:rsid w:val="5C047C5A"/>
    <w:rsid w:val="5C075055"/>
    <w:rsid w:val="5C08FD4B"/>
    <w:rsid w:val="5C0923F7"/>
    <w:rsid w:val="5C0B438F"/>
    <w:rsid w:val="5C0D992F"/>
    <w:rsid w:val="5C0E95DC"/>
    <w:rsid w:val="5C11A443"/>
    <w:rsid w:val="5C149B00"/>
    <w:rsid w:val="5C17D07E"/>
    <w:rsid w:val="5C199F1F"/>
    <w:rsid w:val="5C1CBC18"/>
    <w:rsid w:val="5C1E0775"/>
    <w:rsid w:val="5C1E9F7F"/>
    <w:rsid w:val="5C2045DE"/>
    <w:rsid w:val="5C2147CF"/>
    <w:rsid w:val="5C23248A"/>
    <w:rsid w:val="5C2567AE"/>
    <w:rsid w:val="5C261CEA"/>
    <w:rsid w:val="5C269C01"/>
    <w:rsid w:val="5C27FF8F"/>
    <w:rsid w:val="5C2AA9BA"/>
    <w:rsid w:val="5C2AC063"/>
    <w:rsid w:val="5C2E2805"/>
    <w:rsid w:val="5C2E9114"/>
    <w:rsid w:val="5C2F7303"/>
    <w:rsid w:val="5C2F8E0E"/>
    <w:rsid w:val="5C35DC5B"/>
    <w:rsid w:val="5C37BDCA"/>
    <w:rsid w:val="5C3D7057"/>
    <w:rsid w:val="5C408B54"/>
    <w:rsid w:val="5C46290F"/>
    <w:rsid w:val="5C47974B"/>
    <w:rsid w:val="5C485676"/>
    <w:rsid w:val="5C491EC9"/>
    <w:rsid w:val="5C4AB9EA"/>
    <w:rsid w:val="5C4BF7DE"/>
    <w:rsid w:val="5C4BFC24"/>
    <w:rsid w:val="5C4E470B"/>
    <w:rsid w:val="5C4EAC21"/>
    <w:rsid w:val="5C4EC227"/>
    <w:rsid w:val="5C4F1794"/>
    <w:rsid w:val="5C543A00"/>
    <w:rsid w:val="5C56636D"/>
    <w:rsid w:val="5C57FFEE"/>
    <w:rsid w:val="5C5A2A0F"/>
    <w:rsid w:val="5C5D2583"/>
    <w:rsid w:val="5C5EFE58"/>
    <w:rsid w:val="5C61DA08"/>
    <w:rsid w:val="5C6223D4"/>
    <w:rsid w:val="5C64E167"/>
    <w:rsid w:val="5C67A942"/>
    <w:rsid w:val="5C68C8BF"/>
    <w:rsid w:val="5C698C0F"/>
    <w:rsid w:val="5C6A9DE9"/>
    <w:rsid w:val="5C6B38BF"/>
    <w:rsid w:val="5C6D201E"/>
    <w:rsid w:val="5C715F05"/>
    <w:rsid w:val="5C71FC97"/>
    <w:rsid w:val="5C73621E"/>
    <w:rsid w:val="5C7392EF"/>
    <w:rsid w:val="5C74DA54"/>
    <w:rsid w:val="5C75DBF3"/>
    <w:rsid w:val="5C7A30AC"/>
    <w:rsid w:val="5C7CE277"/>
    <w:rsid w:val="5C7EAF5C"/>
    <w:rsid w:val="5C7F0848"/>
    <w:rsid w:val="5C841AF1"/>
    <w:rsid w:val="5C84EF3F"/>
    <w:rsid w:val="5C85387A"/>
    <w:rsid w:val="5C857A3D"/>
    <w:rsid w:val="5C85841E"/>
    <w:rsid w:val="5C8C4CE1"/>
    <w:rsid w:val="5C8CE951"/>
    <w:rsid w:val="5C8D82E8"/>
    <w:rsid w:val="5C8DF891"/>
    <w:rsid w:val="5C983EDB"/>
    <w:rsid w:val="5C9B4D8D"/>
    <w:rsid w:val="5C9BB87C"/>
    <w:rsid w:val="5CA363E7"/>
    <w:rsid w:val="5CA3B1E8"/>
    <w:rsid w:val="5CA400B0"/>
    <w:rsid w:val="5CA57D30"/>
    <w:rsid w:val="5CAA009A"/>
    <w:rsid w:val="5CAE2623"/>
    <w:rsid w:val="5CB060F0"/>
    <w:rsid w:val="5CB0B83C"/>
    <w:rsid w:val="5CB4A00C"/>
    <w:rsid w:val="5CB76C2A"/>
    <w:rsid w:val="5CB7B033"/>
    <w:rsid w:val="5CB93C2B"/>
    <w:rsid w:val="5CBB7C8B"/>
    <w:rsid w:val="5CBD2A75"/>
    <w:rsid w:val="5CBDD0A9"/>
    <w:rsid w:val="5CC04526"/>
    <w:rsid w:val="5CC10511"/>
    <w:rsid w:val="5CC10EA1"/>
    <w:rsid w:val="5CC346FE"/>
    <w:rsid w:val="5CC4746D"/>
    <w:rsid w:val="5CC6C180"/>
    <w:rsid w:val="5CC80EC1"/>
    <w:rsid w:val="5CCD84B6"/>
    <w:rsid w:val="5CCF6E26"/>
    <w:rsid w:val="5CD08E68"/>
    <w:rsid w:val="5CD4FDCA"/>
    <w:rsid w:val="5CD8CFED"/>
    <w:rsid w:val="5CDA29B0"/>
    <w:rsid w:val="5CDC5571"/>
    <w:rsid w:val="5CDE336B"/>
    <w:rsid w:val="5CDE3C8E"/>
    <w:rsid w:val="5CDEBF66"/>
    <w:rsid w:val="5CE53502"/>
    <w:rsid w:val="5CE69C07"/>
    <w:rsid w:val="5CE6E5D7"/>
    <w:rsid w:val="5CE6E989"/>
    <w:rsid w:val="5CE8F6E6"/>
    <w:rsid w:val="5CEA72B6"/>
    <w:rsid w:val="5CEBB778"/>
    <w:rsid w:val="5CEC7FE8"/>
    <w:rsid w:val="5CF7B485"/>
    <w:rsid w:val="5CFDCA1A"/>
    <w:rsid w:val="5D00F1F5"/>
    <w:rsid w:val="5D0153E5"/>
    <w:rsid w:val="5D029037"/>
    <w:rsid w:val="5D0620CB"/>
    <w:rsid w:val="5D0A852C"/>
    <w:rsid w:val="5D0B8ADB"/>
    <w:rsid w:val="5D0D67CF"/>
    <w:rsid w:val="5D0E4CA2"/>
    <w:rsid w:val="5D1238C3"/>
    <w:rsid w:val="5D125C6E"/>
    <w:rsid w:val="5D1297B7"/>
    <w:rsid w:val="5D19CCF8"/>
    <w:rsid w:val="5D19E0FD"/>
    <w:rsid w:val="5D19E967"/>
    <w:rsid w:val="5D1A21A5"/>
    <w:rsid w:val="5D1A240A"/>
    <w:rsid w:val="5D1BD4A0"/>
    <w:rsid w:val="5D1BED6B"/>
    <w:rsid w:val="5D1D0C11"/>
    <w:rsid w:val="5D1DE583"/>
    <w:rsid w:val="5D1E082C"/>
    <w:rsid w:val="5D1FD31C"/>
    <w:rsid w:val="5D23EF31"/>
    <w:rsid w:val="5D24843D"/>
    <w:rsid w:val="5D24DF37"/>
    <w:rsid w:val="5D2725BD"/>
    <w:rsid w:val="5D2805CA"/>
    <w:rsid w:val="5D2A3A61"/>
    <w:rsid w:val="5D2A8093"/>
    <w:rsid w:val="5D2BD67C"/>
    <w:rsid w:val="5D2CFCBC"/>
    <w:rsid w:val="5D2D7966"/>
    <w:rsid w:val="5D30D859"/>
    <w:rsid w:val="5D33BC02"/>
    <w:rsid w:val="5D351999"/>
    <w:rsid w:val="5D351FB6"/>
    <w:rsid w:val="5D3663E9"/>
    <w:rsid w:val="5D390AD2"/>
    <w:rsid w:val="5D394D2B"/>
    <w:rsid w:val="5D3BC09D"/>
    <w:rsid w:val="5D3CEFDF"/>
    <w:rsid w:val="5D3E0EF2"/>
    <w:rsid w:val="5D404E21"/>
    <w:rsid w:val="5D457324"/>
    <w:rsid w:val="5D4743B0"/>
    <w:rsid w:val="5D4B9DEA"/>
    <w:rsid w:val="5D4BF189"/>
    <w:rsid w:val="5D4FEBAD"/>
    <w:rsid w:val="5D537D21"/>
    <w:rsid w:val="5D5509BA"/>
    <w:rsid w:val="5D587A56"/>
    <w:rsid w:val="5D5A582A"/>
    <w:rsid w:val="5D628CAF"/>
    <w:rsid w:val="5D681D30"/>
    <w:rsid w:val="5D68BB0F"/>
    <w:rsid w:val="5D6B1909"/>
    <w:rsid w:val="5D6B3C5A"/>
    <w:rsid w:val="5D6C415C"/>
    <w:rsid w:val="5D6EE830"/>
    <w:rsid w:val="5D7445EC"/>
    <w:rsid w:val="5D774C60"/>
    <w:rsid w:val="5D7AD90C"/>
    <w:rsid w:val="5D7BDD2D"/>
    <w:rsid w:val="5D7C310A"/>
    <w:rsid w:val="5D859F1A"/>
    <w:rsid w:val="5D8A37AE"/>
    <w:rsid w:val="5D924BAA"/>
    <w:rsid w:val="5D933CFA"/>
    <w:rsid w:val="5D95EE2D"/>
    <w:rsid w:val="5D994B48"/>
    <w:rsid w:val="5D9D3AC4"/>
    <w:rsid w:val="5D9FEDFA"/>
    <w:rsid w:val="5DA0143F"/>
    <w:rsid w:val="5DA0FCD4"/>
    <w:rsid w:val="5DA4EA0C"/>
    <w:rsid w:val="5DA8273F"/>
    <w:rsid w:val="5DAAAA1E"/>
    <w:rsid w:val="5DADF2E5"/>
    <w:rsid w:val="5DAF9467"/>
    <w:rsid w:val="5DB15840"/>
    <w:rsid w:val="5DB505D4"/>
    <w:rsid w:val="5DB7B6A0"/>
    <w:rsid w:val="5DBA9245"/>
    <w:rsid w:val="5DBBD2E0"/>
    <w:rsid w:val="5DBE4E07"/>
    <w:rsid w:val="5DBF8AF1"/>
    <w:rsid w:val="5DC3684B"/>
    <w:rsid w:val="5DC69B2D"/>
    <w:rsid w:val="5DC706D7"/>
    <w:rsid w:val="5DC71801"/>
    <w:rsid w:val="5DC74A64"/>
    <w:rsid w:val="5DC8E8EA"/>
    <w:rsid w:val="5DCA236C"/>
    <w:rsid w:val="5DCA5B6C"/>
    <w:rsid w:val="5DCAD0A0"/>
    <w:rsid w:val="5DCBFD66"/>
    <w:rsid w:val="5DCD3351"/>
    <w:rsid w:val="5DCE228B"/>
    <w:rsid w:val="5DCECC1A"/>
    <w:rsid w:val="5DD140AC"/>
    <w:rsid w:val="5DD1E5A6"/>
    <w:rsid w:val="5DD1FA58"/>
    <w:rsid w:val="5DD20C1E"/>
    <w:rsid w:val="5DD22C08"/>
    <w:rsid w:val="5DD26B7E"/>
    <w:rsid w:val="5DD3A1AD"/>
    <w:rsid w:val="5DD5C709"/>
    <w:rsid w:val="5DD73AC4"/>
    <w:rsid w:val="5DD98F13"/>
    <w:rsid w:val="5DDAC9AB"/>
    <w:rsid w:val="5DDB62E3"/>
    <w:rsid w:val="5DDC8ACA"/>
    <w:rsid w:val="5DDDAF62"/>
    <w:rsid w:val="5DDDD258"/>
    <w:rsid w:val="5DDDF9BA"/>
    <w:rsid w:val="5DDE7584"/>
    <w:rsid w:val="5DDF1CB8"/>
    <w:rsid w:val="5DE13445"/>
    <w:rsid w:val="5DEAAF71"/>
    <w:rsid w:val="5DEB039A"/>
    <w:rsid w:val="5DEB2405"/>
    <w:rsid w:val="5DF0FEFF"/>
    <w:rsid w:val="5DF49B6C"/>
    <w:rsid w:val="5DF69927"/>
    <w:rsid w:val="5DF6E620"/>
    <w:rsid w:val="5DF944F4"/>
    <w:rsid w:val="5DFA86EE"/>
    <w:rsid w:val="5DFBC6AD"/>
    <w:rsid w:val="5E0278CB"/>
    <w:rsid w:val="5E031D3E"/>
    <w:rsid w:val="5E04F67A"/>
    <w:rsid w:val="5E05ECD8"/>
    <w:rsid w:val="5E05F98F"/>
    <w:rsid w:val="5E0A221B"/>
    <w:rsid w:val="5E0C154E"/>
    <w:rsid w:val="5E0DCFEF"/>
    <w:rsid w:val="5E1318D0"/>
    <w:rsid w:val="5E15E193"/>
    <w:rsid w:val="5E15E70C"/>
    <w:rsid w:val="5E16CD1F"/>
    <w:rsid w:val="5E185C76"/>
    <w:rsid w:val="5E1B1BCC"/>
    <w:rsid w:val="5E1B3D55"/>
    <w:rsid w:val="5E1C37C4"/>
    <w:rsid w:val="5E1C9552"/>
    <w:rsid w:val="5E1D40A8"/>
    <w:rsid w:val="5E1E7538"/>
    <w:rsid w:val="5E1EFE35"/>
    <w:rsid w:val="5E1F2D96"/>
    <w:rsid w:val="5E2259DD"/>
    <w:rsid w:val="5E22E5AB"/>
    <w:rsid w:val="5E27BD52"/>
    <w:rsid w:val="5E28054B"/>
    <w:rsid w:val="5E28B21F"/>
    <w:rsid w:val="5E29B4B0"/>
    <w:rsid w:val="5E29DE4E"/>
    <w:rsid w:val="5E2E35B7"/>
    <w:rsid w:val="5E2E7829"/>
    <w:rsid w:val="5E332A5D"/>
    <w:rsid w:val="5E33C5CD"/>
    <w:rsid w:val="5E35263C"/>
    <w:rsid w:val="5E377650"/>
    <w:rsid w:val="5E389322"/>
    <w:rsid w:val="5E390780"/>
    <w:rsid w:val="5E3E09AD"/>
    <w:rsid w:val="5E3E35B9"/>
    <w:rsid w:val="5E3E466F"/>
    <w:rsid w:val="5E4246E1"/>
    <w:rsid w:val="5E4281F9"/>
    <w:rsid w:val="5E464A3D"/>
    <w:rsid w:val="5E48122A"/>
    <w:rsid w:val="5E4DEF85"/>
    <w:rsid w:val="5E510363"/>
    <w:rsid w:val="5E51F939"/>
    <w:rsid w:val="5E53064E"/>
    <w:rsid w:val="5E540A21"/>
    <w:rsid w:val="5E54C735"/>
    <w:rsid w:val="5E57BE3A"/>
    <w:rsid w:val="5E592FA9"/>
    <w:rsid w:val="5E595709"/>
    <w:rsid w:val="5E5B4DFD"/>
    <w:rsid w:val="5E5C3DBE"/>
    <w:rsid w:val="5E631ACD"/>
    <w:rsid w:val="5E633AE4"/>
    <w:rsid w:val="5E686BCE"/>
    <w:rsid w:val="5E688CAF"/>
    <w:rsid w:val="5E69DAA7"/>
    <w:rsid w:val="5E6B3F53"/>
    <w:rsid w:val="5E6C475D"/>
    <w:rsid w:val="5E6E0F1B"/>
    <w:rsid w:val="5E6F9F61"/>
    <w:rsid w:val="5E7136CD"/>
    <w:rsid w:val="5E76ABCC"/>
    <w:rsid w:val="5E7835D2"/>
    <w:rsid w:val="5E796EF6"/>
    <w:rsid w:val="5E79E95A"/>
    <w:rsid w:val="5E7AF412"/>
    <w:rsid w:val="5E7D9EB4"/>
    <w:rsid w:val="5E7E6C75"/>
    <w:rsid w:val="5E82BCC9"/>
    <w:rsid w:val="5E843C49"/>
    <w:rsid w:val="5E844830"/>
    <w:rsid w:val="5E8535E6"/>
    <w:rsid w:val="5E85A633"/>
    <w:rsid w:val="5E85B80A"/>
    <w:rsid w:val="5E8B099B"/>
    <w:rsid w:val="5E8E6100"/>
    <w:rsid w:val="5E901272"/>
    <w:rsid w:val="5E91F486"/>
    <w:rsid w:val="5E996529"/>
    <w:rsid w:val="5E9ACC5F"/>
    <w:rsid w:val="5E9BF3A7"/>
    <w:rsid w:val="5E9DECDF"/>
    <w:rsid w:val="5E9EEDC1"/>
    <w:rsid w:val="5E9F56A4"/>
    <w:rsid w:val="5EA027CF"/>
    <w:rsid w:val="5EA53295"/>
    <w:rsid w:val="5EA63A5B"/>
    <w:rsid w:val="5EA6E7C6"/>
    <w:rsid w:val="5EA95785"/>
    <w:rsid w:val="5EA97E11"/>
    <w:rsid w:val="5EAA6F03"/>
    <w:rsid w:val="5EAD69DE"/>
    <w:rsid w:val="5EB07AAD"/>
    <w:rsid w:val="5EB0A7F6"/>
    <w:rsid w:val="5EB2C24F"/>
    <w:rsid w:val="5EB30CD6"/>
    <w:rsid w:val="5EB93BDD"/>
    <w:rsid w:val="5EB94044"/>
    <w:rsid w:val="5EBC1C09"/>
    <w:rsid w:val="5EBE75A1"/>
    <w:rsid w:val="5EBE96E3"/>
    <w:rsid w:val="5EC1C0BF"/>
    <w:rsid w:val="5EC486BA"/>
    <w:rsid w:val="5EC4B40E"/>
    <w:rsid w:val="5EC784B9"/>
    <w:rsid w:val="5ECA0FCC"/>
    <w:rsid w:val="5ECD1F2D"/>
    <w:rsid w:val="5ED00329"/>
    <w:rsid w:val="5ED0CF07"/>
    <w:rsid w:val="5ED2B431"/>
    <w:rsid w:val="5ED302EB"/>
    <w:rsid w:val="5ED66B59"/>
    <w:rsid w:val="5ED8D387"/>
    <w:rsid w:val="5ED94684"/>
    <w:rsid w:val="5EDDFF03"/>
    <w:rsid w:val="5EDF8464"/>
    <w:rsid w:val="5EE1059C"/>
    <w:rsid w:val="5EE41443"/>
    <w:rsid w:val="5EEB459C"/>
    <w:rsid w:val="5EEC4D82"/>
    <w:rsid w:val="5EED0BAB"/>
    <w:rsid w:val="5EF41152"/>
    <w:rsid w:val="5EFBB3C1"/>
    <w:rsid w:val="5EFCD80C"/>
    <w:rsid w:val="5EFF2F3A"/>
    <w:rsid w:val="5F005DB0"/>
    <w:rsid w:val="5F023E06"/>
    <w:rsid w:val="5F02F33E"/>
    <w:rsid w:val="5F05B925"/>
    <w:rsid w:val="5F07ACFC"/>
    <w:rsid w:val="5F08C7EA"/>
    <w:rsid w:val="5F08ECF9"/>
    <w:rsid w:val="5F0A4514"/>
    <w:rsid w:val="5F0AEA2E"/>
    <w:rsid w:val="5F0E09EC"/>
    <w:rsid w:val="5F14464F"/>
    <w:rsid w:val="5F14CCC8"/>
    <w:rsid w:val="5F14E6DE"/>
    <w:rsid w:val="5F15A843"/>
    <w:rsid w:val="5F1726E4"/>
    <w:rsid w:val="5F19200D"/>
    <w:rsid w:val="5F19BB46"/>
    <w:rsid w:val="5F1BE692"/>
    <w:rsid w:val="5F1D9CC0"/>
    <w:rsid w:val="5F215404"/>
    <w:rsid w:val="5F22778F"/>
    <w:rsid w:val="5F243B4C"/>
    <w:rsid w:val="5F246063"/>
    <w:rsid w:val="5F24E81A"/>
    <w:rsid w:val="5F25C048"/>
    <w:rsid w:val="5F264836"/>
    <w:rsid w:val="5F28965B"/>
    <w:rsid w:val="5F28FD54"/>
    <w:rsid w:val="5F2961C7"/>
    <w:rsid w:val="5F29ABA3"/>
    <w:rsid w:val="5F29AEB0"/>
    <w:rsid w:val="5F2A12FA"/>
    <w:rsid w:val="5F2A275F"/>
    <w:rsid w:val="5F2A8E71"/>
    <w:rsid w:val="5F2C94D9"/>
    <w:rsid w:val="5F2E197A"/>
    <w:rsid w:val="5F2FC632"/>
    <w:rsid w:val="5F30070B"/>
    <w:rsid w:val="5F328AA2"/>
    <w:rsid w:val="5F33681B"/>
    <w:rsid w:val="5F38F56A"/>
    <w:rsid w:val="5F3B9FE1"/>
    <w:rsid w:val="5F3BE7EB"/>
    <w:rsid w:val="5F3FF222"/>
    <w:rsid w:val="5F4186FC"/>
    <w:rsid w:val="5F43A163"/>
    <w:rsid w:val="5F443030"/>
    <w:rsid w:val="5F44734A"/>
    <w:rsid w:val="5F48AE93"/>
    <w:rsid w:val="5F4A79B9"/>
    <w:rsid w:val="5F4BC29E"/>
    <w:rsid w:val="5F4E2FF1"/>
    <w:rsid w:val="5F5324C7"/>
    <w:rsid w:val="5F53CCCC"/>
    <w:rsid w:val="5F55F374"/>
    <w:rsid w:val="5F5647B1"/>
    <w:rsid w:val="5F57BE95"/>
    <w:rsid w:val="5F58F1C0"/>
    <w:rsid w:val="5F595115"/>
    <w:rsid w:val="5F5E0C2F"/>
    <w:rsid w:val="5F60B8CA"/>
    <w:rsid w:val="5F6115D4"/>
    <w:rsid w:val="5F61A5D8"/>
    <w:rsid w:val="5F6228FD"/>
    <w:rsid w:val="5F647779"/>
    <w:rsid w:val="5F64F53D"/>
    <w:rsid w:val="5F6880AA"/>
    <w:rsid w:val="5F68F509"/>
    <w:rsid w:val="5F6C3329"/>
    <w:rsid w:val="5F6D8657"/>
    <w:rsid w:val="5F6E5A70"/>
    <w:rsid w:val="5F6F5E6F"/>
    <w:rsid w:val="5F6FB027"/>
    <w:rsid w:val="5F7000E1"/>
    <w:rsid w:val="5F7022BF"/>
    <w:rsid w:val="5F70C23C"/>
    <w:rsid w:val="5F714BF7"/>
    <w:rsid w:val="5F73941D"/>
    <w:rsid w:val="5F73FD58"/>
    <w:rsid w:val="5F746792"/>
    <w:rsid w:val="5F7597AC"/>
    <w:rsid w:val="5F75CD05"/>
    <w:rsid w:val="5F7B9334"/>
    <w:rsid w:val="5F80D876"/>
    <w:rsid w:val="5F867463"/>
    <w:rsid w:val="5F893D40"/>
    <w:rsid w:val="5F897413"/>
    <w:rsid w:val="5F8BE075"/>
    <w:rsid w:val="5F8C30D3"/>
    <w:rsid w:val="5F8D6091"/>
    <w:rsid w:val="5F914AFA"/>
    <w:rsid w:val="5F919643"/>
    <w:rsid w:val="5F933DC9"/>
    <w:rsid w:val="5F95F429"/>
    <w:rsid w:val="5F9C05DB"/>
    <w:rsid w:val="5F9E6A80"/>
    <w:rsid w:val="5F9F69EA"/>
    <w:rsid w:val="5FA30554"/>
    <w:rsid w:val="5FA60F86"/>
    <w:rsid w:val="5FA8E959"/>
    <w:rsid w:val="5FA98665"/>
    <w:rsid w:val="5FAACDBE"/>
    <w:rsid w:val="5FAD44CE"/>
    <w:rsid w:val="5FB099CA"/>
    <w:rsid w:val="5FB1F8F5"/>
    <w:rsid w:val="5FB705C9"/>
    <w:rsid w:val="5FB87743"/>
    <w:rsid w:val="5FBB9B98"/>
    <w:rsid w:val="5FBCC5D1"/>
    <w:rsid w:val="5FBCE127"/>
    <w:rsid w:val="5FC00948"/>
    <w:rsid w:val="5FC11421"/>
    <w:rsid w:val="5FC12451"/>
    <w:rsid w:val="5FC2B399"/>
    <w:rsid w:val="5FC38402"/>
    <w:rsid w:val="5FC96433"/>
    <w:rsid w:val="5FC9AC24"/>
    <w:rsid w:val="5FC9DF28"/>
    <w:rsid w:val="5FCC7C12"/>
    <w:rsid w:val="5FCDC78E"/>
    <w:rsid w:val="5FCEB7F0"/>
    <w:rsid w:val="5FCF7F98"/>
    <w:rsid w:val="5FD177DF"/>
    <w:rsid w:val="5FD18FB2"/>
    <w:rsid w:val="5FD3231A"/>
    <w:rsid w:val="5FD467E5"/>
    <w:rsid w:val="5FD9AC71"/>
    <w:rsid w:val="5FD9B3F2"/>
    <w:rsid w:val="5FDA183E"/>
    <w:rsid w:val="5FDCE8DF"/>
    <w:rsid w:val="5FE079B8"/>
    <w:rsid w:val="5FE26DDB"/>
    <w:rsid w:val="5FE714DC"/>
    <w:rsid w:val="5FE76DA3"/>
    <w:rsid w:val="5FE78AD7"/>
    <w:rsid w:val="5FE7C3A8"/>
    <w:rsid w:val="5FEA02AC"/>
    <w:rsid w:val="5FEABA4B"/>
    <w:rsid w:val="5FEBB56D"/>
    <w:rsid w:val="5FEC8730"/>
    <w:rsid w:val="5FECB791"/>
    <w:rsid w:val="5FEDDE0F"/>
    <w:rsid w:val="5FF06794"/>
    <w:rsid w:val="5FF0EDBA"/>
    <w:rsid w:val="5FF1D19A"/>
    <w:rsid w:val="5FF3B1B8"/>
    <w:rsid w:val="5FF3F298"/>
    <w:rsid w:val="5FF4869A"/>
    <w:rsid w:val="5FF7DA15"/>
    <w:rsid w:val="5FF9D94E"/>
    <w:rsid w:val="5FF9EB9C"/>
    <w:rsid w:val="5FFBC936"/>
    <w:rsid w:val="5FFD0CA4"/>
    <w:rsid w:val="5FFE6136"/>
    <w:rsid w:val="5FFECD30"/>
    <w:rsid w:val="60009694"/>
    <w:rsid w:val="6003A69F"/>
    <w:rsid w:val="6005A421"/>
    <w:rsid w:val="6007FBA0"/>
    <w:rsid w:val="600A2A7D"/>
    <w:rsid w:val="600D959D"/>
    <w:rsid w:val="600DEC96"/>
    <w:rsid w:val="6012792C"/>
    <w:rsid w:val="60141A20"/>
    <w:rsid w:val="6014B50A"/>
    <w:rsid w:val="601674BC"/>
    <w:rsid w:val="601792EF"/>
    <w:rsid w:val="601E98FC"/>
    <w:rsid w:val="601FE95F"/>
    <w:rsid w:val="602281A0"/>
    <w:rsid w:val="60242E62"/>
    <w:rsid w:val="60257EFB"/>
    <w:rsid w:val="602D2663"/>
    <w:rsid w:val="602DA1D9"/>
    <w:rsid w:val="602FAFDA"/>
    <w:rsid w:val="60316046"/>
    <w:rsid w:val="60345629"/>
    <w:rsid w:val="60359CE6"/>
    <w:rsid w:val="603711E4"/>
    <w:rsid w:val="60372178"/>
    <w:rsid w:val="6037BE44"/>
    <w:rsid w:val="60393D0F"/>
    <w:rsid w:val="6044ECF7"/>
    <w:rsid w:val="604698A5"/>
    <w:rsid w:val="6046AFF7"/>
    <w:rsid w:val="6046C701"/>
    <w:rsid w:val="60493C48"/>
    <w:rsid w:val="60495898"/>
    <w:rsid w:val="6049A742"/>
    <w:rsid w:val="604C4898"/>
    <w:rsid w:val="604E2213"/>
    <w:rsid w:val="6052A580"/>
    <w:rsid w:val="6053FDC8"/>
    <w:rsid w:val="60566967"/>
    <w:rsid w:val="605AEB0F"/>
    <w:rsid w:val="605BA41D"/>
    <w:rsid w:val="605BC663"/>
    <w:rsid w:val="605DE2F3"/>
    <w:rsid w:val="60602614"/>
    <w:rsid w:val="60616D9B"/>
    <w:rsid w:val="6061C322"/>
    <w:rsid w:val="6064A66E"/>
    <w:rsid w:val="6065BB85"/>
    <w:rsid w:val="6066246D"/>
    <w:rsid w:val="60671A7C"/>
    <w:rsid w:val="60672371"/>
    <w:rsid w:val="606938FE"/>
    <w:rsid w:val="60694D91"/>
    <w:rsid w:val="606D1168"/>
    <w:rsid w:val="606DCC9C"/>
    <w:rsid w:val="606E0B2D"/>
    <w:rsid w:val="606E6F26"/>
    <w:rsid w:val="60712D3B"/>
    <w:rsid w:val="6071E248"/>
    <w:rsid w:val="607557C5"/>
    <w:rsid w:val="607799F8"/>
    <w:rsid w:val="60785738"/>
    <w:rsid w:val="607902E4"/>
    <w:rsid w:val="607B1B25"/>
    <w:rsid w:val="607C7596"/>
    <w:rsid w:val="607D6839"/>
    <w:rsid w:val="607F3D6C"/>
    <w:rsid w:val="607F6995"/>
    <w:rsid w:val="608334B4"/>
    <w:rsid w:val="6088F6C5"/>
    <w:rsid w:val="608AE907"/>
    <w:rsid w:val="608AF3F5"/>
    <w:rsid w:val="608DA67C"/>
    <w:rsid w:val="608FA141"/>
    <w:rsid w:val="60906B9B"/>
    <w:rsid w:val="60919ADD"/>
    <w:rsid w:val="6091A60D"/>
    <w:rsid w:val="60926F85"/>
    <w:rsid w:val="6093B493"/>
    <w:rsid w:val="6093EC5E"/>
    <w:rsid w:val="6093F6D5"/>
    <w:rsid w:val="6093FB8D"/>
    <w:rsid w:val="609A7F84"/>
    <w:rsid w:val="609AF193"/>
    <w:rsid w:val="609E10C4"/>
    <w:rsid w:val="609E3129"/>
    <w:rsid w:val="609E9B40"/>
    <w:rsid w:val="60A04413"/>
    <w:rsid w:val="60A55362"/>
    <w:rsid w:val="60A58261"/>
    <w:rsid w:val="60A67419"/>
    <w:rsid w:val="60A688EB"/>
    <w:rsid w:val="60AA8F34"/>
    <w:rsid w:val="60AABDFA"/>
    <w:rsid w:val="60AC467D"/>
    <w:rsid w:val="60AD20D3"/>
    <w:rsid w:val="60AD69E4"/>
    <w:rsid w:val="60B13DE3"/>
    <w:rsid w:val="60B316AD"/>
    <w:rsid w:val="60B58581"/>
    <w:rsid w:val="60B9BE76"/>
    <w:rsid w:val="60BA87B8"/>
    <w:rsid w:val="60BCCA8A"/>
    <w:rsid w:val="60BD069A"/>
    <w:rsid w:val="60BD84F2"/>
    <w:rsid w:val="60BF1DC7"/>
    <w:rsid w:val="60C345D4"/>
    <w:rsid w:val="60C4E746"/>
    <w:rsid w:val="60C59766"/>
    <w:rsid w:val="60C89194"/>
    <w:rsid w:val="60C997B2"/>
    <w:rsid w:val="60CA8A83"/>
    <w:rsid w:val="60CE8E31"/>
    <w:rsid w:val="60D0C4AE"/>
    <w:rsid w:val="60D10A57"/>
    <w:rsid w:val="60D23143"/>
    <w:rsid w:val="60D2320C"/>
    <w:rsid w:val="60D99346"/>
    <w:rsid w:val="60DA0223"/>
    <w:rsid w:val="60DB8E12"/>
    <w:rsid w:val="60DEA80D"/>
    <w:rsid w:val="60E2A392"/>
    <w:rsid w:val="60E39779"/>
    <w:rsid w:val="60E429A7"/>
    <w:rsid w:val="60E54624"/>
    <w:rsid w:val="60E69B6B"/>
    <w:rsid w:val="60ECDEEF"/>
    <w:rsid w:val="60F02CDF"/>
    <w:rsid w:val="60F17A09"/>
    <w:rsid w:val="60F1B144"/>
    <w:rsid w:val="60F93002"/>
    <w:rsid w:val="60FB2B5A"/>
    <w:rsid w:val="60FF3DEA"/>
    <w:rsid w:val="60FFFA30"/>
    <w:rsid w:val="6100E5D2"/>
    <w:rsid w:val="6101BE2B"/>
    <w:rsid w:val="610441E2"/>
    <w:rsid w:val="610A27F7"/>
    <w:rsid w:val="610B1C4D"/>
    <w:rsid w:val="610C7CF3"/>
    <w:rsid w:val="610CC6C6"/>
    <w:rsid w:val="6111BF4A"/>
    <w:rsid w:val="61142F00"/>
    <w:rsid w:val="61146209"/>
    <w:rsid w:val="61157EDD"/>
    <w:rsid w:val="6115E34C"/>
    <w:rsid w:val="611798E0"/>
    <w:rsid w:val="6119949A"/>
    <w:rsid w:val="6119C8AF"/>
    <w:rsid w:val="611A963D"/>
    <w:rsid w:val="611B7759"/>
    <w:rsid w:val="611BAFA4"/>
    <w:rsid w:val="611E0AB7"/>
    <w:rsid w:val="611FDB07"/>
    <w:rsid w:val="61212D93"/>
    <w:rsid w:val="6122CB35"/>
    <w:rsid w:val="61296DC5"/>
    <w:rsid w:val="612B2A4F"/>
    <w:rsid w:val="612C82D9"/>
    <w:rsid w:val="612D047F"/>
    <w:rsid w:val="61330DE3"/>
    <w:rsid w:val="61372E76"/>
    <w:rsid w:val="6146BCFF"/>
    <w:rsid w:val="614736CF"/>
    <w:rsid w:val="614795BF"/>
    <w:rsid w:val="6148249C"/>
    <w:rsid w:val="614A5432"/>
    <w:rsid w:val="614A9FE6"/>
    <w:rsid w:val="614AD2B0"/>
    <w:rsid w:val="614B3E90"/>
    <w:rsid w:val="614C2345"/>
    <w:rsid w:val="61503290"/>
    <w:rsid w:val="61567A69"/>
    <w:rsid w:val="6157B73C"/>
    <w:rsid w:val="6158BE08"/>
    <w:rsid w:val="6158F086"/>
    <w:rsid w:val="615A5216"/>
    <w:rsid w:val="615C0549"/>
    <w:rsid w:val="616003E8"/>
    <w:rsid w:val="6160F5C3"/>
    <w:rsid w:val="616295DB"/>
    <w:rsid w:val="61650525"/>
    <w:rsid w:val="6165AE50"/>
    <w:rsid w:val="61692CA3"/>
    <w:rsid w:val="616A0917"/>
    <w:rsid w:val="616A8BF3"/>
    <w:rsid w:val="616BC9B8"/>
    <w:rsid w:val="616C5741"/>
    <w:rsid w:val="616C75C8"/>
    <w:rsid w:val="616DA116"/>
    <w:rsid w:val="6172C0D0"/>
    <w:rsid w:val="617445F0"/>
    <w:rsid w:val="6174E0B9"/>
    <w:rsid w:val="61760886"/>
    <w:rsid w:val="61768F09"/>
    <w:rsid w:val="61771718"/>
    <w:rsid w:val="617E07F7"/>
    <w:rsid w:val="617E4AC1"/>
    <w:rsid w:val="617F6EBD"/>
    <w:rsid w:val="617FAF0A"/>
    <w:rsid w:val="618049FB"/>
    <w:rsid w:val="61821AB9"/>
    <w:rsid w:val="61838FC3"/>
    <w:rsid w:val="6185FE0E"/>
    <w:rsid w:val="618609F2"/>
    <w:rsid w:val="61864A16"/>
    <w:rsid w:val="61865E01"/>
    <w:rsid w:val="618961DB"/>
    <w:rsid w:val="618C298C"/>
    <w:rsid w:val="618FC891"/>
    <w:rsid w:val="61946C58"/>
    <w:rsid w:val="6194E37E"/>
    <w:rsid w:val="6196383E"/>
    <w:rsid w:val="6196B1F6"/>
    <w:rsid w:val="61993B30"/>
    <w:rsid w:val="619BECAD"/>
    <w:rsid w:val="619E26A4"/>
    <w:rsid w:val="61A09942"/>
    <w:rsid w:val="61A6134B"/>
    <w:rsid w:val="61A63876"/>
    <w:rsid w:val="61A7BA94"/>
    <w:rsid w:val="61A7CFF6"/>
    <w:rsid w:val="61A7FDDD"/>
    <w:rsid w:val="61ABE55A"/>
    <w:rsid w:val="61B0EF50"/>
    <w:rsid w:val="61B15F6F"/>
    <w:rsid w:val="61B44B0A"/>
    <w:rsid w:val="61B466A2"/>
    <w:rsid w:val="61BBFF22"/>
    <w:rsid w:val="61BC9F17"/>
    <w:rsid w:val="61BDE93C"/>
    <w:rsid w:val="61BF1E87"/>
    <w:rsid w:val="61C34B56"/>
    <w:rsid w:val="61C36AFD"/>
    <w:rsid w:val="61C4FE3D"/>
    <w:rsid w:val="61C6409A"/>
    <w:rsid w:val="61C6F5EE"/>
    <w:rsid w:val="61C73060"/>
    <w:rsid w:val="61CE4C5B"/>
    <w:rsid w:val="61D33171"/>
    <w:rsid w:val="61D44102"/>
    <w:rsid w:val="61D6893E"/>
    <w:rsid w:val="61D7E01D"/>
    <w:rsid w:val="61DC6A7B"/>
    <w:rsid w:val="61E0C0AD"/>
    <w:rsid w:val="61E41375"/>
    <w:rsid w:val="61E79C08"/>
    <w:rsid w:val="61EB41AF"/>
    <w:rsid w:val="61EB59B5"/>
    <w:rsid w:val="61EC19D6"/>
    <w:rsid w:val="61EFF364"/>
    <w:rsid w:val="61F09981"/>
    <w:rsid w:val="61F150DF"/>
    <w:rsid w:val="61F19664"/>
    <w:rsid w:val="61F3CCA2"/>
    <w:rsid w:val="61F446B4"/>
    <w:rsid w:val="61F91525"/>
    <w:rsid w:val="61FA26FC"/>
    <w:rsid w:val="61FA3B82"/>
    <w:rsid w:val="61FAD87F"/>
    <w:rsid w:val="61FBCCDD"/>
    <w:rsid w:val="61FE1EF3"/>
    <w:rsid w:val="6200255F"/>
    <w:rsid w:val="6201CACB"/>
    <w:rsid w:val="6202A696"/>
    <w:rsid w:val="62056E52"/>
    <w:rsid w:val="6205BDB6"/>
    <w:rsid w:val="62062F83"/>
    <w:rsid w:val="6206BD00"/>
    <w:rsid w:val="62080049"/>
    <w:rsid w:val="620AE84A"/>
    <w:rsid w:val="620B2450"/>
    <w:rsid w:val="620BB5DF"/>
    <w:rsid w:val="620BB9E7"/>
    <w:rsid w:val="620E0C7A"/>
    <w:rsid w:val="62140DCC"/>
    <w:rsid w:val="62151E03"/>
    <w:rsid w:val="6217AD4A"/>
    <w:rsid w:val="62181942"/>
    <w:rsid w:val="62199223"/>
    <w:rsid w:val="621E66B6"/>
    <w:rsid w:val="621F62F4"/>
    <w:rsid w:val="621F6903"/>
    <w:rsid w:val="622220BC"/>
    <w:rsid w:val="6224D655"/>
    <w:rsid w:val="622B222A"/>
    <w:rsid w:val="622B893C"/>
    <w:rsid w:val="622C7E31"/>
    <w:rsid w:val="622E7198"/>
    <w:rsid w:val="622F9207"/>
    <w:rsid w:val="622FA22C"/>
    <w:rsid w:val="623006E5"/>
    <w:rsid w:val="6230C63E"/>
    <w:rsid w:val="62331387"/>
    <w:rsid w:val="6234D976"/>
    <w:rsid w:val="6236244F"/>
    <w:rsid w:val="623BED48"/>
    <w:rsid w:val="623C97A2"/>
    <w:rsid w:val="623CE6F3"/>
    <w:rsid w:val="623E0801"/>
    <w:rsid w:val="6244C209"/>
    <w:rsid w:val="62457332"/>
    <w:rsid w:val="6245DF89"/>
    <w:rsid w:val="6247C896"/>
    <w:rsid w:val="6248044C"/>
    <w:rsid w:val="624D0AB3"/>
    <w:rsid w:val="624D88D0"/>
    <w:rsid w:val="62516E8B"/>
    <w:rsid w:val="6258CC77"/>
    <w:rsid w:val="625AD990"/>
    <w:rsid w:val="6261A96A"/>
    <w:rsid w:val="62628316"/>
    <w:rsid w:val="6263F890"/>
    <w:rsid w:val="6264A17B"/>
    <w:rsid w:val="6267B8F1"/>
    <w:rsid w:val="6269090D"/>
    <w:rsid w:val="62694408"/>
    <w:rsid w:val="626DA235"/>
    <w:rsid w:val="626F69EC"/>
    <w:rsid w:val="62723B48"/>
    <w:rsid w:val="6272CA3F"/>
    <w:rsid w:val="62741F7A"/>
    <w:rsid w:val="62748C60"/>
    <w:rsid w:val="627927E9"/>
    <w:rsid w:val="627AF9D5"/>
    <w:rsid w:val="627C8B22"/>
    <w:rsid w:val="62818CF2"/>
    <w:rsid w:val="62876129"/>
    <w:rsid w:val="6288282B"/>
    <w:rsid w:val="62889B1C"/>
    <w:rsid w:val="628A920F"/>
    <w:rsid w:val="628A9C28"/>
    <w:rsid w:val="628CF784"/>
    <w:rsid w:val="62941026"/>
    <w:rsid w:val="6295D204"/>
    <w:rsid w:val="62978D15"/>
    <w:rsid w:val="62995C71"/>
    <w:rsid w:val="629D398E"/>
    <w:rsid w:val="62A0D35A"/>
    <w:rsid w:val="62A2B5DD"/>
    <w:rsid w:val="62A3CE2E"/>
    <w:rsid w:val="62A7FD27"/>
    <w:rsid w:val="62A86A05"/>
    <w:rsid w:val="62A9ABA3"/>
    <w:rsid w:val="62AC85B5"/>
    <w:rsid w:val="62AE8752"/>
    <w:rsid w:val="62AE9657"/>
    <w:rsid w:val="62AFDCF7"/>
    <w:rsid w:val="62B0F85B"/>
    <w:rsid w:val="62B29B67"/>
    <w:rsid w:val="62B4A429"/>
    <w:rsid w:val="62B4BC4C"/>
    <w:rsid w:val="62B56C9F"/>
    <w:rsid w:val="62B76F10"/>
    <w:rsid w:val="62B79FDF"/>
    <w:rsid w:val="62BFEE5B"/>
    <w:rsid w:val="62C133C6"/>
    <w:rsid w:val="62C1AF40"/>
    <w:rsid w:val="62C270A8"/>
    <w:rsid w:val="62C50D33"/>
    <w:rsid w:val="62C701CF"/>
    <w:rsid w:val="62C929F8"/>
    <w:rsid w:val="62CB391D"/>
    <w:rsid w:val="62CC8B47"/>
    <w:rsid w:val="62CCDDBC"/>
    <w:rsid w:val="62D70A3A"/>
    <w:rsid w:val="62D8B34A"/>
    <w:rsid w:val="62D9B098"/>
    <w:rsid w:val="62DA78E8"/>
    <w:rsid w:val="62DB9CFE"/>
    <w:rsid w:val="62DCAD21"/>
    <w:rsid w:val="62DED54E"/>
    <w:rsid w:val="62E0C3F5"/>
    <w:rsid w:val="62E80F76"/>
    <w:rsid w:val="62F11A2F"/>
    <w:rsid w:val="62F2D2B0"/>
    <w:rsid w:val="62F93CA7"/>
    <w:rsid w:val="62F98098"/>
    <w:rsid w:val="62FD6BA4"/>
    <w:rsid w:val="62FF43C7"/>
    <w:rsid w:val="6300D842"/>
    <w:rsid w:val="6302F246"/>
    <w:rsid w:val="63053B94"/>
    <w:rsid w:val="630679E3"/>
    <w:rsid w:val="630A2729"/>
    <w:rsid w:val="630EC3CB"/>
    <w:rsid w:val="630EF6D4"/>
    <w:rsid w:val="63123A5C"/>
    <w:rsid w:val="63127BA0"/>
    <w:rsid w:val="6312E9A4"/>
    <w:rsid w:val="6316A8ED"/>
    <w:rsid w:val="631704B8"/>
    <w:rsid w:val="6317E911"/>
    <w:rsid w:val="6319A2C5"/>
    <w:rsid w:val="631B3A2D"/>
    <w:rsid w:val="631EC50D"/>
    <w:rsid w:val="631EC590"/>
    <w:rsid w:val="63201CAF"/>
    <w:rsid w:val="6320D6CA"/>
    <w:rsid w:val="632201F6"/>
    <w:rsid w:val="6324188F"/>
    <w:rsid w:val="6327960A"/>
    <w:rsid w:val="6329FA60"/>
    <w:rsid w:val="632BA5FE"/>
    <w:rsid w:val="632CB745"/>
    <w:rsid w:val="632E26F4"/>
    <w:rsid w:val="633079D0"/>
    <w:rsid w:val="633084AC"/>
    <w:rsid w:val="633463C7"/>
    <w:rsid w:val="63376E83"/>
    <w:rsid w:val="6337D370"/>
    <w:rsid w:val="6338195B"/>
    <w:rsid w:val="633AACE7"/>
    <w:rsid w:val="633B1161"/>
    <w:rsid w:val="633DBA59"/>
    <w:rsid w:val="633FAF20"/>
    <w:rsid w:val="633FBC9B"/>
    <w:rsid w:val="6340D461"/>
    <w:rsid w:val="6340E5A8"/>
    <w:rsid w:val="6343213D"/>
    <w:rsid w:val="63433590"/>
    <w:rsid w:val="6343C43D"/>
    <w:rsid w:val="6343C916"/>
    <w:rsid w:val="6349DD81"/>
    <w:rsid w:val="634A68BE"/>
    <w:rsid w:val="634E0295"/>
    <w:rsid w:val="634E6F67"/>
    <w:rsid w:val="634EC2C7"/>
    <w:rsid w:val="634F59EA"/>
    <w:rsid w:val="6352978C"/>
    <w:rsid w:val="6353F1FF"/>
    <w:rsid w:val="6359AA22"/>
    <w:rsid w:val="6359CBB5"/>
    <w:rsid w:val="635D61C9"/>
    <w:rsid w:val="635E0208"/>
    <w:rsid w:val="635FAFF9"/>
    <w:rsid w:val="6360564B"/>
    <w:rsid w:val="63611FF7"/>
    <w:rsid w:val="6361DF0F"/>
    <w:rsid w:val="63625FC6"/>
    <w:rsid w:val="636305CA"/>
    <w:rsid w:val="6363A237"/>
    <w:rsid w:val="63640AA6"/>
    <w:rsid w:val="6364EE8F"/>
    <w:rsid w:val="6365EAD1"/>
    <w:rsid w:val="636D35E5"/>
    <w:rsid w:val="63724B62"/>
    <w:rsid w:val="63737E50"/>
    <w:rsid w:val="63754E79"/>
    <w:rsid w:val="6375A653"/>
    <w:rsid w:val="6379AC39"/>
    <w:rsid w:val="637CC196"/>
    <w:rsid w:val="63810511"/>
    <w:rsid w:val="63836241"/>
    <w:rsid w:val="63864F0A"/>
    <w:rsid w:val="63879CFF"/>
    <w:rsid w:val="6387B6A5"/>
    <w:rsid w:val="638BFC26"/>
    <w:rsid w:val="638C8FC0"/>
    <w:rsid w:val="638D1F73"/>
    <w:rsid w:val="638E4953"/>
    <w:rsid w:val="638E4F58"/>
    <w:rsid w:val="638F0DFA"/>
    <w:rsid w:val="63962C27"/>
    <w:rsid w:val="6396AFDE"/>
    <w:rsid w:val="6397D00F"/>
    <w:rsid w:val="6397D2E1"/>
    <w:rsid w:val="639A1085"/>
    <w:rsid w:val="639AFE3D"/>
    <w:rsid w:val="63A3EB7D"/>
    <w:rsid w:val="63A61DE0"/>
    <w:rsid w:val="63A9AA39"/>
    <w:rsid w:val="63AAEF26"/>
    <w:rsid w:val="63AB0466"/>
    <w:rsid w:val="63B0A017"/>
    <w:rsid w:val="63B11CE0"/>
    <w:rsid w:val="63B12D61"/>
    <w:rsid w:val="63B15132"/>
    <w:rsid w:val="63B365F5"/>
    <w:rsid w:val="63B96F37"/>
    <w:rsid w:val="63BA2911"/>
    <w:rsid w:val="63BD844F"/>
    <w:rsid w:val="63BEABE4"/>
    <w:rsid w:val="63C2BC77"/>
    <w:rsid w:val="63C52FEE"/>
    <w:rsid w:val="63C60003"/>
    <w:rsid w:val="63C60C90"/>
    <w:rsid w:val="63C6AAB2"/>
    <w:rsid w:val="63C6B7C6"/>
    <w:rsid w:val="63C78225"/>
    <w:rsid w:val="63D2739A"/>
    <w:rsid w:val="63D8596F"/>
    <w:rsid w:val="63D8F85B"/>
    <w:rsid w:val="63DEA5F6"/>
    <w:rsid w:val="63DFC6C8"/>
    <w:rsid w:val="63E685BE"/>
    <w:rsid w:val="63E80E3C"/>
    <w:rsid w:val="63E891B8"/>
    <w:rsid w:val="63EA5B3A"/>
    <w:rsid w:val="63EC64F7"/>
    <w:rsid w:val="63F3F579"/>
    <w:rsid w:val="63F4209F"/>
    <w:rsid w:val="63FAA9C4"/>
    <w:rsid w:val="63FBE579"/>
    <w:rsid w:val="63FCED9A"/>
    <w:rsid w:val="63FE4E75"/>
    <w:rsid w:val="63FF6065"/>
    <w:rsid w:val="6402838C"/>
    <w:rsid w:val="6403D598"/>
    <w:rsid w:val="640632DC"/>
    <w:rsid w:val="640644DF"/>
    <w:rsid w:val="6406D3D7"/>
    <w:rsid w:val="640A585A"/>
    <w:rsid w:val="640C1701"/>
    <w:rsid w:val="640C4671"/>
    <w:rsid w:val="640C75F9"/>
    <w:rsid w:val="640D4E60"/>
    <w:rsid w:val="64151443"/>
    <w:rsid w:val="64199974"/>
    <w:rsid w:val="641B80C7"/>
    <w:rsid w:val="641EAA2A"/>
    <w:rsid w:val="6423C295"/>
    <w:rsid w:val="64282D81"/>
    <w:rsid w:val="642E3282"/>
    <w:rsid w:val="642F8C20"/>
    <w:rsid w:val="643081A0"/>
    <w:rsid w:val="64331CDC"/>
    <w:rsid w:val="64354FCF"/>
    <w:rsid w:val="6436F6C7"/>
    <w:rsid w:val="64396C94"/>
    <w:rsid w:val="643BA50F"/>
    <w:rsid w:val="643DEB09"/>
    <w:rsid w:val="643F2A10"/>
    <w:rsid w:val="6441777A"/>
    <w:rsid w:val="64419F47"/>
    <w:rsid w:val="64439859"/>
    <w:rsid w:val="64468260"/>
    <w:rsid w:val="6448CB50"/>
    <w:rsid w:val="6448DC16"/>
    <w:rsid w:val="6449455F"/>
    <w:rsid w:val="6449B0A7"/>
    <w:rsid w:val="644FCE00"/>
    <w:rsid w:val="6451DFA2"/>
    <w:rsid w:val="64550C8D"/>
    <w:rsid w:val="6458A9D8"/>
    <w:rsid w:val="64592843"/>
    <w:rsid w:val="646167FE"/>
    <w:rsid w:val="6467999E"/>
    <w:rsid w:val="646A72EB"/>
    <w:rsid w:val="646DE6EF"/>
    <w:rsid w:val="646E3255"/>
    <w:rsid w:val="646E4F11"/>
    <w:rsid w:val="6471DF16"/>
    <w:rsid w:val="6472FCB7"/>
    <w:rsid w:val="6476ACE6"/>
    <w:rsid w:val="6476CE9B"/>
    <w:rsid w:val="6479FA37"/>
    <w:rsid w:val="647A02D0"/>
    <w:rsid w:val="647BAEAD"/>
    <w:rsid w:val="647BCD15"/>
    <w:rsid w:val="64834420"/>
    <w:rsid w:val="6485BFAC"/>
    <w:rsid w:val="648A25A0"/>
    <w:rsid w:val="648B68D0"/>
    <w:rsid w:val="648CFFF0"/>
    <w:rsid w:val="648E277F"/>
    <w:rsid w:val="648E585F"/>
    <w:rsid w:val="648F44FA"/>
    <w:rsid w:val="648F8BE4"/>
    <w:rsid w:val="649314C0"/>
    <w:rsid w:val="64939225"/>
    <w:rsid w:val="6494EA18"/>
    <w:rsid w:val="649519C9"/>
    <w:rsid w:val="6496018E"/>
    <w:rsid w:val="6496F160"/>
    <w:rsid w:val="6497DAC0"/>
    <w:rsid w:val="6499D69C"/>
    <w:rsid w:val="649AD713"/>
    <w:rsid w:val="64A00649"/>
    <w:rsid w:val="64A06494"/>
    <w:rsid w:val="64A25D00"/>
    <w:rsid w:val="64A530A8"/>
    <w:rsid w:val="64A75681"/>
    <w:rsid w:val="64A7ED4F"/>
    <w:rsid w:val="64A87EE2"/>
    <w:rsid w:val="64A8CB52"/>
    <w:rsid w:val="64AC5BAB"/>
    <w:rsid w:val="64B1C331"/>
    <w:rsid w:val="64B1ED82"/>
    <w:rsid w:val="64B30D3B"/>
    <w:rsid w:val="64B5A63D"/>
    <w:rsid w:val="64B66B9C"/>
    <w:rsid w:val="64B71659"/>
    <w:rsid w:val="64B75329"/>
    <w:rsid w:val="64B80E2E"/>
    <w:rsid w:val="64BA966F"/>
    <w:rsid w:val="64BC838C"/>
    <w:rsid w:val="64BDA124"/>
    <w:rsid w:val="64C301B2"/>
    <w:rsid w:val="64C6F931"/>
    <w:rsid w:val="64CBAE83"/>
    <w:rsid w:val="64CCA27D"/>
    <w:rsid w:val="64CD9B3D"/>
    <w:rsid w:val="64CDF374"/>
    <w:rsid w:val="64D4A665"/>
    <w:rsid w:val="64D7FA9B"/>
    <w:rsid w:val="64DB653F"/>
    <w:rsid w:val="64DBDE1E"/>
    <w:rsid w:val="64DDB77A"/>
    <w:rsid w:val="64DDFAD7"/>
    <w:rsid w:val="64E2115E"/>
    <w:rsid w:val="64E73F77"/>
    <w:rsid w:val="64F0EB80"/>
    <w:rsid w:val="64F1086A"/>
    <w:rsid w:val="64F4A53A"/>
    <w:rsid w:val="64F63F87"/>
    <w:rsid w:val="64F77CB4"/>
    <w:rsid w:val="64F8A4CE"/>
    <w:rsid w:val="64FD4E6E"/>
    <w:rsid w:val="6501DCF1"/>
    <w:rsid w:val="65020D7B"/>
    <w:rsid w:val="65038D8B"/>
    <w:rsid w:val="650E6317"/>
    <w:rsid w:val="6510889A"/>
    <w:rsid w:val="651289C2"/>
    <w:rsid w:val="651321BF"/>
    <w:rsid w:val="651785FF"/>
    <w:rsid w:val="6518EE1F"/>
    <w:rsid w:val="651E4969"/>
    <w:rsid w:val="651E826E"/>
    <w:rsid w:val="65204F25"/>
    <w:rsid w:val="6520F6C8"/>
    <w:rsid w:val="6520FE28"/>
    <w:rsid w:val="6521CD6C"/>
    <w:rsid w:val="65221534"/>
    <w:rsid w:val="65225B76"/>
    <w:rsid w:val="65229708"/>
    <w:rsid w:val="6523CAD4"/>
    <w:rsid w:val="6523E247"/>
    <w:rsid w:val="6523F52B"/>
    <w:rsid w:val="6527C603"/>
    <w:rsid w:val="65292F80"/>
    <w:rsid w:val="65297853"/>
    <w:rsid w:val="652B6145"/>
    <w:rsid w:val="652BACC1"/>
    <w:rsid w:val="6531434B"/>
    <w:rsid w:val="6533102B"/>
    <w:rsid w:val="65350DA4"/>
    <w:rsid w:val="653621F2"/>
    <w:rsid w:val="6536A63C"/>
    <w:rsid w:val="6537405A"/>
    <w:rsid w:val="653AE794"/>
    <w:rsid w:val="653C88C0"/>
    <w:rsid w:val="653FAEC4"/>
    <w:rsid w:val="65428FD9"/>
    <w:rsid w:val="6542C81C"/>
    <w:rsid w:val="654618D6"/>
    <w:rsid w:val="65463DD0"/>
    <w:rsid w:val="6546451B"/>
    <w:rsid w:val="6546C5B9"/>
    <w:rsid w:val="6554669D"/>
    <w:rsid w:val="655629EF"/>
    <w:rsid w:val="6558523E"/>
    <w:rsid w:val="65599EC4"/>
    <w:rsid w:val="655FCD71"/>
    <w:rsid w:val="6560750F"/>
    <w:rsid w:val="6560DD06"/>
    <w:rsid w:val="6563A586"/>
    <w:rsid w:val="6563E399"/>
    <w:rsid w:val="656761E2"/>
    <w:rsid w:val="656C1761"/>
    <w:rsid w:val="656F49FE"/>
    <w:rsid w:val="65720C17"/>
    <w:rsid w:val="65762792"/>
    <w:rsid w:val="657B24F5"/>
    <w:rsid w:val="657C1872"/>
    <w:rsid w:val="657C725C"/>
    <w:rsid w:val="657DA030"/>
    <w:rsid w:val="65809D76"/>
    <w:rsid w:val="6582656A"/>
    <w:rsid w:val="6582CE6C"/>
    <w:rsid w:val="6583C9DC"/>
    <w:rsid w:val="6585A9AD"/>
    <w:rsid w:val="6585EFF0"/>
    <w:rsid w:val="658B85CC"/>
    <w:rsid w:val="658F9D35"/>
    <w:rsid w:val="65906C18"/>
    <w:rsid w:val="65910BC2"/>
    <w:rsid w:val="65942CE3"/>
    <w:rsid w:val="659644F6"/>
    <w:rsid w:val="659721F6"/>
    <w:rsid w:val="65995966"/>
    <w:rsid w:val="65999FC9"/>
    <w:rsid w:val="659EC3BD"/>
    <w:rsid w:val="65A30917"/>
    <w:rsid w:val="65A422B2"/>
    <w:rsid w:val="65A460BA"/>
    <w:rsid w:val="65A4EAC7"/>
    <w:rsid w:val="65A502CB"/>
    <w:rsid w:val="65A6B3C2"/>
    <w:rsid w:val="65A6D217"/>
    <w:rsid w:val="65A6DA6C"/>
    <w:rsid w:val="65AE2562"/>
    <w:rsid w:val="65B5539D"/>
    <w:rsid w:val="65B705DE"/>
    <w:rsid w:val="65B71190"/>
    <w:rsid w:val="65B764B2"/>
    <w:rsid w:val="65B7CDC3"/>
    <w:rsid w:val="65B82769"/>
    <w:rsid w:val="65BA2B0E"/>
    <w:rsid w:val="65BA843D"/>
    <w:rsid w:val="65BC9D65"/>
    <w:rsid w:val="65BD0FFD"/>
    <w:rsid w:val="65BD9B38"/>
    <w:rsid w:val="65C02B55"/>
    <w:rsid w:val="65C60491"/>
    <w:rsid w:val="65C8CB6D"/>
    <w:rsid w:val="65CC12A2"/>
    <w:rsid w:val="65CC6B05"/>
    <w:rsid w:val="65CEB594"/>
    <w:rsid w:val="65CED1BD"/>
    <w:rsid w:val="65CFA02F"/>
    <w:rsid w:val="65D26DFD"/>
    <w:rsid w:val="65D2A666"/>
    <w:rsid w:val="65D32262"/>
    <w:rsid w:val="65D42064"/>
    <w:rsid w:val="65D7F9D4"/>
    <w:rsid w:val="65DE451B"/>
    <w:rsid w:val="65DFFC08"/>
    <w:rsid w:val="65E26068"/>
    <w:rsid w:val="65E3315F"/>
    <w:rsid w:val="65E7CD35"/>
    <w:rsid w:val="65E929B4"/>
    <w:rsid w:val="65E95BCD"/>
    <w:rsid w:val="65EDC938"/>
    <w:rsid w:val="65F0C647"/>
    <w:rsid w:val="65F0CFB4"/>
    <w:rsid w:val="65F68965"/>
    <w:rsid w:val="65F759EC"/>
    <w:rsid w:val="65F7DA1C"/>
    <w:rsid w:val="65F83FDE"/>
    <w:rsid w:val="65F9129F"/>
    <w:rsid w:val="65FAE1CB"/>
    <w:rsid w:val="66009698"/>
    <w:rsid w:val="66015399"/>
    <w:rsid w:val="660196A0"/>
    <w:rsid w:val="66043E90"/>
    <w:rsid w:val="66059C41"/>
    <w:rsid w:val="66063205"/>
    <w:rsid w:val="6606C78F"/>
    <w:rsid w:val="660B80A1"/>
    <w:rsid w:val="660CE8A3"/>
    <w:rsid w:val="6611CA69"/>
    <w:rsid w:val="6611FF12"/>
    <w:rsid w:val="6612DB34"/>
    <w:rsid w:val="66133743"/>
    <w:rsid w:val="6618E099"/>
    <w:rsid w:val="661A9676"/>
    <w:rsid w:val="661B8EE0"/>
    <w:rsid w:val="661BC22D"/>
    <w:rsid w:val="661E4C74"/>
    <w:rsid w:val="66211D3B"/>
    <w:rsid w:val="6621F20B"/>
    <w:rsid w:val="66227514"/>
    <w:rsid w:val="66255CCF"/>
    <w:rsid w:val="6627B4B9"/>
    <w:rsid w:val="6627C4E0"/>
    <w:rsid w:val="66280A4B"/>
    <w:rsid w:val="6628B733"/>
    <w:rsid w:val="6628C35E"/>
    <w:rsid w:val="66297F93"/>
    <w:rsid w:val="66299FFC"/>
    <w:rsid w:val="662A5F3D"/>
    <w:rsid w:val="662ABE68"/>
    <w:rsid w:val="662CC6D2"/>
    <w:rsid w:val="662E37DA"/>
    <w:rsid w:val="662FD1EF"/>
    <w:rsid w:val="6630D302"/>
    <w:rsid w:val="66318E12"/>
    <w:rsid w:val="6631B656"/>
    <w:rsid w:val="6633768A"/>
    <w:rsid w:val="66357210"/>
    <w:rsid w:val="663738B9"/>
    <w:rsid w:val="66385F35"/>
    <w:rsid w:val="6638E5EE"/>
    <w:rsid w:val="663E17C9"/>
    <w:rsid w:val="663F5797"/>
    <w:rsid w:val="6641D1E2"/>
    <w:rsid w:val="6641D2FF"/>
    <w:rsid w:val="66481A10"/>
    <w:rsid w:val="6649A615"/>
    <w:rsid w:val="664AB228"/>
    <w:rsid w:val="66531E7D"/>
    <w:rsid w:val="6653B612"/>
    <w:rsid w:val="6655A885"/>
    <w:rsid w:val="665622E6"/>
    <w:rsid w:val="6657A0D1"/>
    <w:rsid w:val="665950D8"/>
    <w:rsid w:val="665B8EDA"/>
    <w:rsid w:val="665D0F16"/>
    <w:rsid w:val="66604D03"/>
    <w:rsid w:val="66632C2A"/>
    <w:rsid w:val="6663E4B6"/>
    <w:rsid w:val="66646401"/>
    <w:rsid w:val="666686FA"/>
    <w:rsid w:val="66672996"/>
    <w:rsid w:val="666786DE"/>
    <w:rsid w:val="66696BC7"/>
    <w:rsid w:val="666A5865"/>
    <w:rsid w:val="666E18A6"/>
    <w:rsid w:val="66711AEB"/>
    <w:rsid w:val="6671782B"/>
    <w:rsid w:val="6675D71D"/>
    <w:rsid w:val="6675F795"/>
    <w:rsid w:val="66799753"/>
    <w:rsid w:val="667A4BA5"/>
    <w:rsid w:val="667A4CA8"/>
    <w:rsid w:val="667A94A1"/>
    <w:rsid w:val="667F2BB4"/>
    <w:rsid w:val="667FA9F9"/>
    <w:rsid w:val="66842100"/>
    <w:rsid w:val="66844796"/>
    <w:rsid w:val="6684CFF0"/>
    <w:rsid w:val="6685EB00"/>
    <w:rsid w:val="66874087"/>
    <w:rsid w:val="66884042"/>
    <w:rsid w:val="6688DA58"/>
    <w:rsid w:val="668A49D8"/>
    <w:rsid w:val="668A8D8A"/>
    <w:rsid w:val="668AC2D6"/>
    <w:rsid w:val="668BEFC0"/>
    <w:rsid w:val="66921052"/>
    <w:rsid w:val="66951F5A"/>
    <w:rsid w:val="6697AE45"/>
    <w:rsid w:val="669D9563"/>
    <w:rsid w:val="669FF013"/>
    <w:rsid w:val="66A0FF47"/>
    <w:rsid w:val="66A10639"/>
    <w:rsid w:val="66A1D29A"/>
    <w:rsid w:val="66A2526C"/>
    <w:rsid w:val="66A2F364"/>
    <w:rsid w:val="66A38767"/>
    <w:rsid w:val="66A7C913"/>
    <w:rsid w:val="66A8E62F"/>
    <w:rsid w:val="66AA49C3"/>
    <w:rsid w:val="66AA9682"/>
    <w:rsid w:val="66AD0B36"/>
    <w:rsid w:val="66AD8E56"/>
    <w:rsid w:val="66AF4508"/>
    <w:rsid w:val="66B14267"/>
    <w:rsid w:val="66B1BD57"/>
    <w:rsid w:val="66B2EACD"/>
    <w:rsid w:val="66B3021F"/>
    <w:rsid w:val="66B31D47"/>
    <w:rsid w:val="66B5186D"/>
    <w:rsid w:val="66B5699D"/>
    <w:rsid w:val="66BAD372"/>
    <w:rsid w:val="66BD2FDD"/>
    <w:rsid w:val="66BDFDE2"/>
    <w:rsid w:val="66BE6878"/>
    <w:rsid w:val="66BF5D81"/>
    <w:rsid w:val="66BFA5B4"/>
    <w:rsid w:val="66C3C38E"/>
    <w:rsid w:val="66C499CF"/>
    <w:rsid w:val="66C6BDC0"/>
    <w:rsid w:val="66C776AE"/>
    <w:rsid w:val="66C92EDA"/>
    <w:rsid w:val="66C95A69"/>
    <w:rsid w:val="66CB226C"/>
    <w:rsid w:val="66CD621F"/>
    <w:rsid w:val="66CDD74D"/>
    <w:rsid w:val="66D35345"/>
    <w:rsid w:val="66D70515"/>
    <w:rsid w:val="66D83B3B"/>
    <w:rsid w:val="66DA3A44"/>
    <w:rsid w:val="66DA62A7"/>
    <w:rsid w:val="66DB1306"/>
    <w:rsid w:val="66DB3AF7"/>
    <w:rsid w:val="66DE8000"/>
    <w:rsid w:val="66E137AB"/>
    <w:rsid w:val="66E3D39B"/>
    <w:rsid w:val="66E9BFFF"/>
    <w:rsid w:val="66EAC2EE"/>
    <w:rsid w:val="66EDDA90"/>
    <w:rsid w:val="66F06EF6"/>
    <w:rsid w:val="66F2D80D"/>
    <w:rsid w:val="66F6FFDD"/>
    <w:rsid w:val="66F734CE"/>
    <w:rsid w:val="66F901DF"/>
    <w:rsid w:val="66F9EDF0"/>
    <w:rsid w:val="66FDABF9"/>
    <w:rsid w:val="66FEFDE9"/>
    <w:rsid w:val="67032815"/>
    <w:rsid w:val="670637CC"/>
    <w:rsid w:val="6707D56D"/>
    <w:rsid w:val="67082EB8"/>
    <w:rsid w:val="670EC32F"/>
    <w:rsid w:val="67159624"/>
    <w:rsid w:val="671847C6"/>
    <w:rsid w:val="67185526"/>
    <w:rsid w:val="67194B9B"/>
    <w:rsid w:val="6719645E"/>
    <w:rsid w:val="671DAAE3"/>
    <w:rsid w:val="671DE9C4"/>
    <w:rsid w:val="6722F5C0"/>
    <w:rsid w:val="67243886"/>
    <w:rsid w:val="67248346"/>
    <w:rsid w:val="67249C8E"/>
    <w:rsid w:val="6724F766"/>
    <w:rsid w:val="67257CE0"/>
    <w:rsid w:val="6725B27D"/>
    <w:rsid w:val="6725B69E"/>
    <w:rsid w:val="672694F6"/>
    <w:rsid w:val="672A3271"/>
    <w:rsid w:val="672BB2D8"/>
    <w:rsid w:val="672C66FC"/>
    <w:rsid w:val="672C8C86"/>
    <w:rsid w:val="673216C0"/>
    <w:rsid w:val="6732CE58"/>
    <w:rsid w:val="673361B5"/>
    <w:rsid w:val="6733635A"/>
    <w:rsid w:val="673C535C"/>
    <w:rsid w:val="673E07D1"/>
    <w:rsid w:val="6740D46B"/>
    <w:rsid w:val="6743DEB0"/>
    <w:rsid w:val="6744A9C2"/>
    <w:rsid w:val="67459893"/>
    <w:rsid w:val="6747202B"/>
    <w:rsid w:val="67477EF7"/>
    <w:rsid w:val="674C2C64"/>
    <w:rsid w:val="674CFB9F"/>
    <w:rsid w:val="674E9D99"/>
    <w:rsid w:val="674EF811"/>
    <w:rsid w:val="6751F714"/>
    <w:rsid w:val="67529278"/>
    <w:rsid w:val="67534D37"/>
    <w:rsid w:val="675474BE"/>
    <w:rsid w:val="675519FF"/>
    <w:rsid w:val="67580A2C"/>
    <w:rsid w:val="67582C0A"/>
    <w:rsid w:val="675AE223"/>
    <w:rsid w:val="675C6750"/>
    <w:rsid w:val="675CCF65"/>
    <w:rsid w:val="67600DB6"/>
    <w:rsid w:val="6761B26D"/>
    <w:rsid w:val="6765F4D3"/>
    <w:rsid w:val="6766465F"/>
    <w:rsid w:val="676847F1"/>
    <w:rsid w:val="676D552E"/>
    <w:rsid w:val="676FF8A0"/>
    <w:rsid w:val="67700D3B"/>
    <w:rsid w:val="6770B210"/>
    <w:rsid w:val="6773B4DB"/>
    <w:rsid w:val="6776044B"/>
    <w:rsid w:val="67768F3A"/>
    <w:rsid w:val="67783C60"/>
    <w:rsid w:val="6778B57D"/>
    <w:rsid w:val="677918E7"/>
    <w:rsid w:val="677938D1"/>
    <w:rsid w:val="677AFC87"/>
    <w:rsid w:val="677BCE69"/>
    <w:rsid w:val="677BD57E"/>
    <w:rsid w:val="677E1910"/>
    <w:rsid w:val="67824B0F"/>
    <w:rsid w:val="67854007"/>
    <w:rsid w:val="67882206"/>
    <w:rsid w:val="67884BFC"/>
    <w:rsid w:val="678873CC"/>
    <w:rsid w:val="678BFC37"/>
    <w:rsid w:val="678CD8E5"/>
    <w:rsid w:val="678D1025"/>
    <w:rsid w:val="678E66B6"/>
    <w:rsid w:val="678F663C"/>
    <w:rsid w:val="6790289F"/>
    <w:rsid w:val="679183C4"/>
    <w:rsid w:val="67923966"/>
    <w:rsid w:val="6797A592"/>
    <w:rsid w:val="679E6329"/>
    <w:rsid w:val="67A0C633"/>
    <w:rsid w:val="67A3EF4C"/>
    <w:rsid w:val="67A495FF"/>
    <w:rsid w:val="67AA5683"/>
    <w:rsid w:val="67AAAA90"/>
    <w:rsid w:val="67AB0301"/>
    <w:rsid w:val="67AD4209"/>
    <w:rsid w:val="67AE32A0"/>
    <w:rsid w:val="67AF032E"/>
    <w:rsid w:val="67B0024D"/>
    <w:rsid w:val="67B10DEC"/>
    <w:rsid w:val="67B21384"/>
    <w:rsid w:val="67B2F4A1"/>
    <w:rsid w:val="67B3FFE9"/>
    <w:rsid w:val="67B43B7F"/>
    <w:rsid w:val="67B60E48"/>
    <w:rsid w:val="67B72801"/>
    <w:rsid w:val="67B835A5"/>
    <w:rsid w:val="67B8FDDE"/>
    <w:rsid w:val="67BDFEB5"/>
    <w:rsid w:val="67C19181"/>
    <w:rsid w:val="67C1DE78"/>
    <w:rsid w:val="67C74629"/>
    <w:rsid w:val="67C7F1E3"/>
    <w:rsid w:val="67CA0989"/>
    <w:rsid w:val="67CDCBCF"/>
    <w:rsid w:val="67D06F43"/>
    <w:rsid w:val="67D2F504"/>
    <w:rsid w:val="67D47546"/>
    <w:rsid w:val="67D8C55E"/>
    <w:rsid w:val="67D8EE57"/>
    <w:rsid w:val="67D91996"/>
    <w:rsid w:val="67DB21D9"/>
    <w:rsid w:val="67DC022D"/>
    <w:rsid w:val="67DD42DF"/>
    <w:rsid w:val="67E1A9A9"/>
    <w:rsid w:val="67E23FAE"/>
    <w:rsid w:val="67E3D8BF"/>
    <w:rsid w:val="67E44F3B"/>
    <w:rsid w:val="67E70839"/>
    <w:rsid w:val="67E8543A"/>
    <w:rsid w:val="67E9B670"/>
    <w:rsid w:val="67F0321C"/>
    <w:rsid w:val="67F10F47"/>
    <w:rsid w:val="67F2E0BA"/>
    <w:rsid w:val="67F44A07"/>
    <w:rsid w:val="67F4B8A5"/>
    <w:rsid w:val="67F6C602"/>
    <w:rsid w:val="67F7D315"/>
    <w:rsid w:val="67FAA5D0"/>
    <w:rsid w:val="67FE37F6"/>
    <w:rsid w:val="67FE6501"/>
    <w:rsid w:val="67FF59AE"/>
    <w:rsid w:val="680269A3"/>
    <w:rsid w:val="6806272A"/>
    <w:rsid w:val="68070E3A"/>
    <w:rsid w:val="6808E5B3"/>
    <w:rsid w:val="680ADD6F"/>
    <w:rsid w:val="680F3574"/>
    <w:rsid w:val="68137053"/>
    <w:rsid w:val="681ABDB6"/>
    <w:rsid w:val="681D4B80"/>
    <w:rsid w:val="681D6A6A"/>
    <w:rsid w:val="681E3546"/>
    <w:rsid w:val="681EBCD4"/>
    <w:rsid w:val="6821AC94"/>
    <w:rsid w:val="68223739"/>
    <w:rsid w:val="68275AFD"/>
    <w:rsid w:val="6829F247"/>
    <w:rsid w:val="682BD784"/>
    <w:rsid w:val="68315E4C"/>
    <w:rsid w:val="68347B52"/>
    <w:rsid w:val="68378C84"/>
    <w:rsid w:val="6838B671"/>
    <w:rsid w:val="6839F385"/>
    <w:rsid w:val="683BEA6A"/>
    <w:rsid w:val="684065C2"/>
    <w:rsid w:val="6840F7F1"/>
    <w:rsid w:val="6843193F"/>
    <w:rsid w:val="68445A66"/>
    <w:rsid w:val="68445B99"/>
    <w:rsid w:val="68449FE6"/>
    <w:rsid w:val="68460C2D"/>
    <w:rsid w:val="68461256"/>
    <w:rsid w:val="68472C69"/>
    <w:rsid w:val="684AE6CC"/>
    <w:rsid w:val="684BB661"/>
    <w:rsid w:val="684F9F5E"/>
    <w:rsid w:val="68510E0C"/>
    <w:rsid w:val="6854CFEA"/>
    <w:rsid w:val="6856EEE1"/>
    <w:rsid w:val="6856F6AC"/>
    <w:rsid w:val="6857C0F4"/>
    <w:rsid w:val="685931BE"/>
    <w:rsid w:val="685BED6E"/>
    <w:rsid w:val="685CB150"/>
    <w:rsid w:val="68601E78"/>
    <w:rsid w:val="686261E3"/>
    <w:rsid w:val="686406D2"/>
    <w:rsid w:val="68644C23"/>
    <w:rsid w:val="686A8C19"/>
    <w:rsid w:val="686DA1F9"/>
    <w:rsid w:val="68714D82"/>
    <w:rsid w:val="6871685E"/>
    <w:rsid w:val="6871B49F"/>
    <w:rsid w:val="6873590A"/>
    <w:rsid w:val="68748436"/>
    <w:rsid w:val="6877916C"/>
    <w:rsid w:val="687CF867"/>
    <w:rsid w:val="68862586"/>
    <w:rsid w:val="68864CB5"/>
    <w:rsid w:val="6888FA17"/>
    <w:rsid w:val="688A53F2"/>
    <w:rsid w:val="688C5947"/>
    <w:rsid w:val="688E8AED"/>
    <w:rsid w:val="688FC149"/>
    <w:rsid w:val="689131C8"/>
    <w:rsid w:val="68916774"/>
    <w:rsid w:val="6891A7B4"/>
    <w:rsid w:val="6895A586"/>
    <w:rsid w:val="6896D462"/>
    <w:rsid w:val="6896E162"/>
    <w:rsid w:val="68995C57"/>
    <w:rsid w:val="689ABBAF"/>
    <w:rsid w:val="689CD75C"/>
    <w:rsid w:val="689DC78D"/>
    <w:rsid w:val="689DFED4"/>
    <w:rsid w:val="68A1EA52"/>
    <w:rsid w:val="68A2C2CD"/>
    <w:rsid w:val="68A2D3AF"/>
    <w:rsid w:val="68A3ACA1"/>
    <w:rsid w:val="68A5EDF1"/>
    <w:rsid w:val="68A73C2B"/>
    <w:rsid w:val="68A83D6A"/>
    <w:rsid w:val="68A8A497"/>
    <w:rsid w:val="68AAD29F"/>
    <w:rsid w:val="68AD975E"/>
    <w:rsid w:val="68AEDE7F"/>
    <w:rsid w:val="68B3D0AE"/>
    <w:rsid w:val="68B52D27"/>
    <w:rsid w:val="68B572C4"/>
    <w:rsid w:val="68B5A030"/>
    <w:rsid w:val="68B7EFCB"/>
    <w:rsid w:val="68B9F970"/>
    <w:rsid w:val="68BCA0DC"/>
    <w:rsid w:val="68BE0D62"/>
    <w:rsid w:val="68BE4850"/>
    <w:rsid w:val="68BFF834"/>
    <w:rsid w:val="68C313FB"/>
    <w:rsid w:val="68C3D961"/>
    <w:rsid w:val="68C5E187"/>
    <w:rsid w:val="68C5F380"/>
    <w:rsid w:val="68C8551F"/>
    <w:rsid w:val="68CF50E3"/>
    <w:rsid w:val="68D188EA"/>
    <w:rsid w:val="68D1F6B0"/>
    <w:rsid w:val="68D5DA85"/>
    <w:rsid w:val="68D62CB4"/>
    <w:rsid w:val="68D84488"/>
    <w:rsid w:val="68D9FDCF"/>
    <w:rsid w:val="68DB3B24"/>
    <w:rsid w:val="68E089E0"/>
    <w:rsid w:val="68E0F829"/>
    <w:rsid w:val="68E566A5"/>
    <w:rsid w:val="68E57ED1"/>
    <w:rsid w:val="68E6B390"/>
    <w:rsid w:val="68E720E8"/>
    <w:rsid w:val="68E7BDB8"/>
    <w:rsid w:val="68EC24AB"/>
    <w:rsid w:val="68EC3477"/>
    <w:rsid w:val="68ED294A"/>
    <w:rsid w:val="68ED3892"/>
    <w:rsid w:val="68F12799"/>
    <w:rsid w:val="68F2B528"/>
    <w:rsid w:val="68F5AD2A"/>
    <w:rsid w:val="68FA2B6C"/>
    <w:rsid w:val="68FB7C7F"/>
    <w:rsid w:val="68FD2720"/>
    <w:rsid w:val="69024867"/>
    <w:rsid w:val="690DCB57"/>
    <w:rsid w:val="690DDE20"/>
    <w:rsid w:val="690DE18E"/>
    <w:rsid w:val="690ED126"/>
    <w:rsid w:val="690F0A04"/>
    <w:rsid w:val="69118DCF"/>
    <w:rsid w:val="6919A112"/>
    <w:rsid w:val="691AA07D"/>
    <w:rsid w:val="6920FC27"/>
    <w:rsid w:val="6925E34C"/>
    <w:rsid w:val="69263260"/>
    <w:rsid w:val="69294A63"/>
    <w:rsid w:val="692BB1F9"/>
    <w:rsid w:val="692D2F81"/>
    <w:rsid w:val="692E6475"/>
    <w:rsid w:val="692F8685"/>
    <w:rsid w:val="693044E0"/>
    <w:rsid w:val="693349C8"/>
    <w:rsid w:val="6934DD30"/>
    <w:rsid w:val="6934FC9E"/>
    <w:rsid w:val="69353C51"/>
    <w:rsid w:val="69369360"/>
    <w:rsid w:val="693AED93"/>
    <w:rsid w:val="693AEFDD"/>
    <w:rsid w:val="693C14B7"/>
    <w:rsid w:val="69415823"/>
    <w:rsid w:val="69424C23"/>
    <w:rsid w:val="6943AB88"/>
    <w:rsid w:val="694A694F"/>
    <w:rsid w:val="694D5EBC"/>
    <w:rsid w:val="694E74EA"/>
    <w:rsid w:val="694EF6EF"/>
    <w:rsid w:val="6951147D"/>
    <w:rsid w:val="69513123"/>
    <w:rsid w:val="69552474"/>
    <w:rsid w:val="6955B5E5"/>
    <w:rsid w:val="69569278"/>
    <w:rsid w:val="6956FD47"/>
    <w:rsid w:val="695B2C2B"/>
    <w:rsid w:val="695BF453"/>
    <w:rsid w:val="695D5802"/>
    <w:rsid w:val="696009EB"/>
    <w:rsid w:val="6964D152"/>
    <w:rsid w:val="6967CAFF"/>
    <w:rsid w:val="69686FFE"/>
    <w:rsid w:val="696BD047"/>
    <w:rsid w:val="696C4FC0"/>
    <w:rsid w:val="696E192F"/>
    <w:rsid w:val="696EE359"/>
    <w:rsid w:val="6970EF62"/>
    <w:rsid w:val="6974F616"/>
    <w:rsid w:val="6974F938"/>
    <w:rsid w:val="697B4B1F"/>
    <w:rsid w:val="697B787E"/>
    <w:rsid w:val="697F335D"/>
    <w:rsid w:val="6981C9F8"/>
    <w:rsid w:val="6981DF9A"/>
    <w:rsid w:val="69883053"/>
    <w:rsid w:val="69889C8D"/>
    <w:rsid w:val="698B9EDD"/>
    <w:rsid w:val="698C93BD"/>
    <w:rsid w:val="698D0C64"/>
    <w:rsid w:val="698D76B7"/>
    <w:rsid w:val="698DFFF6"/>
    <w:rsid w:val="6992CB06"/>
    <w:rsid w:val="6993AC9C"/>
    <w:rsid w:val="6993C5F8"/>
    <w:rsid w:val="69948400"/>
    <w:rsid w:val="699511E9"/>
    <w:rsid w:val="699618A9"/>
    <w:rsid w:val="69972674"/>
    <w:rsid w:val="6997B5E2"/>
    <w:rsid w:val="69994E42"/>
    <w:rsid w:val="699C912D"/>
    <w:rsid w:val="699D798C"/>
    <w:rsid w:val="699DCD01"/>
    <w:rsid w:val="699DFF4C"/>
    <w:rsid w:val="69A02FB1"/>
    <w:rsid w:val="69A297A7"/>
    <w:rsid w:val="69A3E838"/>
    <w:rsid w:val="69A4505D"/>
    <w:rsid w:val="69A571F8"/>
    <w:rsid w:val="69A5FB19"/>
    <w:rsid w:val="69A79FA3"/>
    <w:rsid w:val="69A94991"/>
    <w:rsid w:val="69AE039D"/>
    <w:rsid w:val="69B02D0B"/>
    <w:rsid w:val="69B094A5"/>
    <w:rsid w:val="69B1A39D"/>
    <w:rsid w:val="69B66C7A"/>
    <w:rsid w:val="69B6C62F"/>
    <w:rsid w:val="69B9307B"/>
    <w:rsid w:val="69BA2D70"/>
    <w:rsid w:val="69BE8B71"/>
    <w:rsid w:val="69BF93A6"/>
    <w:rsid w:val="69C0A9F4"/>
    <w:rsid w:val="69C0C03F"/>
    <w:rsid w:val="69C33601"/>
    <w:rsid w:val="69C3C085"/>
    <w:rsid w:val="69C572BB"/>
    <w:rsid w:val="69C5D17B"/>
    <w:rsid w:val="69C7A173"/>
    <w:rsid w:val="69C8DEF6"/>
    <w:rsid w:val="69CB16DE"/>
    <w:rsid w:val="69CB5298"/>
    <w:rsid w:val="69CD7253"/>
    <w:rsid w:val="69D142EC"/>
    <w:rsid w:val="69D6B0AA"/>
    <w:rsid w:val="69DFE870"/>
    <w:rsid w:val="69E01868"/>
    <w:rsid w:val="69E0EC6C"/>
    <w:rsid w:val="69E2B697"/>
    <w:rsid w:val="69E30129"/>
    <w:rsid w:val="69E32BF9"/>
    <w:rsid w:val="69E339DB"/>
    <w:rsid w:val="69E59296"/>
    <w:rsid w:val="69E5AE0D"/>
    <w:rsid w:val="69E7D3D8"/>
    <w:rsid w:val="69ECD85E"/>
    <w:rsid w:val="69EDE2C9"/>
    <w:rsid w:val="69F34CB0"/>
    <w:rsid w:val="69F8C494"/>
    <w:rsid w:val="69FB6146"/>
    <w:rsid w:val="69FD56E5"/>
    <w:rsid w:val="6A00F020"/>
    <w:rsid w:val="6A0767A2"/>
    <w:rsid w:val="6A07B96D"/>
    <w:rsid w:val="6A09986B"/>
    <w:rsid w:val="6A0AE6BE"/>
    <w:rsid w:val="6A0BF2AE"/>
    <w:rsid w:val="6A0C05F3"/>
    <w:rsid w:val="6A0CC7A5"/>
    <w:rsid w:val="6A0D048A"/>
    <w:rsid w:val="6A0E963F"/>
    <w:rsid w:val="6A0F0D4A"/>
    <w:rsid w:val="6A10EFA2"/>
    <w:rsid w:val="6A1450F4"/>
    <w:rsid w:val="6A151A10"/>
    <w:rsid w:val="6A15B3BD"/>
    <w:rsid w:val="6A1687F5"/>
    <w:rsid w:val="6A16BF14"/>
    <w:rsid w:val="6A176D5F"/>
    <w:rsid w:val="6A178837"/>
    <w:rsid w:val="6A194573"/>
    <w:rsid w:val="6A19FF22"/>
    <w:rsid w:val="6A1A9B00"/>
    <w:rsid w:val="6A1C786E"/>
    <w:rsid w:val="6A1FC0A1"/>
    <w:rsid w:val="6A20072C"/>
    <w:rsid w:val="6A23C277"/>
    <w:rsid w:val="6A254BEE"/>
    <w:rsid w:val="6A283FB2"/>
    <w:rsid w:val="6A28926A"/>
    <w:rsid w:val="6A29F592"/>
    <w:rsid w:val="6A2C573B"/>
    <w:rsid w:val="6A2D969E"/>
    <w:rsid w:val="6A2F0B54"/>
    <w:rsid w:val="6A33C74B"/>
    <w:rsid w:val="6A35B3AE"/>
    <w:rsid w:val="6A365048"/>
    <w:rsid w:val="6A38CBB4"/>
    <w:rsid w:val="6A3B4A3D"/>
    <w:rsid w:val="6A3E6C34"/>
    <w:rsid w:val="6A471ABE"/>
    <w:rsid w:val="6A481BAB"/>
    <w:rsid w:val="6A491655"/>
    <w:rsid w:val="6A4ADB17"/>
    <w:rsid w:val="6A4B1163"/>
    <w:rsid w:val="6A4CF4CF"/>
    <w:rsid w:val="6A4E18E4"/>
    <w:rsid w:val="6A5720FD"/>
    <w:rsid w:val="6A584842"/>
    <w:rsid w:val="6A5A9239"/>
    <w:rsid w:val="6A5C7CB6"/>
    <w:rsid w:val="6A5CC4A8"/>
    <w:rsid w:val="6A5FE247"/>
    <w:rsid w:val="6A602E3A"/>
    <w:rsid w:val="6A60AB3E"/>
    <w:rsid w:val="6A637232"/>
    <w:rsid w:val="6A63D16E"/>
    <w:rsid w:val="6A644006"/>
    <w:rsid w:val="6A67573F"/>
    <w:rsid w:val="6A6CC918"/>
    <w:rsid w:val="6A6E0FC9"/>
    <w:rsid w:val="6A6F1198"/>
    <w:rsid w:val="6A749850"/>
    <w:rsid w:val="6A752FC2"/>
    <w:rsid w:val="6A7AA77C"/>
    <w:rsid w:val="6A7FFEEE"/>
    <w:rsid w:val="6A838B08"/>
    <w:rsid w:val="6A83C2C3"/>
    <w:rsid w:val="6A890D9D"/>
    <w:rsid w:val="6A89F881"/>
    <w:rsid w:val="6A8A948C"/>
    <w:rsid w:val="6A8ABE60"/>
    <w:rsid w:val="6A8B191B"/>
    <w:rsid w:val="6A8DEECC"/>
    <w:rsid w:val="6A8E5A62"/>
    <w:rsid w:val="6A8EDF15"/>
    <w:rsid w:val="6A935457"/>
    <w:rsid w:val="6A93BF63"/>
    <w:rsid w:val="6A9450AE"/>
    <w:rsid w:val="6A95DA3D"/>
    <w:rsid w:val="6A95E7A9"/>
    <w:rsid w:val="6A966536"/>
    <w:rsid w:val="6A96C48D"/>
    <w:rsid w:val="6A97C820"/>
    <w:rsid w:val="6A99202A"/>
    <w:rsid w:val="6A9A78CA"/>
    <w:rsid w:val="6A9AADE8"/>
    <w:rsid w:val="6A9CFBA2"/>
    <w:rsid w:val="6AA04B43"/>
    <w:rsid w:val="6AA2CCBD"/>
    <w:rsid w:val="6AA31BF0"/>
    <w:rsid w:val="6AA4FEC0"/>
    <w:rsid w:val="6AA5E6BA"/>
    <w:rsid w:val="6AA6886F"/>
    <w:rsid w:val="6AABC3FA"/>
    <w:rsid w:val="6AADA031"/>
    <w:rsid w:val="6AAE94B5"/>
    <w:rsid w:val="6AAEB47A"/>
    <w:rsid w:val="6AB0E580"/>
    <w:rsid w:val="6AB45F5C"/>
    <w:rsid w:val="6AB559E2"/>
    <w:rsid w:val="6AB6FA79"/>
    <w:rsid w:val="6AB79C1D"/>
    <w:rsid w:val="6AB9BE27"/>
    <w:rsid w:val="6ABA4EBD"/>
    <w:rsid w:val="6ABB0FEE"/>
    <w:rsid w:val="6ABBC912"/>
    <w:rsid w:val="6ABE12AD"/>
    <w:rsid w:val="6ABFC4CD"/>
    <w:rsid w:val="6AC340B5"/>
    <w:rsid w:val="6AC5F806"/>
    <w:rsid w:val="6AC6F413"/>
    <w:rsid w:val="6ACB0CDC"/>
    <w:rsid w:val="6ACCE041"/>
    <w:rsid w:val="6ACCEB45"/>
    <w:rsid w:val="6AD0D057"/>
    <w:rsid w:val="6AD1BC30"/>
    <w:rsid w:val="6AD2A0B5"/>
    <w:rsid w:val="6AD4CE82"/>
    <w:rsid w:val="6AD881A0"/>
    <w:rsid w:val="6AD912BB"/>
    <w:rsid w:val="6AD9F95A"/>
    <w:rsid w:val="6ADA1227"/>
    <w:rsid w:val="6ADA1548"/>
    <w:rsid w:val="6ADC75EE"/>
    <w:rsid w:val="6ADCB35B"/>
    <w:rsid w:val="6ADFEB85"/>
    <w:rsid w:val="6AE3C965"/>
    <w:rsid w:val="6AE49E61"/>
    <w:rsid w:val="6AE60EA3"/>
    <w:rsid w:val="6AE74B3E"/>
    <w:rsid w:val="6AE8BC42"/>
    <w:rsid w:val="6AE96423"/>
    <w:rsid w:val="6AEA4B5D"/>
    <w:rsid w:val="6AED2B0E"/>
    <w:rsid w:val="6AEE0FD2"/>
    <w:rsid w:val="6AEE43E5"/>
    <w:rsid w:val="6AEFE2DE"/>
    <w:rsid w:val="6AF2F9C4"/>
    <w:rsid w:val="6AF559A3"/>
    <w:rsid w:val="6AF61BD4"/>
    <w:rsid w:val="6AF8C135"/>
    <w:rsid w:val="6AFB67EA"/>
    <w:rsid w:val="6AFDF80F"/>
    <w:rsid w:val="6B00438B"/>
    <w:rsid w:val="6B016B98"/>
    <w:rsid w:val="6B0285C4"/>
    <w:rsid w:val="6B07E512"/>
    <w:rsid w:val="6B087719"/>
    <w:rsid w:val="6B0A7EE1"/>
    <w:rsid w:val="6B0C5B0D"/>
    <w:rsid w:val="6B134A5D"/>
    <w:rsid w:val="6B14DA7B"/>
    <w:rsid w:val="6B1730F4"/>
    <w:rsid w:val="6B1B9514"/>
    <w:rsid w:val="6B1EDF15"/>
    <w:rsid w:val="6B215EAB"/>
    <w:rsid w:val="6B22BAAA"/>
    <w:rsid w:val="6B24C345"/>
    <w:rsid w:val="6B254843"/>
    <w:rsid w:val="6B2AB498"/>
    <w:rsid w:val="6B2B0748"/>
    <w:rsid w:val="6B2C4C55"/>
    <w:rsid w:val="6B2CD971"/>
    <w:rsid w:val="6B2DD5E4"/>
    <w:rsid w:val="6B2DED1D"/>
    <w:rsid w:val="6B2EE504"/>
    <w:rsid w:val="6B2F2327"/>
    <w:rsid w:val="6B2FD0E2"/>
    <w:rsid w:val="6B309709"/>
    <w:rsid w:val="6B30B909"/>
    <w:rsid w:val="6B330D82"/>
    <w:rsid w:val="6B3510FB"/>
    <w:rsid w:val="6B3EB504"/>
    <w:rsid w:val="6B3EC099"/>
    <w:rsid w:val="6B40572B"/>
    <w:rsid w:val="6B405EBC"/>
    <w:rsid w:val="6B43D14A"/>
    <w:rsid w:val="6B4832A7"/>
    <w:rsid w:val="6B48A565"/>
    <w:rsid w:val="6B49FC71"/>
    <w:rsid w:val="6B4A2E3A"/>
    <w:rsid w:val="6B4F99E6"/>
    <w:rsid w:val="6B4FCCA7"/>
    <w:rsid w:val="6B51A86E"/>
    <w:rsid w:val="6B53DDAC"/>
    <w:rsid w:val="6B571480"/>
    <w:rsid w:val="6B586EB3"/>
    <w:rsid w:val="6B58ACD9"/>
    <w:rsid w:val="6B591829"/>
    <w:rsid w:val="6B59305E"/>
    <w:rsid w:val="6B5C6820"/>
    <w:rsid w:val="6B607594"/>
    <w:rsid w:val="6B62317D"/>
    <w:rsid w:val="6B626A27"/>
    <w:rsid w:val="6B6564AC"/>
    <w:rsid w:val="6B65E1B8"/>
    <w:rsid w:val="6B673475"/>
    <w:rsid w:val="6B692C43"/>
    <w:rsid w:val="6B6A07BF"/>
    <w:rsid w:val="6B6C4021"/>
    <w:rsid w:val="6B6D5522"/>
    <w:rsid w:val="6B6E91DE"/>
    <w:rsid w:val="6B6ED7DA"/>
    <w:rsid w:val="6B70E25E"/>
    <w:rsid w:val="6B728A93"/>
    <w:rsid w:val="6B73B7DB"/>
    <w:rsid w:val="6B7637F4"/>
    <w:rsid w:val="6B7B7D7A"/>
    <w:rsid w:val="6B7DBFFB"/>
    <w:rsid w:val="6B7FF6C5"/>
    <w:rsid w:val="6B855CA2"/>
    <w:rsid w:val="6B86EE3D"/>
    <w:rsid w:val="6B8733C2"/>
    <w:rsid w:val="6B87E994"/>
    <w:rsid w:val="6B89FEE2"/>
    <w:rsid w:val="6B8C5105"/>
    <w:rsid w:val="6B8C83A1"/>
    <w:rsid w:val="6B91F8BF"/>
    <w:rsid w:val="6B9230D7"/>
    <w:rsid w:val="6B93D87F"/>
    <w:rsid w:val="6B961D92"/>
    <w:rsid w:val="6B9DB3A2"/>
    <w:rsid w:val="6BA20BEE"/>
    <w:rsid w:val="6BA323BA"/>
    <w:rsid w:val="6BA47867"/>
    <w:rsid w:val="6BA6E8D8"/>
    <w:rsid w:val="6BA9A146"/>
    <w:rsid w:val="6BAB896D"/>
    <w:rsid w:val="6BACCF70"/>
    <w:rsid w:val="6BACD8A2"/>
    <w:rsid w:val="6BAD4868"/>
    <w:rsid w:val="6BB6C5BC"/>
    <w:rsid w:val="6BBC0FF4"/>
    <w:rsid w:val="6BC040A4"/>
    <w:rsid w:val="6BC297D1"/>
    <w:rsid w:val="6BC3EA15"/>
    <w:rsid w:val="6BC4DF41"/>
    <w:rsid w:val="6BC7C2E8"/>
    <w:rsid w:val="6BC8FE8B"/>
    <w:rsid w:val="6BC913AA"/>
    <w:rsid w:val="6BCB6684"/>
    <w:rsid w:val="6BCE5AB8"/>
    <w:rsid w:val="6BCFCCBE"/>
    <w:rsid w:val="6BD01F4A"/>
    <w:rsid w:val="6BD2EAB4"/>
    <w:rsid w:val="6BD6E714"/>
    <w:rsid w:val="6BD8B0B2"/>
    <w:rsid w:val="6BDC974C"/>
    <w:rsid w:val="6BDD2F6C"/>
    <w:rsid w:val="6BDE24BB"/>
    <w:rsid w:val="6BE11E26"/>
    <w:rsid w:val="6BE62A90"/>
    <w:rsid w:val="6BE702BF"/>
    <w:rsid w:val="6BE7A807"/>
    <w:rsid w:val="6BEC0927"/>
    <w:rsid w:val="6BF42F7C"/>
    <w:rsid w:val="6BF4A962"/>
    <w:rsid w:val="6BF4EFE0"/>
    <w:rsid w:val="6BF504AD"/>
    <w:rsid w:val="6BF51717"/>
    <w:rsid w:val="6BF622EE"/>
    <w:rsid w:val="6BF8898E"/>
    <w:rsid w:val="6BF97350"/>
    <w:rsid w:val="6BFA5724"/>
    <w:rsid w:val="6BFC5FE4"/>
    <w:rsid w:val="6BFC75FB"/>
    <w:rsid w:val="6BFDD43E"/>
    <w:rsid w:val="6C01E8FF"/>
    <w:rsid w:val="6C0331FA"/>
    <w:rsid w:val="6C040FB4"/>
    <w:rsid w:val="6C06B974"/>
    <w:rsid w:val="6C06D33F"/>
    <w:rsid w:val="6C073D90"/>
    <w:rsid w:val="6C098A5B"/>
    <w:rsid w:val="6C0AD16F"/>
    <w:rsid w:val="6C0E27DF"/>
    <w:rsid w:val="6C1A43CB"/>
    <w:rsid w:val="6C1AA3B7"/>
    <w:rsid w:val="6C1D3B45"/>
    <w:rsid w:val="6C1D6F37"/>
    <w:rsid w:val="6C1F3239"/>
    <w:rsid w:val="6C1F4729"/>
    <w:rsid w:val="6C1F6C8B"/>
    <w:rsid w:val="6C22C8D5"/>
    <w:rsid w:val="6C237203"/>
    <w:rsid w:val="6C2373D7"/>
    <w:rsid w:val="6C240C38"/>
    <w:rsid w:val="6C25FC08"/>
    <w:rsid w:val="6C282A10"/>
    <w:rsid w:val="6C2EAA9D"/>
    <w:rsid w:val="6C301C65"/>
    <w:rsid w:val="6C3125EC"/>
    <w:rsid w:val="6C35CA14"/>
    <w:rsid w:val="6C3E436C"/>
    <w:rsid w:val="6C3E546F"/>
    <w:rsid w:val="6C41ACB3"/>
    <w:rsid w:val="6C46923E"/>
    <w:rsid w:val="6C48801D"/>
    <w:rsid w:val="6C495BF5"/>
    <w:rsid w:val="6C497638"/>
    <w:rsid w:val="6C4B46E5"/>
    <w:rsid w:val="6C52B15E"/>
    <w:rsid w:val="6C558404"/>
    <w:rsid w:val="6C559BEF"/>
    <w:rsid w:val="6C589EFA"/>
    <w:rsid w:val="6C598330"/>
    <w:rsid w:val="6C5CA647"/>
    <w:rsid w:val="6C5D1F62"/>
    <w:rsid w:val="6C613767"/>
    <w:rsid w:val="6C617802"/>
    <w:rsid w:val="6C6337E6"/>
    <w:rsid w:val="6C66A052"/>
    <w:rsid w:val="6C66D1A0"/>
    <w:rsid w:val="6C6ACCC0"/>
    <w:rsid w:val="6C6F0C69"/>
    <w:rsid w:val="6C6FD466"/>
    <w:rsid w:val="6C7181CF"/>
    <w:rsid w:val="6C733ED1"/>
    <w:rsid w:val="6C758940"/>
    <w:rsid w:val="6C75FEEF"/>
    <w:rsid w:val="6C79303F"/>
    <w:rsid w:val="6C7D50D3"/>
    <w:rsid w:val="6C7E757A"/>
    <w:rsid w:val="6C8214BF"/>
    <w:rsid w:val="6C83CD3F"/>
    <w:rsid w:val="6C843756"/>
    <w:rsid w:val="6C86C3E9"/>
    <w:rsid w:val="6C8767F2"/>
    <w:rsid w:val="6C896107"/>
    <w:rsid w:val="6C8E1DD2"/>
    <w:rsid w:val="6C909DBB"/>
    <w:rsid w:val="6C910600"/>
    <w:rsid w:val="6C91FC4B"/>
    <w:rsid w:val="6C930668"/>
    <w:rsid w:val="6C951FF9"/>
    <w:rsid w:val="6C9596AD"/>
    <w:rsid w:val="6C96C2F0"/>
    <w:rsid w:val="6C986E57"/>
    <w:rsid w:val="6C98B31D"/>
    <w:rsid w:val="6C9BF30F"/>
    <w:rsid w:val="6C9CCC29"/>
    <w:rsid w:val="6C9E9EDD"/>
    <w:rsid w:val="6CA0464E"/>
    <w:rsid w:val="6CA4D0E1"/>
    <w:rsid w:val="6CA87DCA"/>
    <w:rsid w:val="6CA89B37"/>
    <w:rsid w:val="6CA90271"/>
    <w:rsid w:val="6CACEBF3"/>
    <w:rsid w:val="6CAD7FD6"/>
    <w:rsid w:val="6CAE2C45"/>
    <w:rsid w:val="6CAE5432"/>
    <w:rsid w:val="6CAFA58F"/>
    <w:rsid w:val="6CB08203"/>
    <w:rsid w:val="6CB4C78C"/>
    <w:rsid w:val="6CB80AAB"/>
    <w:rsid w:val="6CBEC86F"/>
    <w:rsid w:val="6CBF4935"/>
    <w:rsid w:val="6CC08133"/>
    <w:rsid w:val="6CC2E7B0"/>
    <w:rsid w:val="6CC4B0E6"/>
    <w:rsid w:val="6CC4C18B"/>
    <w:rsid w:val="6CC56DD6"/>
    <w:rsid w:val="6CC7901B"/>
    <w:rsid w:val="6CC8B430"/>
    <w:rsid w:val="6CC8DED7"/>
    <w:rsid w:val="6CCA5D9D"/>
    <w:rsid w:val="6CCC73F7"/>
    <w:rsid w:val="6CCE3FE6"/>
    <w:rsid w:val="6CCFB978"/>
    <w:rsid w:val="6CD1173D"/>
    <w:rsid w:val="6CD1E691"/>
    <w:rsid w:val="6CD4D08B"/>
    <w:rsid w:val="6CD503DA"/>
    <w:rsid w:val="6CD7B308"/>
    <w:rsid w:val="6CD80054"/>
    <w:rsid w:val="6CDB55E2"/>
    <w:rsid w:val="6CDDBBAB"/>
    <w:rsid w:val="6CDEFA20"/>
    <w:rsid w:val="6CE331B0"/>
    <w:rsid w:val="6CE409D5"/>
    <w:rsid w:val="6CE9702F"/>
    <w:rsid w:val="6CEB0F3E"/>
    <w:rsid w:val="6CEC2A46"/>
    <w:rsid w:val="6CEEEC86"/>
    <w:rsid w:val="6CEF2F04"/>
    <w:rsid w:val="6CF454F6"/>
    <w:rsid w:val="6CF54EAE"/>
    <w:rsid w:val="6CF81509"/>
    <w:rsid w:val="6CF84BA9"/>
    <w:rsid w:val="6CFAB553"/>
    <w:rsid w:val="6D028CBF"/>
    <w:rsid w:val="6D02DA9C"/>
    <w:rsid w:val="6D05241D"/>
    <w:rsid w:val="6D0614CA"/>
    <w:rsid w:val="6D070095"/>
    <w:rsid w:val="6D09686E"/>
    <w:rsid w:val="6D0B92B0"/>
    <w:rsid w:val="6D0C14A1"/>
    <w:rsid w:val="6D0DF316"/>
    <w:rsid w:val="6D0FD628"/>
    <w:rsid w:val="6D1055C3"/>
    <w:rsid w:val="6D10F5AB"/>
    <w:rsid w:val="6D112541"/>
    <w:rsid w:val="6D1361F9"/>
    <w:rsid w:val="6D15417B"/>
    <w:rsid w:val="6D16F0A7"/>
    <w:rsid w:val="6D17CBB8"/>
    <w:rsid w:val="6D184C4E"/>
    <w:rsid w:val="6D1BF309"/>
    <w:rsid w:val="6D1D544A"/>
    <w:rsid w:val="6D1E6AAD"/>
    <w:rsid w:val="6D1EBEBA"/>
    <w:rsid w:val="6D2295DA"/>
    <w:rsid w:val="6D22BE3F"/>
    <w:rsid w:val="6D251ED3"/>
    <w:rsid w:val="6D255168"/>
    <w:rsid w:val="6D2962E4"/>
    <w:rsid w:val="6D2CFBA4"/>
    <w:rsid w:val="6D2D0AFC"/>
    <w:rsid w:val="6D30534B"/>
    <w:rsid w:val="6D3088BC"/>
    <w:rsid w:val="6D339FB2"/>
    <w:rsid w:val="6D33F596"/>
    <w:rsid w:val="6D35E05E"/>
    <w:rsid w:val="6D3AF326"/>
    <w:rsid w:val="6D3E2F0C"/>
    <w:rsid w:val="6D4154E1"/>
    <w:rsid w:val="6D42057A"/>
    <w:rsid w:val="6D4299DA"/>
    <w:rsid w:val="6D44BBA4"/>
    <w:rsid w:val="6D45F292"/>
    <w:rsid w:val="6D476C89"/>
    <w:rsid w:val="6D4CEF7D"/>
    <w:rsid w:val="6D50BE0C"/>
    <w:rsid w:val="6D538AE1"/>
    <w:rsid w:val="6D54855D"/>
    <w:rsid w:val="6D54D545"/>
    <w:rsid w:val="6D5DF269"/>
    <w:rsid w:val="6D5F5329"/>
    <w:rsid w:val="6D61B1D1"/>
    <w:rsid w:val="6D639B9C"/>
    <w:rsid w:val="6D646289"/>
    <w:rsid w:val="6D65B304"/>
    <w:rsid w:val="6D65ED65"/>
    <w:rsid w:val="6D6681F0"/>
    <w:rsid w:val="6D686592"/>
    <w:rsid w:val="6D68E45B"/>
    <w:rsid w:val="6D693A39"/>
    <w:rsid w:val="6D6C7F56"/>
    <w:rsid w:val="6D6C8FF9"/>
    <w:rsid w:val="6D73B1CA"/>
    <w:rsid w:val="6D822BF5"/>
    <w:rsid w:val="6D843FA8"/>
    <w:rsid w:val="6D861A91"/>
    <w:rsid w:val="6D88BAD2"/>
    <w:rsid w:val="6D89D45E"/>
    <w:rsid w:val="6D8AE382"/>
    <w:rsid w:val="6D8BEE11"/>
    <w:rsid w:val="6D8D8A9F"/>
    <w:rsid w:val="6D8DCAC9"/>
    <w:rsid w:val="6D904C5F"/>
    <w:rsid w:val="6D92CF8D"/>
    <w:rsid w:val="6D970989"/>
    <w:rsid w:val="6D99D555"/>
    <w:rsid w:val="6D9AC9BF"/>
    <w:rsid w:val="6D9D6C91"/>
    <w:rsid w:val="6D9E39F7"/>
    <w:rsid w:val="6DA12CB8"/>
    <w:rsid w:val="6DA34EDF"/>
    <w:rsid w:val="6DA51BF1"/>
    <w:rsid w:val="6DA5D095"/>
    <w:rsid w:val="6DA72048"/>
    <w:rsid w:val="6DA79B4C"/>
    <w:rsid w:val="6DA8BF6E"/>
    <w:rsid w:val="6DAACD92"/>
    <w:rsid w:val="6DAFEE77"/>
    <w:rsid w:val="6DB0C9F9"/>
    <w:rsid w:val="6DB54392"/>
    <w:rsid w:val="6DB57571"/>
    <w:rsid w:val="6DB7BE1B"/>
    <w:rsid w:val="6DBC38D8"/>
    <w:rsid w:val="6DC20E00"/>
    <w:rsid w:val="6DC24980"/>
    <w:rsid w:val="6DC25124"/>
    <w:rsid w:val="6DC7044E"/>
    <w:rsid w:val="6DC932D4"/>
    <w:rsid w:val="6DCD5DC2"/>
    <w:rsid w:val="6DCDC84B"/>
    <w:rsid w:val="6DCF9018"/>
    <w:rsid w:val="6DD63F26"/>
    <w:rsid w:val="6DD731D5"/>
    <w:rsid w:val="6DD7497D"/>
    <w:rsid w:val="6DD7BEA6"/>
    <w:rsid w:val="6DD9925C"/>
    <w:rsid w:val="6DDB6799"/>
    <w:rsid w:val="6DDCE8CE"/>
    <w:rsid w:val="6DDDD5DE"/>
    <w:rsid w:val="6DDEC338"/>
    <w:rsid w:val="6DE1301D"/>
    <w:rsid w:val="6DE163EE"/>
    <w:rsid w:val="6DE1B487"/>
    <w:rsid w:val="6DE580B5"/>
    <w:rsid w:val="6DE5FCAD"/>
    <w:rsid w:val="6DE734A0"/>
    <w:rsid w:val="6DE9EE0A"/>
    <w:rsid w:val="6DEE9C08"/>
    <w:rsid w:val="6DEF4930"/>
    <w:rsid w:val="6DF138D3"/>
    <w:rsid w:val="6DF25FD4"/>
    <w:rsid w:val="6DF2D2C5"/>
    <w:rsid w:val="6DF4652E"/>
    <w:rsid w:val="6DF520F7"/>
    <w:rsid w:val="6DF6F1EB"/>
    <w:rsid w:val="6DF73617"/>
    <w:rsid w:val="6DFA719E"/>
    <w:rsid w:val="6DFD824C"/>
    <w:rsid w:val="6DFE2C14"/>
    <w:rsid w:val="6E067483"/>
    <w:rsid w:val="6E076A22"/>
    <w:rsid w:val="6E07A2D7"/>
    <w:rsid w:val="6E088478"/>
    <w:rsid w:val="6E08D832"/>
    <w:rsid w:val="6E0970B6"/>
    <w:rsid w:val="6E0CA051"/>
    <w:rsid w:val="6E0CFC99"/>
    <w:rsid w:val="6E0F9E98"/>
    <w:rsid w:val="6E0FAFBB"/>
    <w:rsid w:val="6E1489FE"/>
    <w:rsid w:val="6E1727E4"/>
    <w:rsid w:val="6E19ECFE"/>
    <w:rsid w:val="6E1E7E8C"/>
    <w:rsid w:val="6E2076D2"/>
    <w:rsid w:val="6E230F18"/>
    <w:rsid w:val="6E241C59"/>
    <w:rsid w:val="6E27C7B6"/>
    <w:rsid w:val="6E294B21"/>
    <w:rsid w:val="6E296B12"/>
    <w:rsid w:val="6E2A6915"/>
    <w:rsid w:val="6E2C1748"/>
    <w:rsid w:val="6E2F42E2"/>
    <w:rsid w:val="6E2F88CE"/>
    <w:rsid w:val="6E307896"/>
    <w:rsid w:val="6E30D5C9"/>
    <w:rsid w:val="6E360F2A"/>
    <w:rsid w:val="6E378BFA"/>
    <w:rsid w:val="6E39A064"/>
    <w:rsid w:val="6E3DE1EE"/>
    <w:rsid w:val="6E403EA3"/>
    <w:rsid w:val="6E418E6C"/>
    <w:rsid w:val="6E42BA03"/>
    <w:rsid w:val="6E42CFF3"/>
    <w:rsid w:val="6E437F6F"/>
    <w:rsid w:val="6E44387F"/>
    <w:rsid w:val="6E45931A"/>
    <w:rsid w:val="6E45C073"/>
    <w:rsid w:val="6E4BB5DA"/>
    <w:rsid w:val="6E4C2BB3"/>
    <w:rsid w:val="6E55E5A3"/>
    <w:rsid w:val="6E5653D9"/>
    <w:rsid w:val="6E591793"/>
    <w:rsid w:val="6E59E5AF"/>
    <w:rsid w:val="6E5DD8C1"/>
    <w:rsid w:val="6E5E97A1"/>
    <w:rsid w:val="6E5F3BA6"/>
    <w:rsid w:val="6E612F46"/>
    <w:rsid w:val="6E62AA9E"/>
    <w:rsid w:val="6E68497A"/>
    <w:rsid w:val="6E68A8F8"/>
    <w:rsid w:val="6E697924"/>
    <w:rsid w:val="6E6B21C5"/>
    <w:rsid w:val="6E6C2C1D"/>
    <w:rsid w:val="6E6EC7D2"/>
    <w:rsid w:val="6E70916C"/>
    <w:rsid w:val="6E7125ED"/>
    <w:rsid w:val="6E743ADC"/>
    <w:rsid w:val="6E75DF06"/>
    <w:rsid w:val="6E785174"/>
    <w:rsid w:val="6E78C4BF"/>
    <w:rsid w:val="6E7DB026"/>
    <w:rsid w:val="6E7EA0FA"/>
    <w:rsid w:val="6E7FF680"/>
    <w:rsid w:val="6E8066DF"/>
    <w:rsid w:val="6E858B59"/>
    <w:rsid w:val="6E8B27D8"/>
    <w:rsid w:val="6E8B4657"/>
    <w:rsid w:val="6E8FB195"/>
    <w:rsid w:val="6E93697E"/>
    <w:rsid w:val="6E93AD47"/>
    <w:rsid w:val="6E966DC3"/>
    <w:rsid w:val="6E9DEF0F"/>
    <w:rsid w:val="6E9EA679"/>
    <w:rsid w:val="6E9EF333"/>
    <w:rsid w:val="6E9F9DD9"/>
    <w:rsid w:val="6E9FADF6"/>
    <w:rsid w:val="6EA8A685"/>
    <w:rsid w:val="6EA8AB5C"/>
    <w:rsid w:val="6EA91296"/>
    <w:rsid w:val="6EA9396F"/>
    <w:rsid w:val="6EA962C1"/>
    <w:rsid w:val="6EA99310"/>
    <w:rsid w:val="6EAE948B"/>
    <w:rsid w:val="6EAF03D5"/>
    <w:rsid w:val="6EB06C5D"/>
    <w:rsid w:val="6EB3BEA1"/>
    <w:rsid w:val="6EB46779"/>
    <w:rsid w:val="6EB4AE02"/>
    <w:rsid w:val="6EB5DD40"/>
    <w:rsid w:val="6EB65754"/>
    <w:rsid w:val="6EB7E27D"/>
    <w:rsid w:val="6EB8851C"/>
    <w:rsid w:val="6EB91B8D"/>
    <w:rsid w:val="6EBB3C09"/>
    <w:rsid w:val="6EBCF093"/>
    <w:rsid w:val="6EBEEDEA"/>
    <w:rsid w:val="6EC4F70E"/>
    <w:rsid w:val="6EC71205"/>
    <w:rsid w:val="6EC73275"/>
    <w:rsid w:val="6EC9BB3A"/>
    <w:rsid w:val="6ECDAD97"/>
    <w:rsid w:val="6ECDBFF7"/>
    <w:rsid w:val="6ECF7AAE"/>
    <w:rsid w:val="6ED121A5"/>
    <w:rsid w:val="6ED3262E"/>
    <w:rsid w:val="6ED38C7D"/>
    <w:rsid w:val="6ED70A68"/>
    <w:rsid w:val="6ED8AE9D"/>
    <w:rsid w:val="6ED9E108"/>
    <w:rsid w:val="6EDE5043"/>
    <w:rsid w:val="6EE07451"/>
    <w:rsid w:val="6EE0AEE3"/>
    <w:rsid w:val="6EE44BF5"/>
    <w:rsid w:val="6EE4ABFB"/>
    <w:rsid w:val="6EE5C002"/>
    <w:rsid w:val="6EE5E694"/>
    <w:rsid w:val="6EE625CC"/>
    <w:rsid w:val="6EE667C9"/>
    <w:rsid w:val="6EEC03B1"/>
    <w:rsid w:val="6EEC819E"/>
    <w:rsid w:val="6EEF1BDA"/>
    <w:rsid w:val="6EF35AD2"/>
    <w:rsid w:val="6EF43D2D"/>
    <w:rsid w:val="6EF47657"/>
    <w:rsid w:val="6EF8D808"/>
    <w:rsid w:val="6EF993E8"/>
    <w:rsid w:val="6EFDA086"/>
    <w:rsid w:val="6EFEEFE8"/>
    <w:rsid w:val="6F01F01E"/>
    <w:rsid w:val="6F047DC3"/>
    <w:rsid w:val="6F0BD485"/>
    <w:rsid w:val="6F0E9D0F"/>
    <w:rsid w:val="6F10A174"/>
    <w:rsid w:val="6F112B0B"/>
    <w:rsid w:val="6F16C402"/>
    <w:rsid w:val="6F173627"/>
    <w:rsid w:val="6F1762FC"/>
    <w:rsid w:val="6F198CB7"/>
    <w:rsid w:val="6F1A970D"/>
    <w:rsid w:val="6F1FE562"/>
    <w:rsid w:val="6F200EC1"/>
    <w:rsid w:val="6F244F9E"/>
    <w:rsid w:val="6F260C17"/>
    <w:rsid w:val="6F28A69D"/>
    <w:rsid w:val="6F2B2104"/>
    <w:rsid w:val="6F2B2A13"/>
    <w:rsid w:val="6F2BE1B9"/>
    <w:rsid w:val="6F2E942B"/>
    <w:rsid w:val="6F305BF5"/>
    <w:rsid w:val="6F30EBA1"/>
    <w:rsid w:val="6F322CE8"/>
    <w:rsid w:val="6F32F94C"/>
    <w:rsid w:val="6F35920A"/>
    <w:rsid w:val="6F38DA6F"/>
    <w:rsid w:val="6F3BD013"/>
    <w:rsid w:val="6F3DB789"/>
    <w:rsid w:val="6F3F4031"/>
    <w:rsid w:val="6F40B641"/>
    <w:rsid w:val="6F410F20"/>
    <w:rsid w:val="6F420BEA"/>
    <w:rsid w:val="6F448B45"/>
    <w:rsid w:val="6F4B4F8A"/>
    <w:rsid w:val="6F4C5384"/>
    <w:rsid w:val="6F4EEF30"/>
    <w:rsid w:val="6F518D98"/>
    <w:rsid w:val="6F52237D"/>
    <w:rsid w:val="6F5270E4"/>
    <w:rsid w:val="6F5494F5"/>
    <w:rsid w:val="6F5931B6"/>
    <w:rsid w:val="6F60F9B5"/>
    <w:rsid w:val="6F683305"/>
    <w:rsid w:val="6F686C78"/>
    <w:rsid w:val="6F69D63B"/>
    <w:rsid w:val="6F6B6EEB"/>
    <w:rsid w:val="6F6BA76B"/>
    <w:rsid w:val="6F6C11EA"/>
    <w:rsid w:val="6F6CDBD2"/>
    <w:rsid w:val="6F709A1F"/>
    <w:rsid w:val="6F70B497"/>
    <w:rsid w:val="6F72BC77"/>
    <w:rsid w:val="6F75443D"/>
    <w:rsid w:val="6F754F6E"/>
    <w:rsid w:val="6F7AA4AA"/>
    <w:rsid w:val="6F7FBA03"/>
    <w:rsid w:val="6F82D20F"/>
    <w:rsid w:val="6F85DBCC"/>
    <w:rsid w:val="6F8CED74"/>
    <w:rsid w:val="6F8CF349"/>
    <w:rsid w:val="6F8DFE6D"/>
    <w:rsid w:val="6F8FEA24"/>
    <w:rsid w:val="6F91B6AD"/>
    <w:rsid w:val="6F91C6FE"/>
    <w:rsid w:val="6F9551CC"/>
    <w:rsid w:val="6FA021B7"/>
    <w:rsid w:val="6FA098B6"/>
    <w:rsid w:val="6FA0BB01"/>
    <w:rsid w:val="6FA1B70E"/>
    <w:rsid w:val="6FA3A2CB"/>
    <w:rsid w:val="6FA3D400"/>
    <w:rsid w:val="6FA3E720"/>
    <w:rsid w:val="6FAC5396"/>
    <w:rsid w:val="6FAF70A3"/>
    <w:rsid w:val="6FAF9F84"/>
    <w:rsid w:val="6FB0947C"/>
    <w:rsid w:val="6FB1B737"/>
    <w:rsid w:val="6FB1F0E9"/>
    <w:rsid w:val="6FB3FF2B"/>
    <w:rsid w:val="6FB40427"/>
    <w:rsid w:val="6FB4A78A"/>
    <w:rsid w:val="6FB7401A"/>
    <w:rsid w:val="6FB84662"/>
    <w:rsid w:val="6FBDA4E9"/>
    <w:rsid w:val="6FC09BC9"/>
    <w:rsid w:val="6FC1CBE3"/>
    <w:rsid w:val="6FC1E6A0"/>
    <w:rsid w:val="6FC2D383"/>
    <w:rsid w:val="6FC4A60F"/>
    <w:rsid w:val="6FC6FAE2"/>
    <w:rsid w:val="6FC7FAA5"/>
    <w:rsid w:val="6FC93F43"/>
    <w:rsid w:val="6FCA745D"/>
    <w:rsid w:val="6FCC3677"/>
    <w:rsid w:val="6FCD937A"/>
    <w:rsid w:val="6FCF73E7"/>
    <w:rsid w:val="6FD34B1A"/>
    <w:rsid w:val="6FD51655"/>
    <w:rsid w:val="6FD80400"/>
    <w:rsid w:val="6FD9B137"/>
    <w:rsid w:val="6FDCFCD0"/>
    <w:rsid w:val="6FE070B9"/>
    <w:rsid w:val="6FE07260"/>
    <w:rsid w:val="6FE0F727"/>
    <w:rsid w:val="6FE1ED48"/>
    <w:rsid w:val="6FE4F80A"/>
    <w:rsid w:val="6FE5B7F5"/>
    <w:rsid w:val="6FE6F059"/>
    <w:rsid w:val="6FEA5253"/>
    <w:rsid w:val="6FEF7FFC"/>
    <w:rsid w:val="6FF0FCCE"/>
    <w:rsid w:val="6FF28818"/>
    <w:rsid w:val="6FF2B177"/>
    <w:rsid w:val="6FF41EE6"/>
    <w:rsid w:val="6FF6542B"/>
    <w:rsid w:val="6FF8AE6E"/>
    <w:rsid w:val="6FF9B01A"/>
    <w:rsid w:val="6FF9D9F3"/>
    <w:rsid w:val="6FFC016E"/>
    <w:rsid w:val="6FFE06A5"/>
    <w:rsid w:val="70022725"/>
    <w:rsid w:val="7003D1DC"/>
    <w:rsid w:val="70099891"/>
    <w:rsid w:val="700B847A"/>
    <w:rsid w:val="700F3393"/>
    <w:rsid w:val="700F4C26"/>
    <w:rsid w:val="7010A7CD"/>
    <w:rsid w:val="7011DF2B"/>
    <w:rsid w:val="7012187B"/>
    <w:rsid w:val="7012518A"/>
    <w:rsid w:val="7014FAFE"/>
    <w:rsid w:val="7018C164"/>
    <w:rsid w:val="701A3333"/>
    <w:rsid w:val="701AB6CE"/>
    <w:rsid w:val="702075D4"/>
    <w:rsid w:val="70234B7C"/>
    <w:rsid w:val="70249C25"/>
    <w:rsid w:val="702B2CCA"/>
    <w:rsid w:val="702CEBFC"/>
    <w:rsid w:val="702D009B"/>
    <w:rsid w:val="702F539A"/>
    <w:rsid w:val="70324482"/>
    <w:rsid w:val="7034CB90"/>
    <w:rsid w:val="703795AF"/>
    <w:rsid w:val="7039155A"/>
    <w:rsid w:val="70396CC1"/>
    <w:rsid w:val="703B7942"/>
    <w:rsid w:val="703DCB6A"/>
    <w:rsid w:val="703DCEE8"/>
    <w:rsid w:val="7040EEDA"/>
    <w:rsid w:val="70424447"/>
    <w:rsid w:val="70446A27"/>
    <w:rsid w:val="70456D70"/>
    <w:rsid w:val="70457056"/>
    <w:rsid w:val="704588F3"/>
    <w:rsid w:val="70467FAD"/>
    <w:rsid w:val="70483D0D"/>
    <w:rsid w:val="704EA792"/>
    <w:rsid w:val="704F9968"/>
    <w:rsid w:val="70555813"/>
    <w:rsid w:val="70578A72"/>
    <w:rsid w:val="7058323B"/>
    <w:rsid w:val="70586228"/>
    <w:rsid w:val="705D6F03"/>
    <w:rsid w:val="705F44C7"/>
    <w:rsid w:val="705FC2E6"/>
    <w:rsid w:val="7068EA4C"/>
    <w:rsid w:val="7069EC48"/>
    <w:rsid w:val="706B496E"/>
    <w:rsid w:val="706C0B27"/>
    <w:rsid w:val="7071C175"/>
    <w:rsid w:val="70721355"/>
    <w:rsid w:val="7075B1B2"/>
    <w:rsid w:val="707704E9"/>
    <w:rsid w:val="707B8E12"/>
    <w:rsid w:val="707DDC0D"/>
    <w:rsid w:val="707E88CC"/>
    <w:rsid w:val="707F53F8"/>
    <w:rsid w:val="7082DE9A"/>
    <w:rsid w:val="708497E7"/>
    <w:rsid w:val="70892721"/>
    <w:rsid w:val="708E374F"/>
    <w:rsid w:val="708EE3D0"/>
    <w:rsid w:val="70901775"/>
    <w:rsid w:val="709157A0"/>
    <w:rsid w:val="7091EED4"/>
    <w:rsid w:val="7092B11A"/>
    <w:rsid w:val="70955C9B"/>
    <w:rsid w:val="7096BB54"/>
    <w:rsid w:val="709DECCA"/>
    <w:rsid w:val="709E845D"/>
    <w:rsid w:val="70A13DE1"/>
    <w:rsid w:val="70A2C92D"/>
    <w:rsid w:val="70A34C0E"/>
    <w:rsid w:val="70A499CE"/>
    <w:rsid w:val="70A5E431"/>
    <w:rsid w:val="70A6A65F"/>
    <w:rsid w:val="70A6B763"/>
    <w:rsid w:val="70A6C9FC"/>
    <w:rsid w:val="70AA8606"/>
    <w:rsid w:val="70AF3463"/>
    <w:rsid w:val="70AFB1D3"/>
    <w:rsid w:val="70B2D373"/>
    <w:rsid w:val="70B5F6EB"/>
    <w:rsid w:val="70B6E600"/>
    <w:rsid w:val="70B8C76E"/>
    <w:rsid w:val="70BB9CE1"/>
    <w:rsid w:val="70BBF439"/>
    <w:rsid w:val="70C0CA01"/>
    <w:rsid w:val="70C66828"/>
    <w:rsid w:val="70C74D05"/>
    <w:rsid w:val="70C8156E"/>
    <w:rsid w:val="70CEF88A"/>
    <w:rsid w:val="70CF8E41"/>
    <w:rsid w:val="70D11E48"/>
    <w:rsid w:val="70D38169"/>
    <w:rsid w:val="70D95857"/>
    <w:rsid w:val="70D997C5"/>
    <w:rsid w:val="70DA022C"/>
    <w:rsid w:val="70DAE39F"/>
    <w:rsid w:val="70DB49D3"/>
    <w:rsid w:val="70DE155C"/>
    <w:rsid w:val="70DE3CF0"/>
    <w:rsid w:val="70DEA121"/>
    <w:rsid w:val="70DF19F5"/>
    <w:rsid w:val="70DFE52E"/>
    <w:rsid w:val="70E33C7E"/>
    <w:rsid w:val="70E62784"/>
    <w:rsid w:val="70E8B05E"/>
    <w:rsid w:val="70EB702E"/>
    <w:rsid w:val="70ED9E0C"/>
    <w:rsid w:val="70EF8DF6"/>
    <w:rsid w:val="70F290FC"/>
    <w:rsid w:val="70F2F15A"/>
    <w:rsid w:val="70F4A0B6"/>
    <w:rsid w:val="70F4FA39"/>
    <w:rsid w:val="70F65285"/>
    <w:rsid w:val="70F9906A"/>
    <w:rsid w:val="70FA3DCD"/>
    <w:rsid w:val="70FAFD3E"/>
    <w:rsid w:val="70FB3B13"/>
    <w:rsid w:val="70FDD35D"/>
    <w:rsid w:val="7100352D"/>
    <w:rsid w:val="710211A7"/>
    <w:rsid w:val="7102678D"/>
    <w:rsid w:val="7106E800"/>
    <w:rsid w:val="7108B9D7"/>
    <w:rsid w:val="710AABD9"/>
    <w:rsid w:val="710C5CDF"/>
    <w:rsid w:val="711092F5"/>
    <w:rsid w:val="7110D320"/>
    <w:rsid w:val="7110EE0A"/>
    <w:rsid w:val="7112DF7B"/>
    <w:rsid w:val="71133A07"/>
    <w:rsid w:val="71158E33"/>
    <w:rsid w:val="7117349F"/>
    <w:rsid w:val="711A1B62"/>
    <w:rsid w:val="711CD49F"/>
    <w:rsid w:val="711D0EF8"/>
    <w:rsid w:val="711E0373"/>
    <w:rsid w:val="71201DDD"/>
    <w:rsid w:val="712353A3"/>
    <w:rsid w:val="71243765"/>
    <w:rsid w:val="7124B1EC"/>
    <w:rsid w:val="71252558"/>
    <w:rsid w:val="712572D7"/>
    <w:rsid w:val="712773CC"/>
    <w:rsid w:val="71299443"/>
    <w:rsid w:val="712ADD43"/>
    <w:rsid w:val="712BD771"/>
    <w:rsid w:val="712DA776"/>
    <w:rsid w:val="71305287"/>
    <w:rsid w:val="71316B18"/>
    <w:rsid w:val="713A55A0"/>
    <w:rsid w:val="713D14DC"/>
    <w:rsid w:val="713D81CA"/>
    <w:rsid w:val="713EBDD6"/>
    <w:rsid w:val="7141623E"/>
    <w:rsid w:val="714807BC"/>
    <w:rsid w:val="714B2950"/>
    <w:rsid w:val="714CD6E2"/>
    <w:rsid w:val="714FFFB6"/>
    <w:rsid w:val="71510AC0"/>
    <w:rsid w:val="71510FEA"/>
    <w:rsid w:val="71542156"/>
    <w:rsid w:val="71551476"/>
    <w:rsid w:val="715597BF"/>
    <w:rsid w:val="715BD0CD"/>
    <w:rsid w:val="715C578E"/>
    <w:rsid w:val="715D167E"/>
    <w:rsid w:val="715D8E47"/>
    <w:rsid w:val="71607847"/>
    <w:rsid w:val="7160F9D2"/>
    <w:rsid w:val="7161087D"/>
    <w:rsid w:val="71646106"/>
    <w:rsid w:val="716489C3"/>
    <w:rsid w:val="71664080"/>
    <w:rsid w:val="7166FF91"/>
    <w:rsid w:val="71681A08"/>
    <w:rsid w:val="716D4005"/>
    <w:rsid w:val="716DB655"/>
    <w:rsid w:val="716EC6F2"/>
    <w:rsid w:val="7170894F"/>
    <w:rsid w:val="7170C2B9"/>
    <w:rsid w:val="7171B1D5"/>
    <w:rsid w:val="71736B19"/>
    <w:rsid w:val="7173FAD4"/>
    <w:rsid w:val="71752292"/>
    <w:rsid w:val="717DA78F"/>
    <w:rsid w:val="7181267B"/>
    <w:rsid w:val="7181D1B9"/>
    <w:rsid w:val="7184725E"/>
    <w:rsid w:val="718510A0"/>
    <w:rsid w:val="718C73A2"/>
    <w:rsid w:val="718FD2BD"/>
    <w:rsid w:val="71931510"/>
    <w:rsid w:val="71944940"/>
    <w:rsid w:val="7194FA00"/>
    <w:rsid w:val="719509BC"/>
    <w:rsid w:val="71964D89"/>
    <w:rsid w:val="7199274D"/>
    <w:rsid w:val="719B1D72"/>
    <w:rsid w:val="719F84D2"/>
    <w:rsid w:val="719FA0BE"/>
    <w:rsid w:val="71A0D87C"/>
    <w:rsid w:val="71A38064"/>
    <w:rsid w:val="71A3B007"/>
    <w:rsid w:val="71A5127F"/>
    <w:rsid w:val="71A6050D"/>
    <w:rsid w:val="71A9DFF5"/>
    <w:rsid w:val="71AF4DB6"/>
    <w:rsid w:val="71B00983"/>
    <w:rsid w:val="71B13313"/>
    <w:rsid w:val="71B2A716"/>
    <w:rsid w:val="71B2FF93"/>
    <w:rsid w:val="71B72D7D"/>
    <w:rsid w:val="71B72FD2"/>
    <w:rsid w:val="71B76D69"/>
    <w:rsid w:val="71B794B3"/>
    <w:rsid w:val="71B9FE95"/>
    <w:rsid w:val="71BAB99D"/>
    <w:rsid w:val="71BFE0BC"/>
    <w:rsid w:val="71C1D75C"/>
    <w:rsid w:val="71C78C7F"/>
    <w:rsid w:val="71CEF4DA"/>
    <w:rsid w:val="71D41DBD"/>
    <w:rsid w:val="71D4C151"/>
    <w:rsid w:val="71D59DE5"/>
    <w:rsid w:val="71D6AED3"/>
    <w:rsid w:val="71D77ADE"/>
    <w:rsid w:val="71DA025F"/>
    <w:rsid w:val="71DAB060"/>
    <w:rsid w:val="71DB3774"/>
    <w:rsid w:val="71DC3B44"/>
    <w:rsid w:val="71DF1881"/>
    <w:rsid w:val="71E0FB2A"/>
    <w:rsid w:val="71E6A55D"/>
    <w:rsid w:val="71E7A847"/>
    <w:rsid w:val="71E87EBB"/>
    <w:rsid w:val="71E90D28"/>
    <w:rsid w:val="71EB2409"/>
    <w:rsid w:val="71ECE21F"/>
    <w:rsid w:val="71ED9DCF"/>
    <w:rsid w:val="71EFB34A"/>
    <w:rsid w:val="71F10D93"/>
    <w:rsid w:val="71F28DFC"/>
    <w:rsid w:val="71F5C49C"/>
    <w:rsid w:val="71F9F0DB"/>
    <w:rsid w:val="71FB392F"/>
    <w:rsid w:val="71FEAF7B"/>
    <w:rsid w:val="71FF5114"/>
    <w:rsid w:val="72001712"/>
    <w:rsid w:val="7201B73D"/>
    <w:rsid w:val="72023751"/>
    <w:rsid w:val="720841DF"/>
    <w:rsid w:val="7209052E"/>
    <w:rsid w:val="72091B35"/>
    <w:rsid w:val="7209DB36"/>
    <w:rsid w:val="720CD1B7"/>
    <w:rsid w:val="720DC2CA"/>
    <w:rsid w:val="72104943"/>
    <w:rsid w:val="7210B10D"/>
    <w:rsid w:val="721479D9"/>
    <w:rsid w:val="72158574"/>
    <w:rsid w:val="7217B1D4"/>
    <w:rsid w:val="7218FF4F"/>
    <w:rsid w:val="721B9EF0"/>
    <w:rsid w:val="721DED6D"/>
    <w:rsid w:val="721F6593"/>
    <w:rsid w:val="721F7E38"/>
    <w:rsid w:val="7220440F"/>
    <w:rsid w:val="7223FB0D"/>
    <w:rsid w:val="7225C392"/>
    <w:rsid w:val="72291CD0"/>
    <w:rsid w:val="722AA987"/>
    <w:rsid w:val="722B1836"/>
    <w:rsid w:val="722B9512"/>
    <w:rsid w:val="7230CAFE"/>
    <w:rsid w:val="7230E169"/>
    <w:rsid w:val="72317A36"/>
    <w:rsid w:val="72329D78"/>
    <w:rsid w:val="72336153"/>
    <w:rsid w:val="7239077D"/>
    <w:rsid w:val="723B9CCF"/>
    <w:rsid w:val="723D7AFD"/>
    <w:rsid w:val="723E1B64"/>
    <w:rsid w:val="723E4E19"/>
    <w:rsid w:val="723F4094"/>
    <w:rsid w:val="723FE551"/>
    <w:rsid w:val="7240D5A5"/>
    <w:rsid w:val="72440B03"/>
    <w:rsid w:val="724429A4"/>
    <w:rsid w:val="724492B4"/>
    <w:rsid w:val="72456273"/>
    <w:rsid w:val="72457C13"/>
    <w:rsid w:val="72459E02"/>
    <w:rsid w:val="72481F70"/>
    <w:rsid w:val="7249AB85"/>
    <w:rsid w:val="724A1A3E"/>
    <w:rsid w:val="724D6211"/>
    <w:rsid w:val="724DCBA9"/>
    <w:rsid w:val="724E0F8D"/>
    <w:rsid w:val="72501689"/>
    <w:rsid w:val="72548DE7"/>
    <w:rsid w:val="7254CE7C"/>
    <w:rsid w:val="7257F599"/>
    <w:rsid w:val="725B8CFA"/>
    <w:rsid w:val="725F6C59"/>
    <w:rsid w:val="725F892F"/>
    <w:rsid w:val="7264D4CF"/>
    <w:rsid w:val="72667201"/>
    <w:rsid w:val="726A4A43"/>
    <w:rsid w:val="726B7C54"/>
    <w:rsid w:val="7272B5A7"/>
    <w:rsid w:val="72758D37"/>
    <w:rsid w:val="7278C073"/>
    <w:rsid w:val="727A2ABF"/>
    <w:rsid w:val="727D2307"/>
    <w:rsid w:val="727D6262"/>
    <w:rsid w:val="727E2BAE"/>
    <w:rsid w:val="72807D99"/>
    <w:rsid w:val="7283BFFC"/>
    <w:rsid w:val="72854F6C"/>
    <w:rsid w:val="7285612C"/>
    <w:rsid w:val="728DCDCD"/>
    <w:rsid w:val="728EEEFD"/>
    <w:rsid w:val="729006DC"/>
    <w:rsid w:val="7295C461"/>
    <w:rsid w:val="729754A8"/>
    <w:rsid w:val="7298479B"/>
    <w:rsid w:val="7298C88D"/>
    <w:rsid w:val="72990FA3"/>
    <w:rsid w:val="72997201"/>
    <w:rsid w:val="729B710F"/>
    <w:rsid w:val="729BA389"/>
    <w:rsid w:val="729F2B38"/>
    <w:rsid w:val="729F9FEC"/>
    <w:rsid w:val="72A02583"/>
    <w:rsid w:val="72A02DB2"/>
    <w:rsid w:val="72A08893"/>
    <w:rsid w:val="72A821A4"/>
    <w:rsid w:val="72A8A1DD"/>
    <w:rsid w:val="72AA3DD8"/>
    <w:rsid w:val="72AAB410"/>
    <w:rsid w:val="72AFFC84"/>
    <w:rsid w:val="72B43C5C"/>
    <w:rsid w:val="72B4AD85"/>
    <w:rsid w:val="72B5AC9D"/>
    <w:rsid w:val="72B650CD"/>
    <w:rsid w:val="72B6D9D1"/>
    <w:rsid w:val="72B8FAE2"/>
    <w:rsid w:val="72B98F75"/>
    <w:rsid w:val="72BE025B"/>
    <w:rsid w:val="72BE6FEC"/>
    <w:rsid w:val="72C030F6"/>
    <w:rsid w:val="72C1C1F0"/>
    <w:rsid w:val="72C2422E"/>
    <w:rsid w:val="72C36DCA"/>
    <w:rsid w:val="72CFEF99"/>
    <w:rsid w:val="72D6C420"/>
    <w:rsid w:val="72DC1186"/>
    <w:rsid w:val="72DF1604"/>
    <w:rsid w:val="72DF7798"/>
    <w:rsid w:val="72E0E64C"/>
    <w:rsid w:val="72E28555"/>
    <w:rsid w:val="72E44201"/>
    <w:rsid w:val="72E4926B"/>
    <w:rsid w:val="72E5AAA6"/>
    <w:rsid w:val="72E5BF30"/>
    <w:rsid w:val="72E681D5"/>
    <w:rsid w:val="72E718B8"/>
    <w:rsid w:val="72EB25AD"/>
    <w:rsid w:val="72F032A1"/>
    <w:rsid w:val="72F0590C"/>
    <w:rsid w:val="72F0962E"/>
    <w:rsid w:val="72F0B33B"/>
    <w:rsid w:val="72F47A0F"/>
    <w:rsid w:val="72F4E1F7"/>
    <w:rsid w:val="72F6AF18"/>
    <w:rsid w:val="72F87EF6"/>
    <w:rsid w:val="72F890AC"/>
    <w:rsid w:val="72F96989"/>
    <w:rsid w:val="72FA4138"/>
    <w:rsid w:val="72FBC974"/>
    <w:rsid w:val="72FDF8AB"/>
    <w:rsid w:val="72FE8997"/>
    <w:rsid w:val="72FF18CC"/>
    <w:rsid w:val="7304A99A"/>
    <w:rsid w:val="7307199E"/>
    <w:rsid w:val="73094EB9"/>
    <w:rsid w:val="730B4404"/>
    <w:rsid w:val="730B77F8"/>
    <w:rsid w:val="730BA333"/>
    <w:rsid w:val="730BD767"/>
    <w:rsid w:val="7310B363"/>
    <w:rsid w:val="7310E2A7"/>
    <w:rsid w:val="73125903"/>
    <w:rsid w:val="73127F47"/>
    <w:rsid w:val="73138B3E"/>
    <w:rsid w:val="7315B595"/>
    <w:rsid w:val="731821EE"/>
    <w:rsid w:val="731B1336"/>
    <w:rsid w:val="731BBCE9"/>
    <w:rsid w:val="73228FE9"/>
    <w:rsid w:val="7323860B"/>
    <w:rsid w:val="7323A650"/>
    <w:rsid w:val="7323F642"/>
    <w:rsid w:val="7324EC8D"/>
    <w:rsid w:val="73265217"/>
    <w:rsid w:val="7327D074"/>
    <w:rsid w:val="7327D309"/>
    <w:rsid w:val="73288289"/>
    <w:rsid w:val="732A179F"/>
    <w:rsid w:val="732D739A"/>
    <w:rsid w:val="732E6A5F"/>
    <w:rsid w:val="73314297"/>
    <w:rsid w:val="7334AA75"/>
    <w:rsid w:val="733589B1"/>
    <w:rsid w:val="73399C4F"/>
    <w:rsid w:val="733A50B4"/>
    <w:rsid w:val="733E4491"/>
    <w:rsid w:val="733F617F"/>
    <w:rsid w:val="73408BD0"/>
    <w:rsid w:val="7343A38D"/>
    <w:rsid w:val="73460D4E"/>
    <w:rsid w:val="734642E9"/>
    <w:rsid w:val="735175C0"/>
    <w:rsid w:val="7351EAEF"/>
    <w:rsid w:val="7354C532"/>
    <w:rsid w:val="7356D8AD"/>
    <w:rsid w:val="73577AE9"/>
    <w:rsid w:val="735E5274"/>
    <w:rsid w:val="73619FDE"/>
    <w:rsid w:val="736603C9"/>
    <w:rsid w:val="7368CE19"/>
    <w:rsid w:val="73697B97"/>
    <w:rsid w:val="736BCFC8"/>
    <w:rsid w:val="736F6933"/>
    <w:rsid w:val="7370FF1D"/>
    <w:rsid w:val="7377A194"/>
    <w:rsid w:val="737B2776"/>
    <w:rsid w:val="737C0F25"/>
    <w:rsid w:val="737CD492"/>
    <w:rsid w:val="738498E9"/>
    <w:rsid w:val="738B0E59"/>
    <w:rsid w:val="73903B41"/>
    <w:rsid w:val="739102AD"/>
    <w:rsid w:val="739163F6"/>
    <w:rsid w:val="7393BA86"/>
    <w:rsid w:val="7395BE18"/>
    <w:rsid w:val="739725F7"/>
    <w:rsid w:val="739D22F2"/>
    <w:rsid w:val="739E67C9"/>
    <w:rsid w:val="739F1B3A"/>
    <w:rsid w:val="73A0AC78"/>
    <w:rsid w:val="73A9BA2A"/>
    <w:rsid w:val="73AC10AF"/>
    <w:rsid w:val="73AD8D84"/>
    <w:rsid w:val="73AE06E3"/>
    <w:rsid w:val="73AE673B"/>
    <w:rsid w:val="73AEE662"/>
    <w:rsid w:val="73AFE09D"/>
    <w:rsid w:val="73B3C852"/>
    <w:rsid w:val="73B5CC27"/>
    <w:rsid w:val="73B6D892"/>
    <w:rsid w:val="73BC113A"/>
    <w:rsid w:val="73BD414B"/>
    <w:rsid w:val="73BDEEC8"/>
    <w:rsid w:val="73C49ADF"/>
    <w:rsid w:val="73C667B6"/>
    <w:rsid w:val="73C7E52A"/>
    <w:rsid w:val="73C8DE72"/>
    <w:rsid w:val="73C95961"/>
    <w:rsid w:val="73CAA3A5"/>
    <w:rsid w:val="73CB2A30"/>
    <w:rsid w:val="73CBB844"/>
    <w:rsid w:val="73CE9E21"/>
    <w:rsid w:val="73CFE3D3"/>
    <w:rsid w:val="73D1537A"/>
    <w:rsid w:val="73D160B6"/>
    <w:rsid w:val="73D2167B"/>
    <w:rsid w:val="73D2573A"/>
    <w:rsid w:val="73D27820"/>
    <w:rsid w:val="73D28D25"/>
    <w:rsid w:val="73D881C3"/>
    <w:rsid w:val="73DD2877"/>
    <w:rsid w:val="73DEA731"/>
    <w:rsid w:val="73DF257B"/>
    <w:rsid w:val="73E3F83D"/>
    <w:rsid w:val="73E51ACB"/>
    <w:rsid w:val="73E8D789"/>
    <w:rsid w:val="73E8DEA1"/>
    <w:rsid w:val="73E925F8"/>
    <w:rsid w:val="73EBE338"/>
    <w:rsid w:val="73EF3BBD"/>
    <w:rsid w:val="73F0CC01"/>
    <w:rsid w:val="73F1DF7E"/>
    <w:rsid w:val="73F2245D"/>
    <w:rsid w:val="73F35D74"/>
    <w:rsid w:val="73F5C48E"/>
    <w:rsid w:val="73F95E11"/>
    <w:rsid w:val="73FA5865"/>
    <w:rsid w:val="73FCB960"/>
    <w:rsid w:val="73FD3E63"/>
    <w:rsid w:val="74039AE8"/>
    <w:rsid w:val="7403A7A7"/>
    <w:rsid w:val="74060E4A"/>
    <w:rsid w:val="74064656"/>
    <w:rsid w:val="740AD318"/>
    <w:rsid w:val="740B3E05"/>
    <w:rsid w:val="740DE774"/>
    <w:rsid w:val="740EAFAA"/>
    <w:rsid w:val="74129CC8"/>
    <w:rsid w:val="7416F740"/>
    <w:rsid w:val="741DDC17"/>
    <w:rsid w:val="74226361"/>
    <w:rsid w:val="74230DF8"/>
    <w:rsid w:val="742529B7"/>
    <w:rsid w:val="74254DC4"/>
    <w:rsid w:val="7425F46C"/>
    <w:rsid w:val="7426B2C8"/>
    <w:rsid w:val="7428B799"/>
    <w:rsid w:val="7429D0A7"/>
    <w:rsid w:val="742A8FC3"/>
    <w:rsid w:val="742C4267"/>
    <w:rsid w:val="742E3659"/>
    <w:rsid w:val="742F7818"/>
    <w:rsid w:val="742FC9A2"/>
    <w:rsid w:val="74301920"/>
    <w:rsid w:val="743350EC"/>
    <w:rsid w:val="74372DCA"/>
    <w:rsid w:val="7437D7B4"/>
    <w:rsid w:val="743B71C1"/>
    <w:rsid w:val="743C2BF8"/>
    <w:rsid w:val="743C9459"/>
    <w:rsid w:val="743D10EF"/>
    <w:rsid w:val="743E0DBF"/>
    <w:rsid w:val="7442644E"/>
    <w:rsid w:val="74447CCA"/>
    <w:rsid w:val="744710A5"/>
    <w:rsid w:val="74487BBE"/>
    <w:rsid w:val="7448ABAD"/>
    <w:rsid w:val="7448D2EE"/>
    <w:rsid w:val="7449F867"/>
    <w:rsid w:val="744BC9B1"/>
    <w:rsid w:val="74502714"/>
    <w:rsid w:val="745028D0"/>
    <w:rsid w:val="7451ABB5"/>
    <w:rsid w:val="745637AE"/>
    <w:rsid w:val="745E163A"/>
    <w:rsid w:val="7463B767"/>
    <w:rsid w:val="746501E5"/>
    <w:rsid w:val="7465CEB7"/>
    <w:rsid w:val="74662E03"/>
    <w:rsid w:val="74663213"/>
    <w:rsid w:val="74682D0D"/>
    <w:rsid w:val="7468DFA9"/>
    <w:rsid w:val="7468FD3B"/>
    <w:rsid w:val="7469564E"/>
    <w:rsid w:val="746A5E57"/>
    <w:rsid w:val="746B2BC0"/>
    <w:rsid w:val="746EBA7B"/>
    <w:rsid w:val="746EDE39"/>
    <w:rsid w:val="746FE94F"/>
    <w:rsid w:val="7470C8C0"/>
    <w:rsid w:val="7470E3F4"/>
    <w:rsid w:val="74711A20"/>
    <w:rsid w:val="7476F2A5"/>
    <w:rsid w:val="7477FF97"/>
    <w:rsid w:val="748314F7"/>
    <w:rsid w:val="74862757"/>
    <w:rsid w:val="7486D8E2"/>
    <w:rsid w:val="7487B5C9"/>
    <w:rsid w:val="7487C3E1"/>
    <w:rsid w:val="748D2E9F"/>
    <w:rsid w:val="7492DE00"/>
    <w:rsid w:val="749319C7"/>
    <w:rsid w:val="74999708"/>
    <w:rsid w:val="749AAF8B"/>
    <w:rsid w:val="749D21B4"/>
    <w:rsid w:val="749F1863"/>
    <w:rsid w:val="74A25269"/>
    <w:rsid w:val="74A2AA04"/>
    <w:rsid w:val="74A4B6E4"/>
    <w:rsid w:val="74A9200E"/>
    <w:rsid w:val="74A942D4"/>
    <w:rsid w:val="74ABE806"/>
    <w:rsid w:val="74AD88BD"/>
    <w:rsid w:val="74AE1979"/>
    <w:rsid w:val="74AEC332"/>
    <w:rsid w:val="74B19038"/>
    <w:rsid w:val="74B348D8"/>
    <w:rsid w:val="74B6DEE0"/>
    <w:rsid w:val="74BF7439"/>
    <w:rsid w:val="74BF7C90"/>
    <w:rsid w:val="74C41AD7"/>
    <w:rsid w:val="74C4C5D3"/>
    <w:rsid w:val="74C5688E"/>
    <w:rsid w:val="74C7BCAB"/>
    <w:rsid w:val="74C7EF93"/>
    <w:rsid w:val="74CB91FC"/>
    <w:rsid w:val="74CBC469"/>
    <w:rsid w:val="74CDCFC0"/>
    <w:rsid w:val="74CE6674"/>
    <w:rsid w:val="74D24370"/>
    <w:rsid w:val="74D351BA"/>
    <w:rsid w:val="74D38587"/>
    <w:rsid w:val="74D75BB3"/>
    <w:rsid w:val="74D94581"/>
    <w:rsid w:val="74DB6FB1"/>
    <w:rsid w:val="74DBBFE2"/>
    <w:rsid w:val="74DBD0D8"/>
    <w:rsid w:val="74DC86F1"/>
    <w:rsid w:val="74DDB1E2"/>
    <w:rsid w:val="74E29AAC"/>
    <w:rsid w:val="74E39856"/>
    <w:rsid w:val="74E5BDCF"/>
    <w:rsid w:val="74E5BDFD"/>
    <w:rsid w:val="74E6314C"/>
    <w:rsid w:val="74E73DBC"/>
    <w:rsid w:val="74E819E4"/>
    <w:rsid w:val="74E9A912"/>
    <w:rsid w:val="74E9CB21"/>
    <w:rsid w:val="74EC94BC"/>
    <w:rsid w:val="74ED11A8"/>
    <w:rsid w:val="74EF64E8"/>
    <w:rsid w:val="74EFCADB"/>
    <w:rsid w:val="74F0FBDC"/>
    <w:rsid w:val="74F1A549"/>
    <w:rsid w:val="74F21435"/>
    <w:rsid w:val="74F2D639"/>
    <w:rsid w:val="74F54FF5"/>
    <w:rsid w:val="74F659AF"/>
    <w:rsid w:val="74F6B169"/>
    <w:rsid w:val="74FAE6A0"/>
    <w:rsid w:val="74FBF2EF"/>
    <w:rsid w:val="74FD213F"/>
    <w:rsid w:val="75020FB8"/>
    <w:rsid w:val="750425A5"/>
    <w:rsid w:val="750E02ED"/>
    <w:rsid w:val="750E72D4"/>
    <w:rsid w:val="750F484E"/>
    <w:rsid w:val="750FDF1A"/>
    <w:rsid w:val="750FE05E"/>
    <w:rsid w:val="75104013"/>
    <w:rsid w:val="7515EE7C"/>
    <w:rsid w:val="75174EE4"/>
    <w:rsid w:val="7519709A"/>
    <w:rsid w:val="751D458D"/>
    <w:rsid w:val="751F64DB"/>
    <w:rsid w:val="7520F991"/>
    <w:rsid w:val="7523DD45"/>
    <w:rsid w:val="75241484"/>
    <w:rsid w:val="752472B1"/>
    <w:rsid w:val="752491CC"/>
    <w:rsid w:val="7524923E"/>
    <w:rsid w:val="75252F34"/>
    <w:rsid w:val="752688C7"/>
    <w:rsid w:val="75284284"/>
    <w:rsid w:val="752AADBA"/>
    <w:rsid w:val="752B436C"/>
    <w:rsid w:val="752C6CCD"/>
    <w:rsid w:val="752E2D88"/>
    <w:rsid w:val="752E6AC1"/>
    <w:rsid w:val="752F118F"/>
    <w:rsid w:val="7531071D"/>
    <w:rsid w:val="75312922"/>
    <w:rsid w:val="7531EE1B"/>
    <w:rsid w:val="75355EAE"/>
    <w:rsid w:val="75379B1C"/>
    <w:rsid w:val="7539E76C"/>
    <w:rsid w:val="753C46F5"/>
    <w:rsid w:val="75427B16"/>
    <w:rsid w:val="75428A35"/>
    <w:rsid w:val="7542AA0C"/>
    <w:rsid w:val="7542B101"/>
    <w:rsid w:val="7542C0B0"/>
    <w:rsid w:val="754367BA"/>
    <w:rsid w:val="75447071"/>
    <w:rsid w:val="754616D5"/>
    <w:rsid w:val="7548A315"/>
    <w:rsid w:val="754B2D4D"/>
    <w:rsid w:val="754B9181"/>
    <w:rsid w:val="754F4568"/>
    <w:rsid w:val="75505437"/>
    <w:rsid w:val="75509DD4"/>
    <w:rsid w:val="7551A702"/>
    <w:rsid w:val="7553DBAC"/>
    <w:rsid w:val="7554D511"/>
    <w:rsid w:val="75592C0A"/>
    <w:rsid w:val="755A5B18"/>
    <w:rsid w:val="755A9BD6"/>
    <w:rsid w:val="755F4B06"/>
    <w:rsid w:val="75608352"/>
    <w:rsid w:val="7560F275"/>
    <w:rsid w:val="756207F0"/>
    <w:rsid w:val="7563E817"/>
    <w:rsid w:val="7564952C"/>
    <w:rsid w:val="75649A8A"/>
    <w:rsid w:val="75650200"/>
    <w:rsid w:val="756753F0"/>
    <w:rsid w:val="756A8FA9"/>
    <w:rsid w:val="756B4AD5"/>
    <w:rsid w:val="756E333C"/>
    <w:rsid w:val="756FE842"/>
    <w:rsid w:val="7572510D"/>
    <w:rsid w:val="7574EF0F"/>
    <w:rsid w:val="757554F2"/>
    <w:rsid w:val="75762A16"/>
    <w:rsid w:val="75764007"/>
    <w:rsid w:val="75793459"/>
    <w:rsid w:val="757B9395"/>
    <w:rsid w:val="757E9BBE"/>
    <w:rsid w:val="757F2E74"/>
    <w:rsid w:val="758102A1"/>
    <w:rsid w:val="7581AE02"/>
    <w:rsid w:val="75860662"/>
    <w:rsid w:val="758792A6"/>
    <w:rsid w:val="7588A90D"/>
    <w:rsid w:val="7588BE96"/>
    <w:rsid w:val="7588CCEF"/>
    <w:rsid w:val="758D5F4D"/>
    <w:rsid w:val="758E1C46"/>
    <w:rsid w:val="758F3003"/>
    <w:rsid w:val="7591D24D"/>
    <w:rsid w:val="75970E8C"/>
    <w:rsid w:val="7597898F"/>
    <w:rsid w:val="7597DA3C"/>
    <w:rsid w:val="7598551C"/>
    <w:rsid w:val="75989152"/>
    <w:rsid w:val="75A32FA2"/>
    <w:rsid w:val="75A586BD"/>
    <w:rsid w:val="75AD7DE4"/>
    <w:rsid w:val="75B2BE94"/>
    <w:rsid w:val="75B3BA7E"/>
    <w:rsid w:val="75B5D36C"/>
    <w:rsid w:val="75B7470F"/>
    <w:rsid w:val="75B78709"/>
    <w:rsid w:val="75B9C0D1"/>
    <w:rsid w:val="75BBC985"/>
    <w:rsid w:val="75C13E52"/>
    <w:rsid w:val="75C144BA"/>
    <w:rsid w:val="75C1AF3A"/>
    <w:rsid w:val="75C32A92"/>
    <w:rsid w:val="75C381B0"/>
    <w:rsid w:val="75C3AAEE"/>
    <w:rsid w:val="75C87485"/>
    <w:rsid w:val="75C9DEA4"/>
    <w:rsid w:val="75CB1AFF"/>
    <w:rsid w:val="75CB659D"/>
    <w:rsid w:val="75CC9D63"/>
    <w:rsid w:val="75D00622"/>
    <w:rsid w:val="75D14BF4"/>
    <w:rsid w:val="75D29651"/>
    <w:rsid w:val="75D585F5"/>
    <w:rsid w:val="75D5E994"/>
    <w:rsid w:val="75D62A66"/>
    <w:rsid w:val="75D995D9"/>
    <w:rsid w:val="75DB5BBB"/>
    <w:rsid w:val="75DC2939"/>
    <w:rsid w:val="75E1B446"/>
    <w:rsid w:val="75E1F84C"/>
    <w:rsid w:val="75E4E595"/>
    <w:rsid w:val="75E77745"/>
    <w:rsid w:val="75E8485C"/>
    <w:rsid w:val="75EA036D"/>
    <w:rsid w:val="75EB5277"/>
    <w:rsid w:val="75EC65FD"/>
    <w:rsid w:val="75ECADFC"/>
    <w:rsid w:val="75EE3F99"/>
    <w:rsid w:val="75F092B3"/>
    <w:rsid w:val="75F51BAA"/>
    <w:rsid w:val="75F58B89"/>
    <w:rsid w:val="75F75A5C"/>
    <w:rsid w:val="75F7E023"/>
    <w:rsid w:val="75F80C26"/>
    <w:rsid w:val="75F8CB6C"/>
    <w:rsid w:val="75FAF399"/>
    <w:rsid w:val="75FE9132"/>
    <w:rsid w:val="75FF09F9"/>
    <w:rsid w:val="76009195"/>
    <w:rsid w:val="7600D579"/>
    <w:rsid w:val="760153B5"/>
    <w:rsid w:val="7604420D"/>
    <w:rsid w:val="760553EF"/>
    <w:rsid w:val="7606AA07"/>
    <w:rsid w:val="760A751B"/>
    <w:rsid w:val="760AB0A6"/>
    <w:rsid w:val="760C30A8"/>
    <w:rsid w:val="760F8B7D"/>
    <w:rsid w:val="7610D90A"/>
    <w:rsid w:val="7611A0A4"/>
    <w:rsid w:val="7612C3CD"/>
    <w:rsid w:val="76132E16"/>
    <w:rsid w:val="76145B84"/>
    <w:rsid w:val="7614B7C0"/>
    <w:rsid w:val="7614DF5F"/>
    <w:rsid w:val="761568A1"/>
    <w:rsid w:val="761A986A"/>
    <w:rsid w:val="7622BCA7"/>
    <w:rsid w:val="7622C44C"/>
    <w:rsid w:val="762926AF"/>
    <w:rsid w:val="762C2A7D"/>
    <w:rsid w:val="762C3678"/>
    <w:rsid w:val="762C70C2"/>
    <w:rsid w:val="762E7027"/>
    <w:rsid w:val="76356363"/>
    <w:rsid w:val="76360C1E"/>
    <w:rsid w:val="763AF2BA"/>
    <w:rsid w:val="763B754F"/>
    <w:rsid w:val="763B8221"/>
    <w:rsid w:val="763C236F"/>
    <w:rsid w:val="763F0CEB"/>
    <w:rsid w:val="763FAD4D"/>
    <w:rsid w:val="764472A9"/>
    <w:rsid w:val="764501F9"/>
    <w:rsid w:val="7646B185"/>
    <w:rsid w:val="764B8BE2"/>
    <w:rsid w:val="7650A7E3"/>
    <w:rsid w:val="7650FDE6"/>
    <w:rsid w:val="7652848A"/>
    <w:rsid w:val="76533D4A"/>
    <w:rsid w:val="7656A9A6"/>
    <w:rsid w:val="765ACDCC"/>
    <w:rsid w:val="765AD949"/>
    <w:rsid w:val="765B1F57"/>
    <w:rsid w:val="765B1FFD"/>
    <w:rsid w:val="765E165A"/>
    <w:rsid w:val="765E9D25"/>
    <w:rsid w:val="765EEED0"/>
    <w:rsid w:val="7660C59B"/>
    <w:rsid w:val="76629640"/>
    <w:rsid w:val="766323C1"/>
    <w:rsid w:val="76651AEF"/>
    <w:rsid w:val="7666345A"/>
    <w:rsid w:val="76682B5A"/>
    <w:rsid w:val="766835EC"/>
    <w:rsid w:val="766BFD5C"/>
    <w:rsid w:val="766D53A9"/>
    <w:rsid w:val="766DB422"/>
    <w:rsid w:val="766EC296"/>
    <w:rsid w:val="766F1ED5"/>
    <w:rsid w:val="7679B4B7"/>
    <w:rsid w:val="767AB6C1"/>
    <w:rsid w:val="767F340F"/>
    <w:rsid w:val="76831EF0"/>
    <w:rsid w:val="76859E61"/>
    <w:rsid w:val="7689CBD3"/>
    <w:rsid w:val="768A6452"/>
    <w:rsid w:val="768B29D4"/>
    <w:rsid w:val="768DA69E"/>
    <w:rsid w:val="768F48E5"/>
    <w:rsid w:val="76913D7E"/>
    <w:rsid w:val="7691B8F6"/>
    <w:rsid w:val="7698C88F"/>
    <w:rsid w:val="769A29E8"/>
    <w:rsid w:val="769BB6C1"/>
    <w:rsid w:val="769E087D"/>
    <w:rsid w:val="769E4868"/>
    <w:rsid w:val="769FDDE5"/>
    <w:rsid w:val="76A05FA9"/>
    <w:rsid w:val="76A0B976"/>
    <w:rsid w:val="76A59975"/>
    <w:rsid w:val="76A84C16"/>
    <w:rsid w:val="76A977C1"/>
    <w:rsid w:val="76AB34C6"/>
    <w:rsid w:val="76ABCA3B"/>
    <w:rsid w:val="76AE1846"/>
    <w:rsid w:val="76AF19CD"/>
    <w:rsid w:val="76B0FF06"/>
    <w:rsid w:val="76B111B7"/>
    <w:rsid w:val="76B553F8"/>
    <w:rsid w:val="76B8B763"/>
    <w:rsid w:val="76B9FFD5"/>
    <w:rsid w:val="76BBA2F9"/>
    <w:rsid w:val="76BEA8BD"/>
    <w:rsid w:val="76BEC0DD"/>
    <w:rsid w:val="76C75C0E"/>
    <w:rsid w:val="76C79451"/>
    <w:rsid w:val="76C7A2A5"/>
    <w:rsid w:val="76D3A246"/>
    <w:rsid w:val="76D59FCC"/>
    <w:rsid w:val="76D8A2DD"/>
    <w:rsid w:val="76D8F804"/>
    <w:rsid w:val="76DA05B9"/>
    <w:rsid w:val="76DBD280"/>
    <w:rsid w:val="76DF76A2"/>
    <w:rsid w:val="76E08492"/>
    <w:rsid w:val="76E12EDE"/>
    <w:rsid w:val="76E32560"/>
    <w:rsid w:val="76E4CDF8"/>
    <w:rsid w:val="76E4D709"/>
    <w:rsid w:val="76E791B9"/>
    <w:rsid w:val="76E8C08C"/>
    <w:rsid w:val="76E9490D"/>
    <w:rsid w:val="76EB0595"/>
    <w:rsid w:val="76EBEDE2"/>
    <w:rsid w:val="76EC7182"/>
    <w:rsid w:val="76EC991E"/>
    <w:rsid w:val="76EFD52A"/>
    <w:rsid w:val="76F1AB6D"/>
    <w:rsid w:val="76F22A83"/>
    <w:rsid w:val="76F25FCA"/>
    <w:rsid w:val="76F614B5"/>
    <w:rsid w:val="76F6EDA1"/>
    <w:rsid w:val="76F8E784"/>
    <w:rsid w:val="76FA75FB"/>
    <w:rsid w:val="76FCB607"/>
    <w:rsid w:val="76FCF5E9"/>
    <w:rsid w:val="76FE673B"/>
    <w:rsid w:val="770263A9"/>
    <w:rsid w:val="7704225E"/>
    <w:rsid w:val="7706D822"/>
    <w:rsid w:val="77076187"/>
    <w:rsid w:val="77078389"/>
    <w:rsid w:val="7707B619"/>
    <w:rsid w:val="77080089"/>
    <w:rsid w:val="770D5FD5"/>
    <w:rsid w:val="770E88EC"/>
    <w:rsid w:val="770F6D4F"/>
    <w:rsid w:val="770FB9B7"/>
    <w:rsid w:val="7712180D"/>
    <w:rsid w:val="771435A1"/>
    <w:rsid w:val="7716CC98"/>
    <w:rsid w:val="7716D00D"/>
    <w:rsid w:val="771701EC"/>
    <w:rsid w:val="77182CF3"/>
    <w:rsid w:val="771C5A71"/>
    <w:rsid w:val="7723B34B"/>
    <w:rsid w:val="772472E7"/>
    <w:rsid w:val="77255C16"/>
    <w:rsid w:val="77275973"/>
    <w:rsid w:val="7727E21A"/>
    <w:rsid w:val="7728C26E"/>
    <w:rsid w:val="772A6AC5"/>
    <w:rsid w:val="772E3379"/>
    <w:rsid w:val="772EE433"/>
    <w:rsid w:val="772EF4E8"/>
    <w:rsid w:val="7730163A"/>
    <w:rsid w:val="7730590D"/>
    <w:rsid w:val="77327E77"/>
    <w:rsid w:val="7732DA60"/>
    <w:rsid w:val="7734707B"/>
    <w:rsid w:val="77364462"/>
    <w:rsid w:val="77394E2F"/>
    <w:rsid w:val="773A234F"/>
    <w:rsid w:val="773CB1B9"/>
    <w:rsid w:val="773DE2B6"/>
    <w:rsid w:val="773E8EC0"/>
    <w:rsid w:val="774175E3"/>
    <w:rsid w:val="774237E8"/>
    <w:rsid w:val="7744F4ED"/>
    <w:rsid w:val="7746DA9D"/>
    <w:rsid w:val="774A0E45"/>
    <w:rsid w:val="774A9917"/>
    <w:rsid w:val="774B5DE0"/>
    <w:rsid w:val="774DAC92"/>
    <w:rsid w:val="774DC4C1"/>
    <w:rsid w:val="774DD0DA"/>
    <w:rsid w:val="774F1CB5"/>
    <w:rsid w:val="775030E4"/>
    <w:rsid w:val="77509A33"/>
    <w:rsid w:val="7750F74D"/>
    <w:rsid w:val="7751AE09"/>
    <w:rsid w:val="775A1525"/>
    <w:rsid w:val="775B542C"/>
    <w:rsid w:val="775B5867"/>
    <w:rsid w:val="775CE0E5"/>
    <w:rsid w:val="77608AD3"/>
    <w:rsid w:val="77615760"/>
    <w:rsid w:val="7764C135"/>
    <w:rsid w:val="7765198A"/>
    <w:rsid w:val="77668B93"/>
    <w:rsid w:val="776868A1"/>
    <w:rsid w:val="776B28F8"/>
    <w:rsid w:val="776BF924"/>
    <w:rsid w:val="776C6554"/>
    <w:rsid w:val="776CE4DB"/>
    <w:rsid w:val="7770A08E"/>
    <w:rsid w:val="7777A9DF"/>
    <w:rsid w:val="77798268"/>
    <w:rsid w:val="7779C612"/>
    <w:rsid w:val="777B078A"/>
    <w:rsid w:val="777B5FC2"/>
    <w:rsid w:val="777BF461"/>
    <w:rsid w:val="77860BF0"/>
    <w:rsid w:val="77878F16"/>
    <w:rsid w:val="778863DB"/>
    <w:rsid w:val="77894584"/>
    <w:rsid w:val="778A6423"/>
    <w:rsid w:val="778AAFF4"/>
    <w:rsid w:val="77905F9A"/>
    <w:rsid w:val="77911A89"/>
    <w:rsid w:val="7793547C"/>
    <w:rsid w:val="77947B38"/>
    <w:rsid w:val="7794B54E"/>
    <w:rsid w:val="779C6612"/>
    <w:rsid w:val="779F5261"/>
    <w:rsid w:val="77A329EA"/>
    <w:rsid w:val="77A37C01"/>
    <w:rsid w:val="77A50663"/>
    <w:rsid w:val="77AD2ADB"/>
    <w:rsid w:val="77AE4E5C"/>
    <w:rsid w:val="77B676FE"/>
    <w:rsid w:val="77B752E5"/>
    <w:rsid w:val="77B9B0FF"/>
    <w:rsid w:val="77BB2584"/>
    <w:rsid w:val="77BB9046"/>
    <w:rsid w:val="77BC0C45"/>
    <w:rsid w:val="77BC29EA"/>
    <w:rsid w:val="77BE0FBE"/>
    <w:rsid w:val="77BFBECC"/>
    <w:rsid w:val="77C2C2F2"/>
    <w:rsid w:val="77C362AB"/>
    <w:rsid w:val="77C41695"/>
    <w:rsid w:val="77C6CBBE"/>
    <w:rsid w:val="77C831C0"/>
    <w:rsid w:val="77CA448B"/>
    <w:rsid w:val="77CCA404"/>
    <w:rsid w:val="77D09683"/>
    <w:rsid w:val="77D3EDF6"/>
    <w:rsid w:val="77D64A4E"/>
    <w:rsid w:val="77D7658F"/>
    <w:rsid w:val="77DACAFC"/>
    <w:rsid w:val="77DD7E61"/>
    <w:rsid w:val="77DFDA60"/>
    <w:rsid w:val="77E26902"/>
    <w:rsid w:val="77E545BC"/>
    <w:rsid w:val="77E9DEC6"/>
    <w:rsid w:val="77EE396E"/>
    <w:rsid w:val="77F00003"/>
    <w:rsid w:val="77F01D0A"/>
    <w:rsid w:val="77F0779A"/>
    <w:rsid w:val="77F22FB9"/>
    <w:rsid w:val="77F24161"/>
    <w:rsid w:val="77F9BB1C"/>
    <w:rsid w:val="77FB2295"/>
    <w:rsid w:val="77FC1DDE"/>
    <w:rsid w:val="78002982"/>
    <w:rsid w:val="7805F88A"/>
    <w:rsid w:val="780A2F93"/>
    <w:rsid w:val="780BDEF8"/>
    <w:rsid w:val="780CFBF4"/>
    <w:rsid w:val="780E802D"/>
    <w:rsid w:val="780F0ECB"/>
    <w:rsid w:val="7810A404"/>
    <w:rsid w:val="78124097"/>
    <w:rsid w:val="7819AC7B"/>
    <w:rsid w:val="781DB54D"/>
    <w:rsid w:val="781DE24D"/>
    <w:rsid w:val="78200BBF"/>
    <w:rsid w:val="7820DBFC"/>
    <w:rsid w:val="78230F9E"/>
    <w:rsid w:val="7824CB43"/>
    <w:rsid w:val="7825A369"/>
    <w:rsid w:val="78288375"/>
    <w:rsid w:val="782C6848"/>
    <w:rsid w:val="782D0591"/>
    <w:rsid w:val="782F6D83"/>
    <w:rsid w:val="7833EFB8"/>
    <w:rsid w:val="783445D6"/>
    <w:rsid w:val="78355077"/>
    <w:rsid w:val="7836E4A4"/>
    <w:rsid w:val="7837F541"/>
    <w:rsid w:val="78388884"/>
    <w:rsid w:val="783B7CDD"/>
    <w:rsid w:val="783C31D4"/>
    <w:rsid w:val="783D8A34"/>
    <w:rsid w:val="783E2857"/>
    <w:rsid w:val="7840D7E7"/>
    <w:rsid w:val="7841C448"/>
    <w:rsid w:val="78445FDA"/>
    <w:rsid w:val="7846A375"/>
    <w:rsid w:val="78475429"/>
    <w:rsid w:val="7849D703"/>
    <w:rsid w:val="784B831D"/>
    <w:rsid w:val="784EF7D9"/>
    <w:rsid w:val="784F1CE4"/>
    <w:rsid w:val="78518EE8"/>
    <w:rsid w:val="78533558"/>
    <w:rsid w:val="7855C69E"/>
    <w:rsid w:val="78567C20"/>
    <w:rsid w:val="785737D8"/>
    <w:rsid w:val="7857DEA4"/>
    <w:rsid w:val="7857F606"/>
    <w:rsid w:val="785823AA"/>
    <w:rsid w:val="7859D7B8"/>
    <w:rsid w:val="785BFA0A"/>
    <w:rsid w:val="785D81C2"/>
    <w:rsid w:val="785DDEBA"/>
    <w:rsid w:val="785E378F"/>
    <w:rsid w:val="78606B25"/>
    <w:rsid w:val="7861D055"/>
    <w:rsid w:val="786265F4"/>
    <w:rsid w:val="7863000D"/>
    <w:rsid w:val="7864F8A1"/>
    <w:rsid w:val="7866B34B"/>
    <w:rsid w:val="786ADEB1"/>
    <w:rsid w:val="786B796F"/>
    <w:rsid w:val="786D5B8D"/>
    <w:rsid w:val="786E5598"/>
    <w:rsid w:val="786E8068"/>
    <w:rsid w:val="786EC3A9"/>
    <w:rsid w:val="7872D59E"/>
    <w:rsid w:val="7873832E"/>
    <w:rsid w:val="78741698"/>
    <w:rsid w:val="7878A1FE"/>
    <w:rsid w:val="787A1DAE"/>
    <w:rsid w:val="78817B4D"/>
    <w:rsid w:val="78831D6F"/>
    <w:rsid w:val="7884064A"/>
    <w:rsid w:val="7884D68B"/>
    <w:rsid w:val="788579D4"/>
    <w:rsid w:val="78876A61"/>
    <w:rsid w:val="78896349"/>
    <w:rsid w:val="788A3864"/>
    <w:rsid w:val="788D02A9"/>
    <w:rsid w:val="788DC313"/>
    <w:rsid w:val="788FE608"/>
    <w:rsid w:val="7891D005"/>
    <w:rsid w:val="789247C8"/>
    <w:rsid w:val="7892B89B"/>
    <w:rsid w:val="78937F06"/>
    <w:rsid w:val="7895E285"/>
    <w:rsid w:val="78966B80"/>
    <w:rsid w:val="78969A52"/>
    <w:rsid w:val="789C5C32"/>
    <w:rsid w:val="78A4F7A1"/>
    <w:rsid w:val="78A564C2"/>
    <w:rsid w:val="78A5BDBC"/>
    <w:rsid w:val="78A710DE"/>
    <w:rsid w:val="78A8DF38"/>
    <w:rsid w:val="78A9B5D3"/>
    <w:rsid w:val="78AB2C6E"/>
    <w:rsid w:val="78AB4002"/>
    <w:rsid w:val="78AD5636"/>
    <w:rsid w:val="78B094BF"/>
    <w:rsid w:val="78B35E3E"/>
    <w:rsid w:val="78B3A3ED"/>
    <w:rsid w:val="78B3BF63"/>
    <w:rsid w:val="78B62FEB"/>
    <w:rsid w:val="78B6E8FE"/>
    <w:rsid w:val="78BB511B"/>
    <w:rsid w:val="78C0167B"/>
    <w:rsid w:val="78C0C067"/>
    <w:rsid w:val="78C2198C"/>
    <w:rsid w:val="78C663A7"/>
    <w:rsid w:val="78C80FDA"/>
    <w:rsid w:val="78CA7331"/>
    <w:rsid w:val="78CE4C89"/>
    <w:rsid w:val="78CF2122"/>
    <w:rsid w:val="78D05A60"/>
    <w:rsid w:val="78D40379"/>
    <w:rsid w:val="78D4B0FE"/>
    <w:rsid w:val="78D7403B"/>
    <w:rsid w:val="78D77362"/>
    <w:rsid w:val="78DECCD9"/>
    <w:rsid w:val="78E13C2B"/>
    <w:rsid w:val="78E216C5"/>
    <w:rsid w:val="78E22567"/>
    <w:rsid w:val="78E6A88B"/>
    <w:rsid w:val="78E8EE61"/>
    <w:rsid w:val="78E94C76"/>
    <w:rsid w:val="78EEC887"/>
    <w:rsid w:val="78EFB916"/>
    <w:rsid w:val="78F1C93F"/>
    <w:rsid w:val="78F31745"/>
    <w:rsid w:val="78F31F73"/>
    <w:rsid w:val="78F4A9C9"/>
    <w:rsid w:val="78FAE4A1"/>
    <w:rsid w:val="78FBDADB"/>
    <w:rsid w:val="78FEA4B6"/>
    <w:rsid w:val="78FF5C28"/>
    <w:rsid w:val="7900DF9A"/>
    <w:rsid w:val="79049BBD"/>
    <w:rsid w:val="790BEC3F"/>
    <w:rsid w:val="791363FE"/>
    <w:rsid w:val="79141824"/>
    <w:rsid w:val="7919F7B3"/>
    <w:rsid w:val="791B60F4"/>
    <w:rsid w:val="791BCA39"/>
    <w:rsid w:val="7921A84E"/>
    <w:rsid w:val="79220631"/>
    <w:rsid w:val="79247C41"/>
    <w:rsid w:val="792513F4"/>
    <w:rsid w:val="792B9741"/>
    <w:rsid w:val="792C8A5E"/>
    <w:rsid w:val="792D63D0"/>
    <w:rsid w:val="792E6B89"/>
    <w:rsid w:val="792F2729"/>
    <w:rsid w:val="7930C73E"/>
    <w:rsid w:val="79315B70"/>
    <w:rsid w:val="7931922F"/>
    <w:rsid w:val="7936D595"/>
    <w:rsid w:val="79395C1A"/>
    <w:rsid w:val="793E28A5"/>
    <w:rsid w:val="793ECC14"/>
    <w:rsid w:val="793F3AB2"/>
    <w:rsid w:val="79420F82"/>
    <w:rsid w:val="79455C81"/>
    <w:rsid w:val="7945B7FB"/>
    <w:rsid w:val="7948B5C6"/>
    <w:rsid w:val="794BA92B"/>
    <w:rsid w:val="79526C15"/>
    <w:rsid w:val="79529FF2"/>
    <w:rsid w:val="7952DA30"/>
    <w:rsid w:val="795350FF"/>
    <w:rsid w:val="79588CD3"/>
    <w:rsid w:val="795A872F"/>
    <w:rsid w:val="795B858B"/>
    <w:rsid w:val="795D6A30"/>
    <w:rsid w:val="795EC6B9"/>
    <w:rsid w:val="795F5005"/>
    <w:rsid w:val="7961B361"/>
    <w:rsid w:val="7962DD2F"/>
    <w:rsid w:val="7963D579"/>
    <w:rsid w:val="7964CA47"/>
    <w:rsid w:val="7964F682"/>
    <w:rsid w:val="7966BE95"/>
    <w:rsid w:val="79682A29"/>
    <w:rsid w:val="796A90AC"/>
    <w:rsid w:val="79726ADD"/>
    <w:rsid w:val="7973C08E"/>
    <w:rsid w:val="79743AA0"/>
    <w:rsid w:val="7975BFE8"/>
    <w:rsid w:val="79774395"/>
    <w:rsid w:val="797F5606"/>
    <w:rsid w:val="79809516"/>
    <w:rsid w:val="79811965"/>
    <w:rsid w:val="7981E717"/>
    <w:rsid w:val="7982B3E4"/>
    <w:rsid w:val="79859B17"/>
    <w:rsid w:val="7986499B"/>
    <w:rsid w:val="798A3AE3"/>
    <w:rsid w:val="798D2DF3"/>
    <w:rsid w:val="798D2E58"/>
    <w:rsid w:val="79915EC0"/>
    <w:rsid w:val="7992A20E"/>
    <w:rsid w:val="7993BCFA"/>
    <w:rsid w:val="7994219D"/>
    <w:rsid w:val="7995E314"/>
    <w:rsid w:val="79963F8A"/>
    <w:rsid w:val="7998E13E"/>
    <w:rsid w:val="799DC51D"/>
    <w:rsid w:val="79A10B46"/>
    <w:rsid w:val="79A1BE49"/>
    <w:rsid w:val="79A3B0CC"/>
    <w:rsid w:val="79AA0B72"/>
    <w:rsid w:val="79ABFEF3"/>
    <w:rsid w:val="79B40D4A"/>
    <w:rsid w:val="79B6A2AB"/>
    <w:rsid w:val="79B7E893"/>
    <w:rsid w:val="79B9C4FE"/>
    <w:rsid w:val="79BBE9F3"/>
    <w:rsid w:val="79BD0E2F"/>
    <w:rsid w:val="79BF1E77"/>
    <w:rsid w:val="79C06649"/>
    <w:rsid w:val="79C097C4"/>
    <w:rsid w:val="79C10995"/>
    <w:rsid w:val="79C26254"/>
    <w:rsid w:val="79C327DD"/>
    <w:rsid w:val="79C3F39A"/>
    <w:rsid w:val="79C48B5E"/>
    <w:rsid w:val="79C5F594"/>
    <w:rsid w:val="79C7B12A"/>
    <w:rsid w:val="79C7DB11"/>
    <w:rsid w:val="79C928D1"/>
    <w:rsid w:val="79CB3139"/>
    <w:rsid w:val="79CFAA1D"/>
    <w:rsid w:val="79D41A21"/>
    <w:rsid w:val="79DB96FF"/>
    <w:rsid w:val="79DC50FF"/>
    <w:rsid w:val="79DDC1F4"/>
    <w:rsid w:val="79DEDCD8"/>
    <w:rsid w:val="79E23481"/>
    <w:rsid w:val="79E2FFB7"/>
    <w:rsid w:val="79E35D9D"/>
    <w:rsid w:val="79E41615"/>
    <w:rsid w:val="79E6A212"/>
    <w:rsid w:val="79E6C836"/>
    <w:rsid w:val="79E70694"/>
    <w:rsid w:val="79E74598"/>
    <w:rsid w:val="79E875C9"/>
    <w:rsid w:val="79E92B13"/>
    <w:rsid w:val="79E9CDCC"/>
    <w:rsid w:val="79EC8FC4"/>
    <w:rsid w:val="79EDD1AF"/>
    <w:rsid w:val="79F245AE"/>
    <w:rsid w:val="79F664FB"/>
    <w:rsid w:val="79F814DA"/>
    <w:rsid w:val="79F9C484"/>
    <w:rsid w:val="79FBCDAC"/>
    <w:rsid w:val="79FC8ED8"/>
    <w:rsid w:val="79FC95C9"/>
    <w:rsid w:val="79FCA514"/>
    <w:rsid w:val="79FD1C20"/>
    <w:rsid w:val="79FDB0F4"/>
    <w:rsid w:val="79FDC689"/>
    <w:rsid w:val="7A0443DF"/>
    <w:rsid w:val="7A044A54"/>
    <w:rsid w:val="7A062D18"/>
    <w:rsid w:val="7A15087E"/>
    <w:rsid w:val="7A1551D7"/>
    <w:rsid w:val="7A176B96"/>
    <w:rsid w:val="7A1CF5F2"/>
    <w:rsid w:val="7A1F9B94"/>
    <w:rsid w:val="7A1FEC0A"/>
    <w:rsid w:val="7A221EEC"/>
    <w:rsid w:val="7A229E24"/>
    <w:rsid w:val="7A230362"/>
    <w:rsid w:val="7A27F2A4"/>
    <w:rsid w:val="7A2FB50C"/>
    <w:rsid w:val="7A312E36"/>
    <w:rsid w:val="7A35B333"/>
    <w:rsid w:val="7A363A54"/>
    <w:rsid w:val="7A3A0C1D"/>
    <w:rsid w:val="7A3D15A3"/>
    <w:rsid w:val="7A3F31C2"/>
    <w:rsid w:val="7A42297A"/>
    <w:rsid w:val="7A43C934"/>
    <w:rsid w:val="7A455942"/>
    <w:rsid w:val="7A49E489"/>
    <w:rsid w:val="7A4ABE05"/>
    <w:rsid w:val="7A4C7DD1"/>
    <w:rsid w:val="7A4D3258"/>
    <w:rsid w:val="7A4DC8D3"/>
    <w:rsid w:val="7A5449E9"/>
    <w:rsid w:val="7A5717C6"/>
    <w:rsid w:val="7A59F84D"/>
    <w:rsid w:val="7A5C07D9"/>
    <w:rsid w:val="7A60FDC8"/>
    <w:rsid w:val="7A63C867"/>
    <w:rsid w:val="7A646CA2"/>
    <w:rsid w:val="7A666577"/>
    <w:rsid w:val="7A68E9E7"/>
    <w:rsid w:val="7A6B9F43"/>
    <w:rsid w:val="7A6B9FA9"/>
    <w:rsid w:val="7A6BA550"/>
    <w:rsid w:val="7A70BC1A"/>
    <w:rsid w:val="7A73D9AA"/>
    <w:rsid w:val="7A79EAD5"/>
    <w:rsid w:val="7A7A987D"/>
    <w:rsid w:val="7A8081CF"/>
    <w:rsid w:val="7A82BB66"/>
    <w:rsid w:val="7A83FA44"/>
    <w:rsid w:val="7A86ABA6"/>
    <w:rsid w:val="7A8BAB97"/>
    <w:rsid w:val="7A8C7E29"/>
    <w:rsid w:val="7A933A36"/>
    <w:rsid w:val="7A936A19"/>
    <w:rsid w:val="7A93DBE1"/>
    <w:rsid w:val="7A9613CE"/>
    <w:rsid w:val="7A98AEA3"/>
    <w:rsid w:val="7A9BD50F"/>
    <w:rsid w:val="7AA1680F"/>
    <w:rsid w:val="7AA21FE0"/>
    <w:rsid w:val="7AA22396"/>
    <w:rsid w:val="7AA2900A"/>
    <w:rsid w:val="7AA3BF52"/>
    <w:rsid w:val="7AA70957"/>
    <w:rsid w:val="7AAF1BC6"/>
    <w:rsid w:val="7AAF53A6"/>
    <w:rsid w:val="7AB148BB"/>
    <w:rsid w:val="7AB30599"/>
    <w:rsid w:val="7AB32F5E"/>
    <w:rsid w:val="7AB75304"/>
    <w:rsid w:val="7AB7B988"/>
    <w:rsid w:val="7AB82EB5"/>
    <w:rsid w:val="7ABA8EED"/>
    <w:rsid w:val="7ABBF05E"/>
    <w:rsid w:val="7ABDAC63"/>
    <w:rsid w:val="7ABEC6B0"/>
    <w:rsid w:val="7ABF3260"/>
    <w:rsid w:val="7ABF6E88"/>
    <w:rsid w:val="7AC28B27"/>
    <w:rsid w:val="7AC3CAED"/>
    <w:rsid w:val="7AC3E4F6"/>
    <w:rsid w:val="7AC7CF5C"/>
    <w:rsid w:val="7ACB0B5F"/>
    <w:rsid w:val="7ACDA252"/>
    <w:rsid w:val="7ACDB0E4"/>
    <w:rsid w:val="7ACE2E49"/>
    <w:rsid w:val="7ACE50BA"/>
    <w:rsid w:val="7ACFCA42"/>
    <w:rsid w:val="7AD089A9"/>
    <w:rsid w:val="7AD2CF20"/>
    <w:rsid w:val="7AD36A70"/>
    <w:rsid w:val="7AD49BCB"/>
    <w:rsid w:val="7AD76640"/>
    <w:rsid w:val="7AD85E28"/>
    <w:rsid w:val="7AD9CD8B"/>
    <w:rsid w:val="7ADA94D3"/>
    <w:rsid w:val="7AE1B330"/>
    <w:rsid w:val="7AE53292"/>
    <w:rsid w:val="7AE6EC98"/>
    <w:rsid w:val="7AE79001"/>
    <w:rsid w:val="7AE8481E"/>
    <w:rsid w:val="7AE9E685"/>
    <w:rsid w:val="7AEAF607"/>
    <w:rsid w:val="7AEB1025"/>
    <w:rsid w:val="7AEF01E3"/>
    <w:rsid w:val="7AEF2FB5"/>
    <w:rsid w:val="7AF0159D"/>
    <w:rsid w:val="7AF0B598"/>
    <w:rsid w:val="7AF1620D"/>
    <w:rsid w:val="7AF1D8BC"/>
    <w:rsid w:val="7AF24E40"/>
    <w:rsid w:val="7AF78501"/>
    <w:rsid w:val="7AF95E78"/>
    <w:rsid w:val="7AF96ADC"/>
    <w:rsid w:val="7AF98D29"/>
    <w:rsid w:val="7AFBE46E"/>
    <w:rsid w:val="7AFD3341"/>
    <w:rsid w:val="7AFE8DE1"/>
    <w:rsid w:val="7B011F76"/>
    <w:rsid w:val="7B044DA4"/>
    <w:rsid w:val="7B04CF29"/>
    <w:rsid w:val="7B072DD7"/>
    <w:rsid w:val="7B0B8313"/>
    <w:rsid w:val="7B0BE0D7"/>
    <w:rsid w:val="7B0CD7E0"/>
    <w:rsid w:val="7B0D5DD6"/>
    <w:rsid w:val="7B0E5D26"/>
    <w:rsid w:val="7B0EE31C"/>
    <w:rsid w:val="7B10D1F6"/>
    <w:rsid w:val="7B1359D6"/>
    <w:rsid w:val="7B15B788"/>
    <w:rsid w:val="7B171492"/>
    <w:rsid w:val="7B197B28"/>
    <w:rsid w:val="7B1A4318"/>
    <w:rsid w:val="7B1D91A7"/>
    <w:rsid w:val="7B1DCD80"/>
    <w:rsid w:val="7B1FC805"/>
    <w:rsid w:val="7B1FD138"/>
    <w:rsid w:val="7B22320A"/>
    <w:rsid w:val="7B27297B"/>
    <w:rsid w:val="7B273692"/>
    <w:rsid w:val="7B29F1D2"/>
    <w:rsid w:val="7B2A060E"/>
    <w:rsid w:val="7B2ACAD2"/>
    <w:rsid w:val="7B2E0BA8"/>
    <w:rsid w:val="7B2EC503"/>
    <w:rsid w:val="7B32DE56"/>
    <w:rsid w:val="7B33338B"/>
    <w:rsid w:val="7B363B0B"/>
    <w:rsid w:val="7B3A0D22"/>
    <w:rsid w:val="7B3BA4D5"/>
    <w:rsid w:val="7B3D359D"/>
    <w:rsid w:val="7B41CA52"/>
    <w:rsid w:val="7B49AEB8"/>
    <w:rsid w:val="7B4B1C0D"/>
    <w:rsid w:val="7B4C0B9E"/>
    <w:rsid w:val="7B4DE3DE"/>
    <w:rsid w:val="7B5154CE"/>
    <w:rsid w:val="7B533D95"/>
    <w:rsid w:val="7B58FF1E"/>
    <w:rsid w:val="7B5B14D8"/>
    <w:rsid w:val="7B5B7D57"/>
    <w:rsid w:val="7B5BD9D8"/>
    <w:rsid w:val="7B5C033A"/>
    <w:rsid w:val="7B5C6B53"/>
    <w:rsid w:val="7B5EB36E"/>
    <w:rsid w:val="7B629153"/>
    <w:rsid w:val="7B6543D6"/>
    <w:rsid w:val="7B66B438"/>
    <w:rsid w:val="7B697296"/>
    <w:rsid w:val="7B6BE7BF"/>
    <w:rsid w:val="7B720CC5"/>
    <w:rsid w:val="7B7249B8"/>
    <w:rsid w:val="7B72B4F8"/>
    <w:rsid w:val="7B73C0B7"/>
    <w:rsid w:val="7B763532"/>
    <w:rsid w:val="7B76A1BC"/>
    <w:rsid w:val="7B774041"/>
    <w:rsid w:val="7B7826C5"/>
    <w:rsid w:val="7B782912"/>
    <w:rsid w:val="7B7A952E"/>
    <w:rsid w:val="7B7AE87B"/>
    <w:rsid w:val="7B7D2565"/>
    <w:rsid w:val="7B7D7F1D"/>
    <w:rsid w:val="7B7F2BAA"/>
    <w:rsid w:val="7B801539"/>
    <w:rsid w:val="7B81F817"/>
    <w:rsid w:val="7B83B980"/>
    <w:rsid w:val="7B872D5D"/>
    <w:rsid w:val="7B8A59D7"/>
    <w:rsid w:val="7B8B1803"/>
    <w:rsid w:val="7B8DE48D"/>
    <w:rsid w:val="7B904E78"/>
    <w:rsid w:val="7B908516"/>
    <w:rsid w:val="7B94CE3E"/>
    <w:rsid w:val="7B956C15"/>
    <w:rsid w:val="7B95E0C9"/>
    <w:rsid w:val="7B9861F6"/>
    <w:rsid w:val="7B98FD63"/>
    <w:rsid w:val="7B99190A"/>
    <w:rsid w:val="7B9A68BA"/>
    <w:rsid w:val="7B9E9576"/>
    <w:rsid w:val="7B9F507B"/>
    <w:rsid w:val="7B9F5C2D"/>
    <w:rsid w:val="7BA0CB93"/>
    <w:rsid w:val="7BA2C720"/>
    <w:rsid w:val="7BA6240D"/>
    <w:rsid w:val="7BA6DEB9"/>
    <w:rsid w:val="7BA8B5D5"/>
    <w:rsid w:val="7BA8E51D"/>
    <w:rsid w:val="7BAB8D16"/>
    <w:rsid w:val="7BAC0B3C"/>
    <w:rsid w:val="7BACB49A"/>
    <w:rsid w:val="7BACC175"/>
    <w:rsid w:val="7BACE921"/>
    <w:rsid w:val="7BAD275A"/>
    <w:rsid w:val="7BAD8469"/>
    <w:rsid w:val="7BAF8CF8"/>
    <w:rsid w:val="7BB015AE"/>
    <w:rsid w:val="7BB02CA5"/>
    <w:rsid w:val="7BB0CE4D"/>
    <w:rsid w:val="7BB35087"/>
    <w:rsid w:val="7BB3A9CD"/>
    <w:rsid w:val="7BB42D3A"/>
    <w:rsid w:val="7BB45F61"/>
    <w:rsid w:val="7BB606E0"/>
    <w:rsid w:val="7BB77B60"/>
    <w:rsid w:val="7BBAD589"/>
    <w:rsid w:val="7BBBE22F"/>
    <w:rsid w:val="7BBC1DBE"/>
    <w:rsid w:val="7BC0CA8C"/>
    <w:rsid w:val="7BC26C65"/>
    <w:rsid w:val="7BC2E7B6"/>
    <w:rsid w:val="7BC4AAB6"/>
    <w:rsid w:val="7BCC6413"/>
    <w:rsid w:val="7BCF6640"/>
    <w:rsid w:val="7BCF71C8"/>
    <w:rsid w:val="7BD0D94C"/>
    <w:rsid w:val="7BD20729"/>
    <w:rsid w:val="7BD5FC22"/>
    <w:rsid w:val="7BD908EE"/>
    <w:rsid w:val="7BDAE56B"/>
    <w:rsid w:val="7BDD560D"/>
    <w:rsid w:val="7BE0096D"/>
    <w:rsid w:val="7BE7F380"/>
    <w:rsid w:val="7BEBCB7C"/>
    <w:rsid w:val="7BEC4F12"/>
    <w:rsid w:val="7BEC870F"/>
    <w:rsid w:val="7BF1C8A1"/>
    <w:rsid w:val="7BF5C9FF"/>
    <w:rsid w:val="7BF6C7CE"/>
    <w:rsid w:val="7BF78701"/>
    <w:rsid w:val="7BF81BD5"/>
    <w:rsid w:val="7BFB0031"/>
    <w:rsid w:val="7BFE2BE9"/>
    <w:rsid w:val="7C013257"/>
    <w:rsid w:val="7C01DA3B"/>
    <w:rsid w:val="7C01E06D"/>
    <w:rsid w:val="7C02374B"/>
    <w:rsid w:val="7C023B35"/>
    <w:rsid w:val="7C0DCA5C"/>
    <w:rsid w:val="7C1097AB"/>
    <w:rsid w:val="7C125DE8"/>
    <w:rsid w:val="7C128198"/>
    <w:rsid w:val="7C13BE76"/>
    <w:rsid w:val="7C1504AD"/>
    <w:rsid w:val="7C1522BA"/>
    <w:rsid w:val="7C179301"/>
    <w:rsid w:val="7C1A0F93"/>
    <w:rsid w:val="7C1C2B4A"/>
    <w:rsid w:val="7C1F66C2"/>
    <w:rsid w:val="7C22CB55"/>
    <w:rsid w:val="7C247445"/>
    <w:rsid w:val="7C2607B8"/>
    <w:rsid w:val="7C2634FD"/>
    <w:rsid w:val="7C27062C"/>
    <w:rsid w:val="7C2AF645"/>
    <w:rsid w:val="7C2B4DC9"/>
    <w:rsid w:val="7C2C0271"/>
    <w:rsid w:val="7C2D5203"/>
    <w:rsid w:val="7C3120CD"/>
    <w:rsid w:val="7C313E1E"/>
    <w:rsid w:val="7C315A60"/>
    <w:rsid w:val="7C328E5C"/>
    <w:rsid w:val="7C3604E5"/>
    <w:rsid w:val="7C3A7CC5"/>
    <w:rsid w:val="7C3A8196"/>
    <w:rsid w:val="7C3B5E9C"/>
    <w:rsid w:val="7C3BFBB6"/>
    <w:rsid w:val="7C3CA590"/>
    <w:rsid w:val="7C3CE119"/>
    <w:rsid w:val="7C422E84"/>
    <w:rsid w:val="7C422F5B"/>
    <w:rsid w:val="7C44E2DC"/>
    <w:rsid w:val="7C4944C6"/>
    <w:rsid w:val="7C4C9773"/>
    <w:rsid w:val="7C4DB40A"/>
    <w:rsid w:val="7C4E5947"/>
    <w:rsid w:val="7C4EB884"/>
    <w:rsid w:val="7C4EE728"/>
    <w:rsid w:val="7C526405"/>
    <w:rsid w:val="7C52D10D"/>
    <w:rsid w:val="7C5466E3"/>
    <w:rsid w:val="7C557872"/>
    <w:rsid w:val="7C563801"/>
    <w:rsid w:val="7C5731FF"/>
    <w:rsid w:val="7C59F02C"/>
    <w:rsid w:val="7C5A139B"/>
    <w:rsid w:val="7C63B06B"/>
    <w:rsid w:val="7C6649A3"/>
    <w:rsid w:val="7C6839DF"/>
    <w:rsid w:val="7C6A1737"/>
    <w:rsid w:val="7C6AB8AF"/>
    <w:rsid w:val="7C6AC501"/>
    <w:rsid w:val="7C6BB3C1"/>
    <w:rsid w:val="7C72E790"/>
    <w:rsid w:val="7C74FFDE"/>
    <w:rsid w:val="7C7865F7"/>
    <w:rsid w:val="7C78A4E7"/>
    <w:rsid w:val="7C78F365"/>
    <w:rsid w:val="7C79C64C"/>
    <w:rsid w:val="7C7FA755"/>
    <w:rsid w:val="7C822767"/>
    <w:rsid w:val="7C82B8A6"/>
    <w:rsid w:val="7C86DB23"/>
    <w:rsid w:val="7C86F038"/>
    <w:rsid w:val="7C89B72A"/>
    <w:rsid w:val="7C8C377E"/>
    <w:rsid w:val="7C92F3B7"/>
    <w:rsid w:val="7C9349CC"/>
    <w:rsid w:val="7C957CF5"/>
    <w:rsid w:val="7C9CE008"/>
    <w:rsid w:val="7C9D580B"/>
    <w:rsid w:val="7C9E67DF"/>
    <w:rsid w:val="7CA2C6E5"/>
    <w:rsid w:val="7CA6A7E5"/>
    <w:rsid w:val="7CA84048"/>
    <w:rsid w:val="7CAA5722"/>
    <w:rsid w:val="7CAE5C53"/>
    <w:rsid w:val="7CAEBAC5"/>
    <w:rsid w:val="7CAFA102"/>
    <w:rsid w:val="7CB0E488"/>
    <w:rsid w:val="7CB37672"/>
    <w:rsid w:val="7CB3F889"/>
    <w:rsid w:val="7CB54E1A"/>
    <w:rsid w:val="7CB65A27"/>
    <w:rsid w:val="7CBA5D56"/>
    <w:rsid w:val="7CBACB0A"/>
    <w:rsid w:val="7CBADE86"/>
    <w:rsid w:val="7CBB6FED"/>
    <w:rsid w:val="7CBC08AB"/>
    <w:rsid w:val="7CBC46DE"/>
    <w:rsid w:val="7CBCCDE7"/>
    <w:rsid w:val="7CC089B7"/>
    <w:rsid w:val="7CC16C8C"/>
    <w:rsid w:val="7CC22961"/>
    <w:rsid w:val="7CC6B02A"/>
    <w:rsid w:val="7CC80C11"/>
    <w:rsid w:val="7CCC78C6"/>
    <w:rsid w:val="7CCCD786"/>
    <w:rsid w:val="7CCE4D2B"/>
    <w:rsid w:val="7CCEBD89"/>
    <w:rsid w:val="7CD02B54"/>
    <w:rsid w:val="7CD121AB"/>
    <w:rsid w:val="7CD1B2FB"/>
    <w:rsid w:val="7CD25FF3"/>
    <w:rsid w:val="7CD41CFB"/>
    <w:rsid w:val="7CD4C775"/>
    <w:rsid w:val="7CD80C4C"/>
    <w:rsid w:val="7CD8650B"/>
    <w:rsid w:val="7CDCDB01"/>
    <w:rsid w:val="7CDFB4D3"/>
    <w:rsid w:val="7CE2CB4D"/>
    <w:rsid w:val="7CE4B355"/>
    <w:rsid w:val="7CE939C6"/>
    <w:rsid w:val="7CEAE0A7"/>
    <w:rsid w:val="7CEB8052"/>
    <w:rsid w:val="7CED6DC2"/>
    <w:rsid w:val="7CEE8C26"/>
    <w:rsid w:val="7CF0AA94"/>
    <w:rsid w:val="7CF170F7"/>
    <w:rsid w:val="7CF171F3"/>
    <w:rsid w:val="7CF4471F"/>
    <w:rsid w:val="7CF46788"/>
    <w:rsid w:val="7CF6C6DA"/>
    <w:rsid w:val="7CF7498B"/>
    <w:rsid w:val="7CF87913"/>
    <w:rsid w:val="7CF8FBE4"/>
    <w:rsid w:val="7CF98E5E"/>
    <w:rsid w:val="7D017C3F"/>
    <w:rsid w:val="7D0188EE"/>
    <w:rsid w:val="7D05933D"/>
    <w:rsid w:val="7D0827FB"/>
    <w:rsid w:val="7D084AD7"/>
    <w:rsid w:val="7D09DADD"/>
    <w:rsid w:val="7D0AC922"/>
    <w:rsid w:val="7D0BE760"/>
    <w:rsid w:val="7D0FE0D7"/>
    <w:rsid w:val="7D0FE0E7"/>
    <w:rsid w:val="7D11BE65"/>
    <w:rsid w:val="7D11FC38"/>
    <w:rsid w:val="7D158163"/>
    <w:rsid w:val="7D15999C"/>
    <w:rsid w:val="7D1854C0"/>
    <w:rsid w:val="7D1ABBD8"/>
    <w:rsid w:val="7D1BBF30"/>
    <w:rsid w:val="7D1CD033"/>
    <w:rsid w:val="7D20B60A"/>
    <w:rsid w:val="7D2315B7"/>
    <w:rsid w:val="7D23C683"/>
    <w:rsid w:val="7D23FC33"/>
    <w:rsid w:val="7D2550A3"/>
    <w:rsid w:val="7D25EDD0"/>
    <w:rsid w:val="7D2605B0"/>
    <w:rsid w:val="7D2894EF"/>
    <w:rsid w:val="7D2B9DCA"/>
    <w:rsid w:val="7D2C08E5"/>
    <w:rsid w:val="7D3597AC"/>
    <w:rsid w:val="7D38EC34"/>
    <w:rsid w:val="7D3BE53C"/>
    <w:rsid w:val="7D3D0C40"/>
    <w:rsid w:val="7D3F11F8"/>
    <w:rsid w:val="7D42A62E"/>
    <w:rsid w:val="7D43FDD3"/>
    <w:rsid w:val="7D45CB38"/>
    <w:rsid w:val="7D47D6AE"/>
    <w:rsid w:val="7D4F0F56"/>
    <w:rsid w:val="7D4F3E85"/>
    <w:rsid w:val="7D52F253"/>
    <w:rsid w:val="7D540495"/>
    <w:rsid w:val="7D568404"/>
    <w:rsid w:val="7D5B01F1"/>
    <w:rsid w:val="7D5C0EE0"/>
    <w:rsid w:val="7D64A3A0"/>
    <w:rsid w:val="7D666905"/>
    <w:rsid w:val="7D677B0D"/>
    <w:rsid w:val="7D681383"/>
    <w:rsid w:val="7D6D8AFE"/>
    <w:rsid w:val="7D6FDC80"/>
    <w:rsid w:val="7D71F6EB"/>
    <w:rsid w:val="7D72615A"/>
    <w:rsid w:val="7D750D94"/>
    <w:rsid w:val="7D76721C"/>
    <w:rsid w:val="7D777A22"/>
    <w:rsid w:val="7D7BDC31"/>
    <w:rsid w:val="7D7E2E56"/>
    <w:rsid w:val="7D823426"/>
    <w:rsid w:val="7D86BFEF"/>
    <w:rsid w:val="7D880367"/>
    <w:rsid w:val="7D880F25"/>
    <w:rsid w:val="7D894F15"/>
    <w:rsid w:val="7D89DA90"/>
    <w:rsid w:val="7D8D6416"/>
    <w:rsid w:val="7D91E70D"/>
    <w:rsid w:val="7D93334A"/>
    <w:rsid w:val="7D9559A4"/>
    <w:rsid w:val="7D9592F6"/>
    <w:rsid w:val="7D974077"/>
    <w:rsid w:val="7D986CEC"/>
    <w:rsid w:val="7D9A4020"/>
    <w:rsid w:val="7D9AE770"/>
    <w:rsid w:val="7D9B630D"/>
    <w:rsid w:val="7D9C53A6"/>
    <w:rsid w:val="7D9E8775"/>
    <w:rsid w:val="7DA0B900"/>
    <w:rsid w:val="7DA46A35"/>
    <w:rsid w:val="7DA496D6"/>
    <w:rsid w:val="7DAA0FF7"/>
    <w:rsid w:val="7DAA6048"/>
    <w:rsid w:val="7DAB19EB"/>
    <w:rsid w:val="7DADA0DE"/>
    <w:rsid w:val="7DB2A645"/>
    <w:rsid w:val="7DB2CDE2"/>
    <w:rsid w:val="7DB3A85E"/>
    <w:rsid w:val="7DB956B1"/>
    <w:rsid w:val="7DB963FA"/>
    <w:rsid w:val="7DBA7887"/>
    <w:rsid w:val="7DBA7EAB"/>
    <w:rsid w:val="7DBC02F9"/>
    <w:rsid w:val="7DBEA674"/>
    <w:rsid w:val="7DBF8281"/>
    <w:rsid w:val="7DC0440E"/>
    <w:rsid w:val="7DC281B0"/>
    <w:rsid w:val="7DC2AEB1"/>
    <w:rsid w:val="7DC569A7"/>
    <w:rsid w:val="7DC840F7"/>
    <w:rsid w:val="7DC8FF1A"/>
    <w:rsid w:val="7DCCCFD7"/>
    <w:rsid w:val="7DCCD87C"/>
    <w:rsid w:val="7DCF6656"/>
    <w:rsid w:val="7DD45265"/>
    <w:rsid w:val="7DD4F0B7"/>
    <w:rsid w:val="7DD6B2FC"/>
    <w:rsid w:val="7DD85361"/>
    <w:rsid w:val="7DD86053"/>
    <w:rsid w:val="7DD877B9"/>
    <w:rsid w:val="7DD8A33D"/>
    <w:rsid w:val="7DDB3C3E"/>
    <w:rsid w:val="7DDBDCEC"/>
    <w:rsid w:val="7DDCD19A"/>
    <w:rsid w:val="7DDF02C5"/>
    <w:rsid w:val="7DDFF9FD"/>
    <w:rsid w:val="7DE0BF40"/>
    <w:rsid w:val="7DE1B2D8"/>
    <w:rsid w:val="7DE1FC89"/>
    <w:rsid w:val="7DE60D3A"/>
    <w:rsid w:val="7DE716FE"/>
    <w:rsid w:val="7DE7BBBF"/>
    <w:rsid w:val="7DE82880"/>
    <w:rsid w:val="7DE93D8C"/>
    <w:rsid w:val="7DE97DF6"/>
    <w:rsid w:val="7DEF9F7E"/>
    <w:rsid w:val="7DF0BB53"/>
    <w:rsid w:val="7DF3FA22"/>
    <w:rsid w:val="7DF4EF6C"/>
    <w:rsid w:val="7DF4F9B0"/>
    <w:rsid w:val="7DF56BBC"/>
    <w:rsid w:val="7DFBAFF2"/>
    <w:rsid w:val="7DFF4B53"/>
    <w:rsid w:val="7E00882D"/>
    <w:rsid w:val="7E0345F1"/>
    <w:rsid w:val="7E04920D"/>
    <w:rsid w:val="7E064FDA"/>
    <w:rsid w:val="7E0730F3"/>
    <w:rsid w:val="7E0A01A8"/>
    <w:rsid w:val="7E0C5801"/>
    <w:rsid w:val="7E0EBFE0"/>
    <w:rsid w:val="7E123871"/>
    <w:rsid w:val="7E125B63"/>
    <w:rsid w:val="7E130ECF"/>
    <w:rsid w:val="7E13A9B9"/>
    <w:rsid w:val="7E1795FC"/>
    <w:rsid w:val="7E18F982"/>
    <w:rsid w:val="7E191D6C"/>
    <w:rsid w:val="7E1DCC40"/>
    <w:rsid w:val="7E230606"/>
    <w:rsid w:val="7E25EB34"/>
    <w:rsid w:val="7E27028B"/>
    <w:rsid w:val="7E271579"/>
    <w:rsid w:val="7E27804D"/>
    <w:rsid w:val="7E2A05F3"/>
    <w:rsid w:val="7E2A09F2"/>
    <w:rsid w:val="7E2D99C0"/>
    <w:rsid w:val="7E2F910F"/>
    <w:rsid w:val="7E31B76D"/>
    <w:rsid w:val="7E31D2CD"/>
    <w:rsid w:val="7E37381B"/>
    <w:rsid w:val="7E395214"/>
    <w:rsid w:val="7E3C7808"/>
    <w:rsid w:val="7E3E1B13"/>
    <w:rsid w:val="7E3E2E32"/>
    <w:rsid w:val="7E4079AD"/>
    <w:rsid w:val="7E41096E"/>
    <w:rsid w:val="7E4147F0"/>
    <w:rsid w:val="7E48752F"/>
    <w:rsid w:val="7E4A0FB2"/>
    <w:rsid w:val="7E4A8B49"/>
    <w:rsid w:val="7E4AFF72"/>
    <w:rsid w:val="7E4B73E7"/>
    <w:rsid w:val="7E4C25D6"/>
    <w:rsid w:val="7E4C2D2F"/>
    <w:rsid w:val="7E4CCBB7"/>
    <w:rsid w:val="7E4EBEF8"/>
    <w:rsid w:val="7E4F096E"/>
    <w:rsid w:val="7E508021"/>
    <w:rsid w:val="7E5264A4"/>
    <w:rsid w:val="7E59A974"/>
    <w:rsid w:val="7E5B8E90"/>
    <w:rsid w:val="7E5DF81A"/>
    <w:rsid w:val="7E5E4F35"/>
    <w:rsid w:val="7E5F2DC0"/>
    <w:rsid w:val="7E5F68C0"/>
    <w:rsid w:val="7E5F78FE"/>
    <w:rsid w:val="7E64B0D6"/>
    <w:rsid w:val="7E671205"/>
    <w:rsid w:val="7E685F3A"/>
    <w:rsid w:val="7E68E2FB"/>
    <w:rsid w:val="7E6BA5F5"/>
    <w:rsid w:val="7E7139CB"/>
    <w:rsid w:val="7E74FFB4"/>
    <w:rsid w:val="7E76E3DC"/>
    <w:rsid w:val="7E7727D9"/>
    <w:rsid w:val="7E79B636"/>
    <w:rsid w:val="7E7A2E2D"/>
    <w:rsid w:val="7E7A3532"/>
    <w:rsid w:val="7E7C1E9F"/>
    <w:rsid w:val="7E7DCA5A"/>
    <w:rsid w:val="7E802CD8"/>
    <w:rsid w:val="7E82219E"/>
    <w:rsid w:val="7E84110A"/>
    <w:rsid w:val="7E86AA47"/>
    <w:rsid w:val="7E8A3600"/>
    <w:rsid w:val="7E8A3D99"/>
    <w:rsid w:val="7E8A9D9B"/>
    <w:rsid w:val="7E8B6E0B"/>
    <w:rsid w:val="7E902657"/>
    <w:rsid w:val="7E949FB8"/>
    <w:rsid w:val="7E95A33A"/>
    <w:rsid w:val="7E973C07"/>
    <w:rsid w:val="7E9AA10D"/>
    <w:rsid w:val="7E9D72A8"/>
    <w:rsid w:val="7E9DA775"/>
    <w:rsid w:val="7E9E6B42"/>
    <w:rsid w:val="7EA175F5"/>
    <w:rsid w:val="7EA241C5"/>
    <w:rsid w:val="7EA67DA2"/>
    <w:rsid w:val="7EAE3756"/>
    <w:rsid w:val="7EAF32E4"/>
    <w:rsid w:val="7EAF63C7"/>
    <w:rsid w:val="7EB0373D"/>
    <w:rsid w:val="7EB09473"/>
    <w:rsid w:val="7EB2342E"/>
    <w:rsid w:val="7EB51C3B"/>
    <w:rsid w:val="7EB5D6B7"/>
    <w:rsid w:val="7EB8A4A8"/>
    <w:rsid w:val="7EBB1FA6"/>
    <w:rsid w:val="7EBD2AB1"/>
    <w:rsid w:val="7EBFABCD"/>
    <w:rsid w:val="7EC1FD76"/>
    <w:rsid w:val="7EC2A510"/>
    <w:rsid w:val="7EC39099"/>
    <w:rsid w:val="7EC79C2C"/>
    <w:rsid w:val="7EC80F56"/>
    <w:rsid w:val="7ECB1E9F"/>
    <w:rsid w:val="7ECCF665"/>
    <w:rsid w:val="7ECD3744"/>
    <w:rsid w:val="7ECEC6A4"/>
    <w:rsid w:val="7ED10B2A"/>
    <w:rsid w:val="7ED4DFE7"/>
    <w:rsid w:val="7ED7795B"/>
    <w:rsid w:val="7ED89E6D"/>
    <w:rsid w:val="7EDAD0B0"/>
    <w:rsid w:val="7EDC44DE"/>
    <w:rsid w:val="7EDC946A"/>
    <w:rsid w:val="7EDCA1FD"/>
    <w:rsid w:val="7EDEE087"/>
    <w:rsid w:val="7EE65AA3"/>
    <w:rsid w:val="7EE7212E"/>
    <w:rsid w:val="7EE9FD14"/>
    <w:rsid w:val="7EEBF050"/>
    <w:rsid w:val="7EF052A3"/>
    <w:rsid w:val="7EF15E55"/>
    <w:rsid w:val="7EF27BBA"/>
    <w:rsid w:val="7EF2A5E8"/>
    <w:rsid w:val="7EF4D9CF"/>
    <w:rsid w:val="7EF5A11D"/>
    <w:rsid w:val="7EF5CB7E"/>
    <w:rsid w:val="7EF781F7"/>
    <w:rsid w:val="7EFA59D3"/>
    <w:rsid w:val="7EFAC738"/>
    <w:rsid w:val="7F038F65"/>
    <w:rsid w:val="7F0458AC"/>
    <w:rsid w:val="7F09A279"/>
    <w:rsid w:val="7F0D7F36"/>
    <w:rsid w:val="7F0EF385"/>
    <w:rsid w:val="7F0FB08E"/>
    <w:rsid w:val="7F13FC1B"/>
    <w:rsid w:val="7F14BD62"/>
    <w:rsid w:val="7F1C8603"/>
    <w:rsid w:val="7F2015F2"/>
    <w:rsid w:val="7F2073E7"/>
    <w:rsid w:val="7F2183D5"/>
    <w:rsid w:val="7F223D04"/>
    <w:rsid w:val="7F24BAF7"/>
    <w:rsid w:val="7F2635EE"/>
    <w:rsid w:val="7F278CFA"/>
    <w:rsid w:val="7F280F6E"/>
    <w:rsid w:val="7F2AC001"/>
    <w:rsid w:val="7F2ACD61"/>
    <w:rsid w:val="7F2AFFB1"/>
    <w:rsid w:val="7F2B2DF4"/>
    <w:rsid w:val="7F2E515A"/>
    <w:rsid w:val="7F305442"/>
    <w:rsid w:val="7F3106AB"/>
    <w:rsid w:val="7F3408F3"/>
    <w:rsid w:val="7F362BD7"/>
    <w:rsid w:val="7F37FF02"/>
    <w:rsid w:val="7F39DEC2"/>
    <w:rsid w:val="7F3A6319"/>
    <w:rsid w:val="7F3AF229"/>
    <w:rsid w:val="7F3C6C32"/>
    <w:rsid w:val="7F3E8FE4"/>
    <w:rsid w:val="7F3EBCBF"/>
    <w:rsid w:val="7F40F248"/>
    <w:rsid w:val="7F4119E0"/>
    <w:rsid w:val="7F4160C1"/>
    <w:rsid w:val="7F44E97E"/>
    <w:rsid w:val="7F47E369"/>
    <w:rsid w:val="7F49436F"/>
    <w:rsid w:val="7F497E28"/>
    <w:rsid w:val="7F49D61E"/>
    <w:rsid w:val="7F4A245A"/>
    <w:rsid w:val="7F4A86BB"/>
    <w:rsid w:val="7F4C603B"/>
    <w:rsid w:val="7F4EF342"/>
    <w:rsid w:val="7F5485E2"/>
    <w:rsid w:val="7F56B668"/>
    <w:rsid w:val="7F5C6DB9"/>
    <w:rsid w:val="7F5E4183"/>
    <w:rsid w:val="7F5E5B6D"/>
    <w:rsid w:val="7F5E7278"/>
    <w:rsid w:val="7F5F9E19"/>
    <w:rsid w:val="7F5FC277"/>
    <w:rsid w:val="7F628AB9"/>
    <w:rsid w:val="7F63B83B"/>
    <w:rsid w:val="7F66AF1D"/>
    <w:rsid w:val="7F6EB78B"/>
    <w:rsid w:val="7F7134BE"/>
    <w:rsid w:val="7F72892A"/>
    <w:rsid w:val="7F72C39E"/>
    <w:rsid w:val="7F75AAB8"/>
    <w:rsid w:val="7F75E3C0"/>
    <w:rsid w:val="7F7A28BB"/>
    <w:rsid w:val="7F7AFC24"/>
    <w:rsid w:val="7F7F84BE"/>
    <w:rsid w:val="7F7FEA95"/>
    <w:rsid w:val="7F83A2E8"/>
    <w:rsid w:val="7F840AEC"/>
    <w:rsid w:val="7F89F8E5"/>
    <w:rsid w:val="7F8B22D5"/>
    <w:rsid w:val="7F8D412C"/>
    <w:rsid w:val="7F8DB7A6"/>
    <w:rsid w:val="7F8F25B7"/>
    <w:rsid w:val="7F96B733"/>
    <w:rsid w:val="7F9725E9"/>
    <w:rsid w:val="7F975864"/>
    <w:rsid w:val="7F9D3325"/>
    <w:rsid w:val="7F9DFA5F"/>
    <w:rsid w:val="7F9E42A4"/>
    <w:rsid w:val="7FA20747"/>
    <w:rsid w:val="7FA440DA"/>
    <w:rsid w:val="7FA6FB4C"/>
    <w:rsid w:val="7FA85494"/>
    <w:rsid w:val="7FA97CFA"/>
    <w:rsid w:val="7FA9F1BB"/>
    <w:rsid w:val="7FAB454A"/>
    <w:rsid w:val="7FAE2B7D"/>
    <w:rsid w:val="7FAE32F7"/>
    <w:rsid w:val="7FB101D3"/>
    <w:rsid w:val="7FB1B246"/>
    <w:rsid w:val="7FB5D463"/>
    <w:rsid w:val="7FB7FC32"/>
    <w:rsid w:val="7FB82B81"/>
    <w:rsid w:val="7FB9658C"/>
    <w:rsid w:val="7FBABDA7"/>
    <w:rsid w:val="7FBB458E"/>
    <w:rsid w:val="7FC083DE"/>
    <w:rsid w:val="7FC1DAF2"/>
    <w:rsid w:val="7FC45F7F"/>
    <w:rsid w:val="7FC52E78"/>
    <w:rsid w:val="7FC5AEA4"/>
    <w:rsid w:val="7FC5B087"/>
    <w:rsid w:val="7FC664B4"/>
    <w:rsid w:val="7FC6FCB6"/>
    <w:rsid w:val="7FC71779"/>
    <w:rsid w:val="7FC8A74C"/>
    <w:rsid w:val="7FCC7250"/>
    <w:rsid w:val="7FCD2673"/>
    <w:rsid w:val="7FCEF298"/>
    <w:rsid w:val="7FD0984F"/>
    <w:rsid w:val="7FD1F7DC"/>
    <w:rsid w:val="7FD51C1F"/>
    <w:rsid w:val="7FD7882C"/>
    <w:rsid w:val="7FD9F23D"/>
    <w:rsid w:val="7FE2C105"/>
    <w:rsid w:val="7FE46190"/>
    <w:rsid w:val="7FE4C684"/>
    <w:rsid w:val="7FE523A4"/>
    <w:rsid w:val="7FE57CEC"/>
    <w:rsid w:val="7FE87F06"/>
    <w:rsid w:val="7FEBD066"/>
    <w:rsid w:val="7FED1F14"/>
    <w:rsid w:val="7FF156D9"/>
    <w:rsid w:val="7FF24824"/>
    <w:rsid w:val="7FF44BF5"/>
    <w:rsid w:val="7FF5491F"/>
    <w:rsid w:val="7FF5F1D9"/>
    <w:rsid w:val="7FF8AF6E"/>
    <w:rsid w:val="7FF9113F"/>
    <w:rsid w:val="7FFF3B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EAF607"/>
  <w15:chartTrackingRefBased/>
  <w15:docId w15:val="{3214068E-CB2D-4758-99A0-721A21D3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0F7"/>
    <w:pPr>
      <w:spacing w:before="120" w:after="60"/>
      <w:jc w:val="both"/>
    </w:pPr>
    <w:rPr>
      <w:rFonts w:ascii="Calibri" w:hAnsi="Calibri"/>
      <w:lang w:val="en-GB"/>
    </w:rPr>
  </w:style>
  <w:style w:type="paragraph" w:styleId="Heading1">
    <w:name w:val="heading 1"/>
    <w:basedOn w:val="Normal"/>
    <w:next w:val="Normal"/>
    <w:link w:val="Heading1Char"/>
    <w:uiPriority w:val="9"/>
    <w:qFormat/>
    <w:rsid w:val="50A16846"/>
    <w:pPr>
      <w:keepNext/>
      <w:keepLines/>
      <w:numPr>
        <w:numId w:val="35"/>
      </w:numPr>
      <w:spacing w:before="240" w:after="0"/>
      <w:outlineLvl w:val="0"/>
    </w:pPr>
    <w:rPr>
      <w:rFonts w:eastAsiaTheme="majorEastAsia" w:cstheme="majorBidi"/>
      <w:b/>
      <w:bCs/>
      <w:color w:val="0046FF"/>
      <w:sz w:val="32"/>
      <w:szCs w:val="32"/>
      <w:lang w:eastAsia="en-US"/>
    </w:rPr>
  </w:style>
  <w:style w:type="paragraph" w:styleId="Heading2">
    <w:name w:val="heading 2"/>
    <w:basedOn w:val="Heading1"/>
    <w:next w:val="Normal"/>
    <w:link w:val="Heading2Char"/>
    <w:uiPriority w:val="9"/>
    <w:unhideWhenUsed/>
    <w:qFormat/>
    <w:rsid w:val="00A16608"/>
    <w:pPr>
      <w:numPr>
        <w:ilvl w:val="1"/>
      </w:numPr>
      <w:outlineLvl w:val="1"/>
    </w:pPr>
  </w:style>
  <w:style w:type="paragraph" w:styleId="Heading3">
    <w:name w:val="heading 3"/>
    <w:basedOn w:val="Normal"/>
    <w:next w:val="Normal"/>
    <w:link w:val="Heading3Char"/>
    <w:uiPriority w:val="9"/>
    <w:unhideWhenUsed/>
    <w:qFormat/>
    <w:rsid w:val="004A46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E1B04"/>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50A16846"/>
    <w:pPr>
      <w:tabs>
        <w:tab w:val="center" w:pos="4513"/>
        <w:tab w:val="right" w:pos="9026"/>
      </w:tabs>
      <w:spacing w:after="0"/>
    </w:pPr>
  </w:style>
  <w:style w:type="character" w:customStyle="1" w:styleId="HeaderChar">
    <w:name w:val="Header Char"/>
    <w:basedOn w:val="DefaultParagraphFont"/>
    <w:link w:val="Header"/>
    <w:uiPriority w:val="99"/>
    <w:rsid w:val="00985E76"/>
    <w:rPr>
      <w:rFonts w:ascii="Calibri" w:hAnsi="Calibri"/>
      <w:lang w:val="en-IE"/>
    </w:rPr>
  </w:style>
  <w:style w:type="paragraph" w:styleId="Footer">
    <w:name w:val="footer"/>
    <w:basedOn w:val="Normal"/>
    <w:link w:val="FooterChar"/>
    <w:uiPriority w:val="99"/>
    <w:unhideWhenUsed/>
    <w:rsid w:val="50A16846"/>
    <w:pPr>
      <w:tabs>
        <w:tab w:val="center" w:pos="4513"/>
        <w:tab w:val="right" w:pos="9026"/>
      </w:tabs>
      <w:spacing w:after="0"/>
    </w:pPr>
  </w:style>
  <w:style w:type="character" w:customStyle="1" w:styleId="FooterChar">
    <w:name w:val="Footer Char"/>
    <w:basedOn w:val="DefaultParagraphFont"/>
    <w:link w:val="Footer"/>
    <w:uiPriority w:val="99"/>
    <w:rsid w:val="00985E76"/>
    <w:rPr>
      <w:rFonts w:ascii="Calibri" w:hAnsi="Calibri"/>
      <w:lang w:val="en-IE"/>
    </w:rPr>
  </w:style>
  <w:style w:type="character" w:customStyle="1" w:styleId="Heading1Char">
    <w:name w:val="Heading 1 Char"/>
    <w:basedOn w:val="DefaultParagraphFont"/>
    <w:link w:val="Heading1"/>
    <w:uiPriority w:val="9"/>
    <w:rsid w:val="007D11BB"/>
    <w:rPr>
      <w:rFonts w:ascii="Calibri" w:eastAsiaTheme="majorEastAsia" w:hAnsi="Calibri" w:cstheme="majorBidi"/>
      <w:b/>
      <w:bCs/>
      <w:color w:val="0046FF"/>
      <w:sz w:val="32"/>
      <w:szCs w:val="32"/>
      <w:lang w:val="en-GB" w:eastAsia="en-US"/>
    </w:rPr>
  </w:style>
  <w:style w:type="character" w:styleId="Strong">
    <w:name w:val="Strong"/>
    <w:basedOn w:val="DefaultParagraphFont"/>
    <w:uiPriority w:val="22"/>
    <w:qFormat/>
    <w:rsid w:val="00A555E8"/>
    <w:rPr>
      <w:b/>
      <w:bCs/>
    </w:rPr>
  </w:style>
  <w:style w:type="character" w:styleId="CommentReference">
    <w:name w:val="annotation reference"/>
    <w:basedOn w:val="DefaultParagraphFont"/>
    <w:uiPriority w:val="99"/>
    <w:semiHidden/>
    <w:unhideWhenUsed/>
    <w:rsid w:val="0047645B"/>
    <w:rPr>
      <w:sz w:val="16"/>
      <w:szCs w:val="16"/>
    </w:rPr>
  </w:style>
  <w:style w:type="paragraph" w:styleId="CommentText">
    <w:name w:val="annotation text"/>
    <w:basedOn w:val="Normal"/>
    <w:link w:val="CommentTextChar"/>
    <w:uiPriority w:val="99"/>
    <w:unhideWhenUsed/>
    <w:rsid w:val="50A16846"/>
    <w:rPr>
      <w:sz w:val="20"/>
      <w:szCs w:val="20"/>
    </w:rPr>
  </w:style>
  <w:style w:type="character" w:customStyle="1" w:styleId="CommentTextChar">
    <w:name w:val="Comment Text Char"/>
    <w:basedOn w:val="DefaultParagraphFont"/>
    <w:link w:val="CommentText"/>
    <w:uiPriority w:val="99"/>
    <w:rsid w:val="0047645B"/>
    <w:rPr>
      <w:rFonts w:ascii="Calibri" w:hAnsi="Calibri"/>
      <w:sz w:val="20"/>
      <w:szCs w:val="20"/>
      <w:lang w:val="en-IE"/>
    </w:rPr>
  </w:style>
  <w:style w:type="paragraph" w:styleId="CommentSubject">
    <w:name w:val="annotation subject"/>
    <w:basedOn w:val="CommentText"/>
    <w:next w:val="CommentText"/>
    <w:link w:val="CommentSubjectChar"/>
    <w:uiPriority w:val="99"/>
    <w:semiHidden/>
    <w:unhideWhenUsed/>
    <w:rsid w:val="0047645B"/>
    <w:rPr>
      <w:b/>
      <w:bCs/>
    </w:rPr>
  </w:style>
  <w:style w:type="character" w:customStyle="1" w:styleId="CommentSubjectChar">
    <w:name w:val="Comment Subject Char"/>
    <w:basedOn w:val="CommentTextChar"/>
    <w:link w:val="CommentSubject"/>
    <w:uiPriority w:val="99"/>
    <w:semiHidden/>
    <w:rsid w:val="0047645B"/>
    <w:rPr>
      <w:rFonts w:ascii="Calibri" w:hAnsi="Calibri"/>
      <w:b/>
      <w:bCs/>
      <w:sz w:val="20"/>
      <w:szCs w:val="20"/>
      <w:lang w:val="en-IE"/>
    </w:rPr>
  </w:style>
  <w:style w:type="paragraph" w:styleId="ListParagraph">
    <w:name w:val="List Paragraph"/>
    <w:basedOn w:val="Normal"/>
    <w:uiPriority w:val="34"/>
    <w:qFormat/>
    <w:rsid w:val="00C30BFF"/>
    <w:pPr>
      <w:ind w:left="720"/>
      <w:contextualSpacing/>
    </w:pPr>
  </w:style>
  <w:style w:type="paragraph" w:styleId="Revision">
    <w:name w:val="Revision"/>
    <w:hidden/>
    <w:uiPriority w:val="99"/>
    <w:semiHidden/>
    <w:rsid w:val="00576802"/>
    <w:pPr>
      <w:spacing w:after="0" w:line="240" w:lineRule="auto"/>
    </w:pPr>
  </w:style>
  <w:style w:type="character" w:customStyle="1" w:styleId="Heading2Char">
    <w:name w:val="Heading 2 Char"/>
    <w:basedOn w:val="DefaultParagraphFont"/>
    <w:link w:val="Heading2"/>
    <w:uiPriority w:val="9"/>
    <w:rsid w:val="00A16608"/>
    <w:rPr>
      <w:rFonts w:ascii="Calibri" w:eastAsiaTheme="majorEastAsia" w:hAnsi="Calibri" w:cstheme="majorBidi"/>
      <w:b/>
      <w:bCs/>
      <w:color w:val="0046FF"/>
      <w:sz w:val="32"/>
      <w:szCs w:val="32"/>
      <w:lang w:val="en-GB" w:eastAsia="en-US"/>
    </w:rPr>
  </w:style>
  <w:style w:type="table" w:styleId="TableGrid">
    <w:name w:val="Table Grid"/>
    <w:basedOn w:val="TableNormal"/>
    <w:uiPriority w:val="39"/>
    <w:rsid w:val="003A53C2"/>
    <w:pPr>
      <w:spacing w:after="0" w:line="240" w:lineRule="auto"/>
    </w:pPr>
    <w:rPr>
      <w:rFonts w:eastAsiaTheme="minorHAnsi"/>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3A53C2"/>
    <w:rPr>
      <w:color w:val="2B579A"/>
      <w:shd w:val="clear" w:color="auto" w:fill="E1DFDD"/>
    </w:rPr>
  </w:style>
  <w:style w:type="paragraph" w:customStyle="1" w:styleId="paragraph">
    <w:name w:val="paragraph"/>
    <w:basedOn w:val="Normal"/>
    <w:uiPriority w:val="1"/>
    <w:rsid w:val="50A16846"/>
    <w:pPr>
      <w:spacing w:beforeAutospacing="1" w:afterAutospacing="1"/>
      <w:jc w:val="left"/>
    </w:pPr>
    <w:rPr>
      <w:rFonts w:ascii="Times New Roman" w:eastAsia="Times New Roman" w:hAnsi="Times New Roman" w:cs="Times New Roman"/>
      <w:lang w:eastAsia="en-IE"/>
    </w:rPr>
  </w:style>
  <w:style w:type="character" w:customStyle="1" w:styleId="normaltextrun">
    <w:name w:val="normaltextrun"/>
    <w:basedOn w:val="DefaultParagraphFont"/>
    <w:rsid w:val="003A53C2"/>
  </w:style>
  <w:style w:type="character" w:customStyle="1" w:styleId="eop">
    <w:name w:val="eop"/>
    <w:basedOn w:val="DefaultParagraphFont"/>
    <w:rsid w:val="003A53C2"/>
  </w:style>
  <w:style w:type="character" w:customStyle="1" w:styleId="superscript">
    <w:name w:val="superscript"/>
    <w:basedOn w:val="DefaultParagraphFont"/>
    <w:rsid w:val="003A53C2"/>
  </w:style>
  <w:style w:type="character" w:customStyle="1" w:styleId="wacimagecontainer">
    <w:name w:val="wacimagecontainer"/>
    <w:basedOn w:val="DefaultParagraphFont"/>
    <w:rsid w:val="003A53C2"/>
  </w:style>
  <w:style w:type="paragraph" w:styleId="TOCHeading">
    <w:name w:val="TOC Heading"/>
    <w:basedOn w:val="Heading1"/>
    <w:next w:val="Normal"/>
    <w:uiPriority w:val="39"/>
    <w:unhideWhenUsed/>
    <w:qFormat/>
    <w:rsid w:val="00283CC0"/>
    <w:pPr>
      <w:spacing w:line="259" w:lineRule="auto"/>
      <w:jc w:val="left"/>
      <w:outlineLvl w:val="9"/>
    </w:pPr>
    <w:rPr>
      <w:rFonts w:asciiTheme="majorHAnsi" w:hAnsiTheme="majorHAnsi"/>
      <w:b w:val="0"/>
      <w:color w:val="0F4761" w:themeColor="accent1" w:themeShade="BF"/>
      <w:lang w:val="en-US"/>
    </w:rPr>
  </w:style>
  <w:style w:type="paragraph" w:styleId="TOC1">
    <w:name w:val="toc 1"/>
    <w:basedOn w:val="Normal"/>
    <w:next w:val="Normal"/>
    <w:uiPriority w:val="39"/>
    <w:unhideWhenUsed/>
    <w:rsid w:val="50A16846"/>
    <w:pPr>
      <w:spacing w:after="100"/>
    </w:pPr>
  </w:style>
  <w:style w:type="paragraph" w:styleId="TOC2">
    <w:name w:val="toc 2"/>
    <w:basedOn w:val="Normal"/>
    <w:next w:val="Normal"/>
    <w:uiPriority w:val="39"/>
    <w:unhideWhenUsed/>
    <w:rsid w:val="50A16846"/>
    <w:pPr>
      <w:spacing w:after="100"/>
      <w:ind w:left="240"/>
    </w:pPr>
  </w:style>
  <w:style w:type="character" w:styleId="Hyperlink">
    <w:name w:val="Hyperlink"/>
    <w:basedOn w:val="DefaultParagraphFont"/>
    <w:uiPriority w:val="99"/>
    <w:unhideWhenUsed/>
    <w:qFormat/>
    <w:rsid w:val="00283CC0"/>
    <w:rPr>
      <w:color w:val="467886" w:themeColor="hyperlink"/>
      <w:u w:val="single"/>
    </w:rPr>
  </w:style>
  <w:style w:type="paragraph" w:styleId="Caption">
    <w:name w:val="caption"/>
    <w:basedOn w:val="Normal"/>
    <w:next w:val="Normal"/>
    <w:uiPriority w:val="35"/>
    <w:unhideWhenUsed/>
    <w:qFormat/>
    <w:rsid w:val="50A16846"/>
    <w:pPr>
      <w:spacing w:before="0" w:after="200"/>
    </w:pPr>
    <w:rPr>
      <w:i/>
      <w:iCs/>
      <w:color w:val="0E2841" w:themeColor="text2"/>
      <w:sz w:val="18"/>
      <w:szCs w:val="18"/>
    </w:rPr>
  </w:style>
  <w:style w:type="paragraph" w:customStyle="1" w:styleId="Text3">
    <w:name w:val="Text 3"/>
    <w:basedOn w:val="Normal"/>
    <w:uiPriority w:val="1"/>
    <w:qFormat/>
    <w:rsid w:val="07C3DE46"/>
    <w:pPr>
      <w:spacing w:after="120"/>
      <w:ind w:left="1202"/>
    </w:pPr>
    <w:rPr>
      <w:rFonts w:asciiTheme="minorHAnsi" w:hAnsiTheme="minorHAnsi"/>
      <w:lang w:eastAsia="en-GB"/>
    </w:rPr>
  </w:style>
  <w:style w:type="paragraph" w:styleId="FootnoteText">
    <w:name w:val="footnote text"/>
    <w:aliases w:val="Char,Fußnote,Carattere,fn,Footnotes,Footnote ak,Footnote Text Char Char,fn Char Char,footnote text Char Char,Footnotes Char Char,Footnote ak Char Char,fn Char1,footnote text Char1,Footnotes Char1,ft,FT,f,Schriftart: 9 pt,Schriftart: 10 pt"/>
    <w:basedOn w:val="Normal"/>
    <w:link w:val="FootnoteTextChar"/>
    <w:uiPriority w:val="99"/>
    <w:unhideWhenUsed/>
    <w:qFormat/>
    <w:rsid w:val="50A16846"/>
    <w:pPr>
      <w:spacing w:before="0" w:after="0"/>
      <w:jc w:val="left"/>
    </w:pPr>
    <w:rPr>
      <w:rFonts w:asciiTheme="minorHAnsi" w:hAnsiTheme="minorHAnsi"/>
      <w:sz w:val="20"/>
      <w:szCs w:val="20"/>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uiPriority w:val="99"/>
    <w:qFormat/>
    <w:rsid w:val="007C583A"/>
    <w:rPr>
      <w:sz w:val="20"/>
      <w:szCs w:val="20"/>
      <w:lang w:val="en-GB" w:eastAsia="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7C583A"/>
    <w:rPr>
      <w:vertAlign w:val="superscript"/>
    </w:rPr>
  </w:style>
  <w:style w:type="character" w:styleId="FollowedHyperlink">
    <w:name w:val="FollowedHyperlink"/>
    <w:basedOn w:val="DefaultParagraphFont"/>
    <w:uiPriority w:val="99"/>
    <w:semiHidden/>
    <w:unhideWhenUsed/>
    <w:rsid w:val="00464EB7"/>
    <w:rPr>
      <w:color w:val="96607D" w:themeColor="followedHyperlink"/>
      <w:u w:val="single"/>
    </w:rPr>
  </w:style>
  <w:style w:type="character" w:customStyle="1" w:styleId="UnresolvedMention">
    <w:name w:val="Unresolved Mention"/>
    <w:basedOn w:val="DefaultParagraphFont"/>
    <w:uiPriority w:val="99"/>
    <w:semiHidden/>
    <w:unhideWhenUsed/>
    <w:rsid w:val="00A636A3"/>
    <w:rPr>
      <w:color w:val="605E5C"/>
      <w:shd w:val="clear" w:color="auto" w:fill="E1DFDD"/>
    </w:rPr>
  </w:style>
  <w:style w:type="paragraph" w:customStyle="1" w:styleId="Text1">
    <w:name w:val="Text 1"/>
    <w:basedOn w:val="Normal"/>
    <w:uiPriority w:val="1"/>
    <w:qFormat/>
    <w:rsid w:val="22EB410D"/>
    <w:pPr>
      <w:spacing w:after="120"/>
      <w:ind w:left="482"/>
    </w:pPr>
    <w:rPr>
      <w:rFonts w:asciiTheme="minorHAnsi" w:hAnsiTheme="minorHAnsi"/>
      <w:lang w:eastAsia="en-GB"/>
    </w:rPr>
  </w:style>
  <w:style w:type="paragraph" w:customStyle="1" w:styleId="Caption1">
    <w:name w:val="Caption 1"/>
    <w:basedOn w:val="Normal"/>
    <w:uiPriority w:val="1"/>
    <w:qFormat/>
    <w:rsid w:val="0045685F"/>
    <w:pPr>
      <w:keepNext/>
      <w:keepLines/>
      <w:spacing w:after="120"/>
    </w:pPr>
    <w:rPr>
      <w:rFonts w:asciiTheme="minorHAnsi" w:hAnsiTheme="minorHAnsi"/>
      <w:b/>
      <w:bCs/>
      <w:sz w:val="20"/>
      <w:szCs w:val="20"/>
      <w:lang w:eastAsia="en-GB"/>
    </w:rPr>
  </w:style>
  <w:style w:type="character" w:customStyle="1" w:styleId="Heading3Char">
    <w:name w:val="Heading 3 Char"/>
    <w:basedOn w:val="DefaultParagraphFont"/>
    <w:link w:val="Heading3"/>
    <w:uiPriority w:val="9"/>
    <w:rsid w:val="00D14991"/>
    <w:rPr>
      <w:rFonts w:ascii="Calibri" w:eastAsiaTheme="majorEastAsia" w:hAnsi="Calibri" w:cstheme="majorBidi"/>
      <w:color w:val="0F4761" w:themeColor="accent1" w:themeShade="BF"/>
      <w:sz w:val="28"/>
      <w:szCs w:val="28"/>
    </w:rPr>
  </w:style>
  <w:style w:type="paragraph" w:styleId="NoSpacing">
    <w:name w:val="No Spacing"/>
    <w:uiPriority w:val="1"/>
    <w:qFormat/>
    <w:rsid w:val="00221B5D"/>
    <w:pPr>
      <w:spacing w:after="0"/>
    </w:pPr>
  </w:style>
  <w:style w:type="paragraph" w:styleId="NormalWeb">
    <w:name w:val="Normal (Web)"/>
    <w:basedOn w:val="Normal"/>
    <w:uiPriority w:val="99"/>
    <w:semiHidden/>
    <w:unhideWhenUsed/>
    <w:rsid w:val="00885D98"/>
    <w:rPr>
      <w:rFonts w:ascii="Times New Roman" w:hAnsi="Times New Roman" w:cs="Times New Roman"/>
    </w:rPr>
  </w:style>
  <w:style w:type="paragraph" w:customStyle="1" w:styleId="CharCharChar">
    <w:name w:val="Char Char Char"/>
    <w:basedOn w:val="Normal"/>
    <w:link w:val="FootnoteReference"/>
    <w:uiPriority w:val="99"/>
    <w:rsid w:val="00250628"/>
    <w:pPr>
      <w:spacing w:after="120" w:line="240" w:lineRule="exact"/>
      <w:jc w:val="left"/>
    </w:pPr>
    <w:rPr>
      <w:rFonts w:asciiTheme="minorHAnsi" w:hAnsiTheme="minorHAnsi"/>
      <w:vertAlign w:val="superscript"/>
    </w:rPr>
  </w:style>
  <w:style w:type="paragraph" w:styleId="TOC3">
    <w:name w:val="toc 3"/>
    <w:basedOn w:val="Normal"/>
    <w:next w:val="Normal"/>
    <w:uiPriority w:val="39"/>
    <w:unhideWhenUsed/>
    <w:rsid w:val="00F4136B"/>
    <w:pPr>
      <w:spacing w:after="100"/>
      <w:ind w:left="440"/>
    </w:pPr>
  </w:style>
  <w:style w:type="table" w:styleId="PlainTable3">
    <w:name w:val="Plain Table 3"/>
    <w:basedOn w:val="TableNormal"/>
    <w:uiPriority w:val="43"/>
    <w:rsid w:val="009F5AC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arker">
    <w:name w:val="Marker"/>
    <w:basedOn w:val="DefaultParagraphFont"/>
    <w:rsid w:val="005C54CB"/>
    <w:rPr>
      <w:color w:val="0000FF"/>
      <w:shd w:val="clear" w:color="auto" w:fill="auto"/>
    </w:rPr>
  </w:style>
  <w:style w:type="paragraph" w:customStyle="1" w:styleId="Pagedecouverture">
    <w:name w:val="Page de couverture"/>
    <w:basedOn w:val="Normal"/>
    <w:next w:val="Normal"/>
    <w:rsid w:val="005C54CB"/>
    <w:pPr>
      <w:spacing w:before="0" w:after="0" w:line="240" w:lineRule="auto"/>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5C54CB"/>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5C54CB"/>
    <w:rPr>
      <w:rFonts w:ascii="Times New Roman" w:hAnsi="Times New Roman" w:cs="Times New Roman"/>
      <w:lang w:val="en-GB"/>
    </w:rPr>
  </w:style>
  <w:style w:type="paragraph" w:customStyle="1" w:styleId="FooterSensitivity">
    <w:name w:val="Footer Sensitivity"/>
    <w:basedOn w:val="Normal"/>
    <w:link w:val="FooterSensitivityChar"/>
    <w:rsid w:val="005C54C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C54CB"/>
    <w:rPr>
      <w:rFonts w:ascii="Times New Roman" w:hAnsi="Times New Roman" w:cs="Times New Roman"/>
      <w:b/>
      <w:sz w:val="32"/>
      <w:lang w:val="en-GB"/>
    </w:rPr>
  </w:style>
  <w:style w:type="paragraph" w:customStyle="1" w:styleId="HeaderCoverPage">
    <w:name w:val="Header Cover Page"/>
    <w:basedOn w:val="Normal"/>
    <w:link w:val="HeaderCoverPageChar"/>
    <w:rsid w:val="005C54CB"/>
    <w:pPr>
      <w:tabs>
        <w:tab w:val="center" w:pos="4535"/>
        <w:tab w:val="right" w:pos="9071"/>
      </w:tabs>
      <w:spacing w:before="0"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5C54CB"/>
    <w:rPr>
      <w:rFonts w:ascii="Times New Roman" w:hAnsi="Times New Roman" w:cs="Times New Roman"/>
      <w:lang w:val="en-GB"/>
    </w:rPr>
  </w:style>
  <w:style w:type="paragraph" w:customStyle="1" w:styleId="HeaderSensitivity">
    <w:name w:val="Header Sensitivity"/>
    <w:basedOn w:val="Normal"/>
    <w:link w:val="HeaderSensitivityChar"/>
    <w:rsid w:val="005C54CB"/>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C54CB"/>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5C54CB"/>
    <w:pPr>
      <w:spacing w:before="0"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C54CB"/>
    <w:rPr>
      <w:rFonts w:ascii="Times New Roman" w:hAnsi="Times New Roman" w:cs="Times New Roman"/>
      <w:sz w:val="28"/>
      <w:lang w:val="en-GB"/>
    </w:rPr>
  </w:style>
  <w:style w:type="character" w:customStyle="1" w:styleId="Heading4Char">
    <w:name w:val="Heading 4 Char"/>
    <w:basedOn w:val="DefaultParagraphFont"/>
    <w:link w:val="Heading4"/>
    <w:uiPriority w:val="9"/>
    <w:rsid w:val="005E1B04"/>
    <w:rPr>
      <w:rFonts w:asciiTheme="majorHAnsi" w:eastAsiaTheme="majorEastAsia" w:hAnsiTheme="majorHAnsi" w:cstheme="majorBidi"/>
      <w:i/>
      <w:iCs/>
      <w:color w:val="0F476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214">
      <w:bodyDiv w:val="1"/>
      <w:marLeft w:val="0"/>
      <w:marRight w:val="0"/>
      <w:marTop w:val="0"/>
      <w:marBottom w:val="0"/>
      <w:divBdr>
        <w:top w:val="none" w:sz="0" w:space="0" w:color="auto"/>
        <w:left w:val="none" w:sz="0" w:space="0" w:color="auto"/>
        <w:bottom w:val="none" w:sz="0" w:space="0" w:color="auto"/>
        <w:right w:val="none" w:sz="0" w:space="0" w:color="auto"/>
      </w:divBdr>
    </w:div>
    <w:div w:id="29840629">
      <w:bodyDiv w:val="1"/>
      <w:marLeft w:val="0"/>
      <w:marRight w:val="0"/>
      <w:marTop w:val="0"/>
      <w:marBottom w:val="0"/>
      <w:divBdr>
        <w:top w:val="none" w:sz="0" w:space="0" w:color="auto"/>
        <w:left w:val="none" w:sz="0" w:space="0" w:color="auto"/>
        <w:bottom w:val="none" w:sz="0" w:space="0" w:color="auto"/>
        <w:right w:val="none" w:sz="0" w:space="0" w:color="auto"/>
      </w:divBdr>
    </w:div>
    <w:div w:id="61635900">
      <w:bodyDiv w:val="1"/>
      <w:marLeft w:val="0"/>
      <w:marRight w:val="0"/>
      <w:marTop w:val="0"/>
      <w:marBottom w:val="0"/>
      <w:divBdr>
        <w:top w:val="none" w:sz="0" w:space="0" w:color="auto"/>
        <w:left w:val="none" w:sz="0" w:space="0" w:color="auto"/>
        <w:bottom w:val="none" w:sz="0" w:space="0" w:color="auto"/>
        <w:right w:val="none" w:sz="0" w:space="0" w:color="auto"/>
      </w:divBdr>
    </w:div>
    <w:div w:id="70469452">
      <w:bodyDiv w:val="1"/>
      <w:marLeft w:val="0"/>
      <w:marRight w:val="0"/>
      <w:marTop w:val="0"/>
      <w:marBottom w:val="0"/>
      <w:divBdr>
        <w:top w:val="none" w:sz="0" w:space="0" w:color="auto"/>
        <w:left w:val="none" w:sz="0" w:space="0" w:color="auto"/>
        <w:bottom w:val="none" w:sz="0" w:space="0" w:color="auto"/>
        <w:right w:val="none" w:sz="0" w:space="0" w:color="auto"/>
      </w:divBdr>
    </w:div>
    <w:div w:id="124859149">
      <w:bodyDiv w:val="1"/>
      <w:marLeft w:val="0"/>
      <w:marRight w:val="0"/>
      <w:marTop w:val="0"/>
      <w:marBottom w:val="0"/>
      <w:divBdr>
        <w:top w:val="none" w:sz="0" w:space="0" w:color="auto"/>
        <w:left w:val="none" w:sz="0" w:space="0" w:color="auto"/>
        <w:bottom w:val="none" w:sz="0" w:space="0" w:color="auto"/>
        <w:right w:val="none" w:sz="0" w:space="0" w:color="auto"/>
      </w:divBdr>
    </w:div>
    <w:div w:id="136843373">
      <w:bodyDiv w:val="1"/>
      <w:marLeft w:val="0"/>
      <w:marRight w:val="0"/>
      <w:marTop w:val="0"/>
      <w:marBottom w:val="0"/>
      <w:divBdr>
        <w:top w:val="none" w:sz="0" w:space="0" w:color="auto"/>
        <w:left w:val="none" w:sz="0" w:space="0" w:color="auto"/>
        <w:bottom w:val="none" w:sz="0" w:space="0" w:color="auto"/>
        <w:right w:val="none" w:sz="0" w:space="0" w:color="auto"/>
      </w:divBdr>
    </w:div>
    <w:div w:id="186603666">
      <w:bodyDiv w:val="1"/>
      <w:marLeft w:val="0"/>
      <w:marRight w:val="0"/>
      <w:marTop w:val="0"/>
      <w:marBottom w:val="0"/>
      <w:divBdr>
        <w:top w:val="none" w:sz="0" w:space="0" w:color="auto"/>
        <w:left w:val="none" w:sz="0" w:space="0" w:color="auto"/>
        <w:bottom w:val="none" w:sz="0" w:space="0" w:color="auto"/>
        <w:right w:val="none" w:sz="0" w:space="0" w:color="auto"/>
      </w:divBdr>
    </w:div>
    <w:div w:id="203296306">
      <w:bodyDiv w:val="1"/>
      <w:marLeft w:val="0"/>
      <w:marRight w:val="0"/>
      <w:marTop w:val="0"/>
      <w:marBottom w:val="0"/>
      <w:divBdr>
        <w:top w:val="none" w:sz="0" w:space="0" w:color="auto"/>
        <w:left w:val="none" w:sz="0" w:space="0" w:color="auto"/>
        <w:bottom w:val="none" w:sz="0" w:space="0" w:color="auto"/>
        <w:right w:val="none" w:sz="0" w:space="0" w:color="auto"/>
      </w:divBdr>
    </w:div>
    <w:div w:id="220097147">
      <w:bodyDiv w:val="1"/>
      <w:marLeft w:val="0"/>
      <w:marRight w:val="0"/>
      <w:marTop w:val="0"/>
      <w:marBottom w:val="0"/>
      <w:divBdr>
        <w:top w:val="none" w:sz="0" w:space="0" w:color="auto"/>
        <w:left w:val="none" w:sz="0" w:space="0" w:color="auto"/>
        <w:bottom w:val="none" w:sz="0" w:space="0" w:color="auto"/>
        <w:right w:val="none" w:sz="0" w:space="0" w:color="auto"/>
      </w:divBdr>
    </w:div>
    <w:div w:id="228929742">
      <w:bodyDiv w:val="1"/>
      <w:marLeft w:val="0"/>
      <w:marRight w:val="0"/>
      <w:marTop w:val="0"/>
      <w:marBottom w:val="0"/>
      <w:divBdr>
        <w:top w:val="none" w:sz="0" w:space="0" w:color="auto"/>
        <w:left w:val="none" w:sz="0" w:space="0" w:color="auto"/>
        <w:bottom w:val="none" w:sz="0" w:space="0" w:color="auto"/>
        <w:right w:val="none" w:sz="0" w:space="0" w:color="auto"/>
      </w:divBdr>
    </w:div>
    <w:div w:id="270824787">
      <w:bodyDiv w:val="1"/>
      <w:marLeft w:val="0"/>
      <w:marRight w:val="0"/>
      <w:marTop w:val="0"/>
      <w:marBottom w:val="0"/>
      <w:divBdr>
        <w:top w:val="none" w:sz="0" w:space="0" w:color="auto"/>
        <w:left w:val="none" w:sz="0" w:space="0" w:color="auto"/>
        <w:bottom w:val="none" w:sz="0" w:space="0" w:color="auto"/>
        <w:right w:val="none" w:sz="0" w:space="0" w:color="auto"/>
      </w:divBdr>
    </w:div>
    <w:div w:id="313607553">
      <w:bodyDiv w:val="1"/>
      <w:marLeft w:val="0"/>
      <w:marRight w:val="0"/>
      <w:marTop w:val="0"/>
      <w:marBottom w:val="0"/>
      <w:divBdr>
        <w:top w:val="none" w:sz="0" w:space="0" w:color="auto"/>
        <w:left w:val="none" w:sz="0" w:space="0" w:color="auto"/>
        <w:bottom w:val="none" w:sz="0" w:space="0" w:color="auto"/>
        <w:right w:val="none" w:sz="0" w:space="0" w:color="auto"/>
      </w:divBdr>
    </w:div>
    <w:div w:id="320740797">
      <w:bodyDiv w:val="1"/>
      <w:marLeft w:val="0"/>
      <w:marRight w:val="0"/>
      <w:marTop w:val="0"/>
      <w:marBottom w:val="0"/>
      <w:divBdr>
        <w:top w:val="none" w:sz="0" w:space="0" w:color="auto"/>
        <w:left w:val="none" w:sz="0" w:space="0" w:color="auto"/>
        <w:bottom w:val="none" w:sz="0" w:space="0" w:color="auto"/>
        <w:right w:val="none" w:sz="0" w:space="0" w:color="auto"/>
      </w:divBdr>
    </w:div>
    <w:div w:id="333726451">
      <w:bodyDiv w:val="1"/>
      <w:marLeft w:val="0"/>
      <w:marRight w:val="0"/>
      <w:marTop w:val="0"/>
      <w:marBottom w:val="0"/>
      <w:divBdr>
        <w:top w:val="none" w:sz="0" w:space="0" w:color="auto"/>
        <w:left w:val="none" w:sz="0" w:space="0" w:color="auto"/>
        <w:bottom w:val="none" w:sz="0" w:space="0" w:color="auto"/>
        <w:right w:val="none" w:sz="0" w:space="0" w:color="auto"/>
      </w:divBdr>
      <w:divsChild>
        <w:div w:id="647824695">
          <w:marLeft w:val="446"/>
          <w:marRight w:val="0"/>
          <w:marTop w:val="120"/>
          <w:marBottom w:val="0"/>
          <w:divBdr>
            <w:top w:val="none" w:sz="0" w:space="0" w:color="auto"/>
            <w:left w:val="none" w:sz="0" w:space="0" w:color="auto"/>
            <w:bottom w:val="none" w:sz="0" w:space="0" w:color="auto"/>
            <w:right w:val="none" w:sz="0" w:space="0" w:color="auto"/>
          </w:divBdr>
        </w:div>
      </w:divsChild>
    </w:div>
    <w:div w:id="392658725">
      <w:bodyDiv w:val="1"/>
      <w:marLeft w:val="0"/>
      <w:marRight w:val="0"/>
      <w:marTop w:val="0"/>
      <w:marBottom w:val="0"/>
      <w:divBdr>
        <w:top w:val="none" w:sz="0" w:space="0" w:color="auto"/>
        <w:left w:val="none" w:sz="0" w:space="0" w:color="auto"/>
        <w:bottom w:val="none" w:sz="0" w:space="0" w:color="auto"/>
        <w:right w:val="none" w:sz="0" w:space="0" w:color="auto"/>
      </w:divBdr>
    </w:div>
    <w:div w:id="417404643">
      <w:bodyDiv w:val="1"/>
      <w:marLeft w:val="0"/>
      <w:marRight w:val="0"/>
      <w:marTop w:val="0"/>
      <w:marBottom w:val="0"/>
      <w:divBdr>
        <w:top w:val="none" w:sz="0" w:space="0" w:color="auto"/>
        <w:left w:val="none" w:sz="0" w:space="0" w:color="auto"/>
        <w:bottom w:val="none" w:sz="0" w:space="0" w:color="auto"/>
        <w:right w:val="none" w:sz="0" w:space="0" w:color="auto"/>
      </w:divBdr>
    </w:div>
    <w:div w:id="480777682">
      <w:bodyDiv w:val="1"/>
      <w:marLeft w:val="0"/>
      <w:marRight w:val="0"/>
      <w:marTop w:val="0"/>
      <w:marBottom w:val="0"/>
      <w:divBdr>
        <w:top w:val="none" w:sz="0" w:space="0" w:color="auto"/>
        <w:left w:val="none" w:sz="0" w:space="0" w:color="auto"/>
        <w:bottom w:val="none" w:sz="0" w:space="0" w:color="auto"/>
        <w:right w:val="none" w:sz="0" w:space="0" w:color="auto"/>
      </w:divBdr>
    </w:div>
    <w:div w:id="552155432">
      <w:bodyDiv w:val="1"/>
      <w:marLeft w:val="0"/>
      <w:marRight w:val="0"/>
      <w:marTop w:val="0"/>
      <w:marBottom w:val="0"/>
      <w:divBdr>
        <w:top w:val="none" w:sz="0" w:space="0" w:color="auto"/>
        <w:left w:val="none" w:sz="0" w:space="0" w:color="auto"/>
        <w:bottom w:val="none" w:sz="0" w:space="0" w:color="auto"/>
        <w:right w:val="none" w:sz="0" w:space="0" w:color="auto"/>
      </w:divBdr>
    </w:div>
    <w:div w:id="552425770">
      <w:bodyDiv w:val="1"/>
      <w:marLeft w:val="0"/>
      <w:marRight w:val="0"/>
      <w:marTop w:val="0"/>
      <w:marBottom w:val="0"/>
      <w:divBdr>
        <w:top w:val="none" w:sz="0" w:space="0" w:color="auto"/>
        <w:left w:val="none" w:sz="0" w:space="0" w:color="auto"/>
        <w:bottom w:val="none" w:sz="0" w:space="0" w:color="auto"/>
        <w:right w:val="none" w:sz="0" w:space="0" w:color="auto"/>
      </w:divBdr>
    </w:div>
    <w:div w:id="691036810">
      <w:bodyDiv w:val="1"/>
      <w:marLeft w:val="0"/>
      <w:marRight w:val="0"/>
      <w:marTop w:val="0"/>
      <w:marBottom w:val="0"/>
      <w:divBdr>
        <w:top w:val="none" w:sz="0" w:space="0" w:color="auto"/>
        <w:left w:val="none" w:sz="0" w:space="0" w:color="auto"/>
        <w:bottom w:val="none" w:sz="0" w:space="0" w:color="auto"/>
        <w:right w:val="none" w:sz="0" w:space="0" w:color="auto"/>
      </w:divBdr>
    </w:div>
    <w:div w:id="759373488">
      <w:bodyDiv w:val="1"/>
      <w:marLeft w:val="0"/>
      <w:marRight w:val="0"/>
      <w:marTop w:val="0"/>
      <w:marBottom w:val="0"/>
      <w:divBdr>
        <w:top w:val="none" w:sz="0" w:space="0" w:color="auto"/>
        <w:left w:val="none" w:sz="0" w:space="0" w:color="auto"/>
        <w:bottom w:val="none" w:sz="0" w:space="0" w:color="auto"/>
        <w:right w:val="none" w:sz="0" w:space="0" w:color="auto"/>
      </w:divBdr>
    </w:div>
    <w:div w:id="798494561">
      <w:bodyDiv w:val="1"/>
      <w:marLeft w:val="0"/>
      <w:marRight w:val="0"/>
      <w:marTop w:val="0"/>
      <w:marBottom w:val="0"/>
      <w:divBdr>
        <w:top w:val="none" w:sz="0" w:space="0" w:color="auto"/>
        <w:left w:val="none" w:sz="0" w:space="0" w:color="auto"/>
        <w:bottom w:val="none" w:sz="0" w:space="0" w:color="auto"/>
        <w:right w:val="none" w:sz="0" w:space="0" w:color="auto"/>
      </w:divBdr>
    </w:div>
    <w:div w:id="799998470">
      <w:bodyDiv w:val="1"/>
      <w:marLeft w:val="0"/>
      <w:marRight w:val="0"/>
      <w:marTop w:val="0"/>
      <w:marBottom w:val="0"/>
      <w:divBdr>
        <w:top w:val="none" w:sz="0" w:space="0" w:color="auto"/>
        <w:left w:val="none" w:sz="0" w:space="0" w:color="auto"/>
        <w:bottom w:val="none" w:sz="0" w:space="0" w:color="auto"/>
        <w:right w:val="none" w:sz="0" w:space="0" w:color="auto"/>
      </w:divBdr>
    </w:div>
    <w:div w:id="806508348">
      <w:bodyDiv w:val="1"/>
      <w:marLeft w:val="0"/>
      <w:marRight w:val="0"/>
      <w:marTop w:val="0"/>
      <w:marBottom w:val="0"/>
      <w:divBdr>
        <w:top w:val="none" w:sz="0" w:space="0" w:color="auto"/>
        <w:left w:val="none" w:sz="0" w:space="0" w:color="auto"/>
        <w:bottom w:val="none" w:sz="0" w:space="0" w:color="auto"/>
        <w:right w:val="none" w:sz="0" w:space="0" w:color="auto"/>
      </w:divBdr>
    </w:div>
    <w:div w:id="839933108">
      <w:bodyDiv w:val="1"/>
      <w:marLeft w:val="0"/>
      <w:marRight w:val="0"/>
      <w:marTop w:val="0"/>
      <w:marBottom w:val="0"/>
      <w:divBdr>
        <w:top w:val="none" w:sz="0" w:space="0" w:color="auto"/>
        <w:left w:val="none" w:sz="0" w:space="0" w:color="auto"/>
        <w:bottom w:val="none" w:sz="0" w:space="0" w:color="auto"/>
        <w:right w:val="none" w:sz="0" w:space="0" w:color="auto"/>
      </w:divBdr>
    </w:div>
    <w:div w:id="848065303">
      <w:bodyDiv w:val="1"/>
      <w:marLeft w:val="0"/>
      <w:marRight w:val="0"/>
      <w:marTop w:val="0"/>
      <w:marBottom w:val="0"/>
      <w:divBdr>
        <w:top w:val="none" w:sz="0" w:space="0" w:color="auto"/>
        <w:left w:val="none" w:sz="0" w:space="0" w:color="auto"/>
        <w:bottom w:val="none" w:sz="0" w:space="0" w:color="auto"/>
        <w:right w:val="none" w:sz="0" w:space="0" w:color="auto"/>
      </w:divBdr>
    </w:div>
    <w:div w:id="919214787">
      <w:bodyDiv w:val="1"/>
      <w:marLeft w:val="0"/>
      <w:marRight w:val="0"/>
      <w:marTop w:val="0"/>
      <w:marBottom w:val="0"/>
      <w:divBdr>
        <w:top w:val="none" w:sz="0" w:space="0" w:color="auto"/>
        <w:left w:val="none" w:sz="0" w:space="0" w:color="auto"/>
        <w:bottom w:val="none" w:sz="0" w:space="0" w:color="auto"/>
        <w:right w:val="none" w:sz="0" w:space="0" w:color="auto"/>
      </w:divBdr>
    </w:div>
    <w:div w:id="920214362">
      <w:bodyDiv w:val="1"/>
      <w:marLeft w:val="0"/>
      <w:marRight w:val="0"/>
      <w:marTop w:val="0"/>
      <w:marBottom w:val="0"/>
      <w:divBdr>
        <w:top w:val="none" w:sz="0" w:space="0" w:color="auto"/>
        <w:left w:val="none" w:sz="0" w:space="0" w:color="auto"/>
        <w:bottom w:val="none" w:sz="0" w:space="0" w:color="auto"/>
        <w:right w:val="none" w:sz="0" w:space="0" w:color="auto"/>
      </w:divBdr>
    </w:div>
    <w:div w:id="963002540">
      <w:bodyDiv w:val="1"/>
      <w:marLeft w:val="0"/>
      <w:marRight w:val="0"/>
      <w:marTop w:val="0"/>
      <w:marBottom w:val="0"/>
      <w:divBdr>
        <w:top w:val="none" w:sz="0" w:space="0" w:color="auto"/>
        <w:left w:val="none" w:sz="0" w:space="0" w:color="auto"/>
        <w:bottom w:val="none" w:sz="0" w:space="0" w:color="auto"/>
        <w:right w:val="none" w:sz="0" w:space="0" w:color="auto"/>
      </w:divBdr>
      <w:divsChild>
        <w:div w:id="736169309">
          <w:marLeft w:val="446"/>
          <w:marRight w:val="0"/>
          <w:marTop w:val="120"/>
          <w:marBottom w:val="0"/>
          <w:divBdr>
            <w:top w:val="none" w:sz="0" w:space="0" w:color="auto"/>
            <w:left w:val="none" w:sz="0" w:space="0" w:color="auto"/>
            <w:bottom w:val="none" w:sz="0" w:space="0" w:color="auto"/>
            <w:right w:val="none" w:sz="0" w:space="0" w:color="auto"/>
          </w:divBdr>
        </w:div>
      </w:divsChild>
    </w:div>
    <w:div w:id="976566820">
      <w:bodyDiv w:val="1"/>
      <w:marLeft w:val="0"/>
      <w:marRight w:val="0"/>
      <w:marTop w:val="0"/>
      <w:marBottom w:val="0"/>
      <w:divBdr>
        <w:top w:val="none" w:sz="0" w:space="0" w:color="auto"/>
        <w:left w:val="none" w:sz="0" w:space="0" w:color="auto"/>
        <w:bottom w:val="none" w:sz="0" w:space="0" w:color="auto"/>
        <w:right w:val="none" w:sz="0" w:space="0" w:color="auto"/>
      </w:divBdr>
      <w:divsChild>
        <w:div w:id="1651404599">
          <w:marLeft w:val="0"/>
          <w:marRight w:val="0"/>
          <w:marTop w:val="0"/>
          <w:marBottom w:val="0"/>
          <w:divBdr>
            <w:top w:val="none" w:sz="0" w:space="0" w:color="auto"/>
            <w:left w:val="none" w:sz="0" w:space="0" w:color="auto"/>
            <w:bottom w:val="none" w:sz="0" w:space="0" w:color="auto"/>
            <w:right w:val="none" w:sz="0" w:space="0" w:color="auto"/>
          </w:divBdr>
        </w:div>
      </w:divsChild>
    </w:div>
    <w:div w:id="996109851">
      <w:bodyDiv w:val="1"/>
      <w:marLeft w:val="0"/>
      <w:marRight w:val="0"/>
      <w:marTop w:val="0"/>
      <w:marBottom w:val="0"/>
      <w:divBdr>
        <w:top w:val="none" w:sz="0" w:space="0" w:color="auto"/>
        <w:left w:val="none" w:sz="0" w:space="0" w:color="auto"/>
        <w:bottom w:val="none" w:sz="0" w:space="0" w:color="auto"/>
        <w:right w:val="none" w:sz="0" w:space="0" w:color="auto"/>
      </w:divBdr>
    </w:div>
    <w:div w:id="1040395693">
      <w:bodyDiv w:val="1"/>
      <w:marLeft w:val="0"/>
      <w:marRight w:val="0"/>
      <w:marTop w:val="0"/>
      <w:marBottom w:val="0"/>
      <w:divBdr>
        <w:top w:val="none" w:sz="0" w:space="0" w:color="auto"/>
        <w:left w:val="none" w:sz="0" w:space="0" w:color="auto"/>
        <w:bottom w:val="none" w:sz="0" w:space="0" w:color="auto"/>
        <w:right w:val="none" w:sz="0" w:space="0" w:color="auto"/>
      </w:divBdr>
    </w:div>
    <w:div w:id="1044863223">
      <w:bodyDiv w:val="1"/>
      <w:marLeft w:val="0"/>
      <w:marRight w:val="0"/>
      <w:marTop w:val="0"/>
      <w:marBottom w:val="0"/>
      <w:divBdr>
        <w:top w:val="none" w:sz="0" w:space="0" w:color="auto"/>
        <w:left w:val="none" w:sz="0" w:space="0" w:color="auto"/>
        <w:bottom w:val="none" w:sz="0" w:space="0" w:color="auto"/>
        <w:right w:val="none" w:sz="0" w:space="0" w:color="auto"/>
      </w:divBdr>
    </w:div>
    <w:div w:id="1084179012">
      <w:bodyDiv w:val="1"/>
      <w:marLeft w:val="0"/>
      <w:marRight w:val="0"/>
      <w:marTop w:val="0"/>
      <w:marBottom w:val="0"/>
      <w:divBdr>
        <w:top w:val="none" w:sz="0" w:space="0" w:color="auto"/>
        <w:left w:val="none" w:sz="0" w:space="0" w:color="auto"/>
        <w:bottom w:val="none" w:sz="0" w:space="0" w:color="auto"/>
        <w:right w:val="none" w:sz="0" w:space="0" w:color="auto"/>
      </w:divBdr>
    </w:div>
    <w:div w:id="1085957502">
      <w:bodyDiv w:val="1"/>
      <w:marLeft w:val="0"/>
      <w:marRight w:val="0"/>
      <w:marTop w:val="0"/>
      <w:marBottom w:val="0"/>
      <w:divBdr>
        <w:top w:val="none" w:sz="0" w:space="0" w:color="auto"/>
        <w:left w:val="none" w:sz="0" w:space="0" w:color="auto"/>
        <w:bottom w:val="none" w:sz="0" w:space="0" w:color="auto"/>
        <w:right w:val="none" w:sz="0" w:space="0" w:color="auto"/>
      </w:divBdr>
    </w:div>
    <w:div w:id="1103648844">
      <w:bodyDiv w:val="1"/>
      <w:marLeft w:val="0"/>
      <w:marRight w:val="0"/>
      <w:marTop w:val="0"/>
      <w:marBottom w:val="0"/>
      <w:divBdr>
        <w:top w:val="none" w:sz="0" w:space="0" w:color="auto"/>
        <w:left w:val="none" w:sz="0" w:space="0" w:color="auto"/>
        <w:bottom w:val="none" w:sz="0" w:space="0" w:color="auto"/>
        <w:right w:val="none" w:sz="0" w:space="0" w:color="auto"/>
      </w:divBdr>
    </w:div>
    <w:div w:id="1111707827">
      <w:bodyDiv w:val="1"/>
      <w:marLeft w:val="0"/>
      <w:marRight w:val="0"/>
      <w:marTop w:val="0"/>
      <w:marBottom w:val="0"/>
      <w:divBdr>
        <w:top w:val="none" w:sz="0" w:space="0" w:color="auto"/>
        <w:left w:val="none" w:sz="0" w:space="0" w:color="auto"/>
        <w:bottom w:val="none" w:sz="0" w:space="0" w:color="auto"/>
        <w:right w:val="none" w:sz="0" w:space="0" w:color="auto"/>
      </w:divBdr>
      <w:divsChild>
        <w:div w:id="173544810">
          <w:marLeft w:val="0"/>
          <w:marRight w:val="0"/>
          <w:marTop w:val="0"/>
          <w:marBottom w:val="0"/>
          <w:divBdr>
            <w:top w:val="none" w:sz="0" w:space="0" w:color="auto"/>
            <w:left w:val="none" w:sz="0" w:space="0" w:color="auto"/>
            <w:bottom w:val="none" w:sz="0" w:space="0" w:color="auto"/>
            <w:right w:val="none" w:sz="0" w:space="0" w:color="auto"/>
          </w:divBdr>
        </w:div>
        <w:div w:id="493691091">
          <w:marLeft w:val="0"/>
          <w:marRight w:val="0"/>
          <w:marTop w:val="0"/>
          <w:marBottom w:val="0"/>
          <w:divBdr>
            <w:top w:val="none" w:sz="0" w:space="0" w:color="auto"/>
            <w:left w:val="none" w:sz="0" w:space="0" w:color="auto"/>
            <w:bottom w:val="none" w:sz="0" w:space="0" w:color="auto"/>
            <w:right w:val="none" w:sz="0" w:space="0" w:color="auto"/>
          </w:divBdr>
        </w:div>
        <w:div w:id="1090850732">
          <w:marLeft w:val="0"/>
          <w:marRight w:val="0"/>
          <w:marTop w:val="0"/>
          <w:marBottom w:val="0"/>
          <w:divBdr>
            <w:top w:val="none" w:sz="0" w:space="0" w:color="auto"/>
            <w:left w:val="none" w:sz="0" w:space="0" w:color="auto"/>
            <w:bottom w:val="none" w:sz="0" w:space="0" w:color="auto"/>
            <w:right w:val="none" w:sz="0" w:space="0" w:color="auto"/>
          </w:divBdr>
        </w:div>
        <w:div w:id="1159930616">
          <w:marLeft w:val="0"/>
          <w:marRight w:val="0"/>
          <w:marTop w:val="0"/>
          <w:marBottom w:val="0"/>
          <w:divBdr>
            <w:top w:val="none" w:sz="0" w:space="0" w:color="auto"/>
            <w:left w:val="none" w:sz="0" w:space="0" w:color="auto"/>
            <w:bottom w:val="none" w:sz="0" w:space="0" w:color="auto"/>
            <w:right w:val="none" w:sz="0" w:space="0" w:color="auto"/>
          </w:divBdr>
        </w:div>
      </w:divsChild>
    </w:div>
    <w:div w:id="1137838267">
      <w:bodyDiv w:val="1"/>
      <w:marLeft w:val="0"/>
      <w:marRight w:val="0"/>
      <w:marTop w:val="0"/>
      <w:marBottom w:val="0"/>
      <w:divBdr>
        <w:top w:val="none" w:sz="0" w:space="0" w:color="auto"/>
        <w:left w:val="none" w:sz="0" w:space="0" w:color="auto"/>
        <w:bottom w:val="none" w:sz="0" w:space="0" w:color="auto"/>
        <w:right w:val="none" w:sz="0" w:space="0" w:color="auto"/>
      </w:divBdr>
    </w:div>
    <w:div w:id="1159157471">
      <w:bodyDiv w:val="1"/>
      <w:marLeft w:val="0"/>
      <w:marRight w:val="0"/>
      <w:marTop w:val="0"/>
      <w:marBottom w:val="0"/>
      <w:divBdr>
        <w:top w:val="none" w:sz="0" w:space="0" w:color="auto"/>
        <w:left w:val="none" w:sz="0" w:space="0" w:color="auto"/>
        <w:bottom w:val="none" w:sz="0" w:space="0" w:color="auto"/>
        <w:right w:val="none" w:sz="0" w:space="0" w:color="auto"/>
      </w:divBdr>
    </w:div>
    <w:div w:id="1192038304">
      <w:bodyDiv w:val="1"/>
      <w:marLeft w:val="0"/>
      <w:marRight w:val="0"/>
      <w:marTop w:val="0"/>
      <w:marBottom w:val="0"/>
      <w:divBdr>
        <w:top w:val="none" w:sz="0" w:space="0" w:color="auto"/>
        <w:left w:val="none" w:sz="0" w:space="0" w:color="auto"/>
        <w:bottom w:val="none" w:sz="0" w:space="0" w:color="auto"/>
        <w:right w:val="none" w:sz="0" w:space="0" w:color="auto"/>
      </w:divBdr>
    </w:div>
    <w:div w:id="1216428150">
      <w:bodyDiv w:val="1"/>
      <w:marLeft w:val="0"/>
      <w:marRight w:val="0"/>
      <w:marTop w:val="0"/>
      <w:marBottom w:val="0"/>
      <w:divBdr>
        <w:top w:val="none" w:sz="0" w:space="0" w:color="auto"/>
        <w:left w:val="none" w:sz="0" w:space="0" w:color="auto"/>
        <w:bottom w:val="none" w:sz="0" w:space="0" w:color="auto"/>
        <w:right w:val="none" w:sz="0" w:space="0" w:color="auto"/>
      </w:divBdr>
    </w:div>
    <w:div w:id="1219822337">
      <w:bodyDiv w:val="1"/>
      <w:marLeft w:val="0"/>
      <w:marRight w:val="0"/>
      <w:marTop w:val="0"/>
      <w:marBottom w:val="0"/>
      <w:divBdr>
        <w:top w:val="none" w:sz="0" w:space="0" w:color="auto"/>
        <w:left w:val="none" w:sz="0" w:space="0" w:color="auto"/>
        <w:bottom w:val="none" w:sz="0" w:space="0" w:color="auto"/>
        <w:right w:val="none" w:sz="0" w:space="0" w:color="auto"/>
      </w:divBdr>
    </w:div>
    <w:div w:id="1234973455">
      <w:bodyDiv w:val="1"/>
      <w:marLeft w:val="0"/>
      <w:marRight w:val="0"/>
      <w:marTop w:val="0"/>
      <w:marBottom w:val="0"/>
      <w:divBdr>
        <w:top w:val="none" w:sz="0" w:space="0" w:color="auto"/>
        <w:left w:val="none" w:sz="0" w:space="0" w:color="auto"/>
        <w:bottom w:val="none" w:sz="0" w:space="0" w:color="auto"/>
        <w:right w:val="none" w:sz="0" w:space="0" w:color="auto"/>
      </w:divBdr>
    </w:div>
    <w:div w:id="1275165225">
      <w:bodyDiv w:val="1"/>
      <w:marLeft w:val="0"/>
      <w:marRight w:val="0"/>
      <w:marTop w:val="0"/>
      <w:marBottom w:val="0"/>
      <w:divBdr>
        <w:top w:val="none" w:sz="0" w:space="0" w:color="auto"/>
        <w:left w:val="none" w:sz="0" w:space="0" w:color="auto"/>
        <w:bottom w:val="none" w:sz="0" w:space="0" w:color="auto"/>
        <w:right w:val="none" w:sz="0" w:space="0" w:color="auto"/>
      </w:divBdr>
    </w:div>
    <w:div w:id="1276323563">
      <w:bodyDiv w:val="1"/>
      <w:marLeft w:val="0"/>
      <w:marRight w:val="0"/>
      <w:marTop w:val="0"/>
      <w:marBottom w:val="0"/>
      <w:divBdr>
        <w:top w:val="none" w:sz="0" w:space="0" w:color="auto"/>
        <w:left w:val="none" w:sz="0" w:space="0" w:color="auto"/>
        <w:bottom w:val="none" w:sz="0" w:space="0" w:color="auto"/>
        <w:right w:val="none" w:sz="0" w:space="0" w:color="auto"/>
      </w:divBdr>
      <w:divsChild>
        <w:div w:id="571933662">
          <w:marLeft w:val="0"/>
          <w:marRight w:val="0"/>
          <w:marTop w:val="0"/>
          <w:marBottom w:val="0"/>
          <w:divBdr>
            <w:top w:val="none" w:sz="0" w:space="0" w:color="auto"/>
            <w:left w:val="none" w:sz="0" w:space="0" w:color="auto"/>
            <w:bottom w:val="none" w:sz="0" w:space="0" w:color="auto"/>
            <w:right w:val="none" w:sz="0" w:space="0" w:color="auto"/>
          </w:divBdr>
          <w:divsChild>
            <w:div w:id="820540228">
              <w:marLeft w:val="0"/>
              <w:marRight w:val="0"/>
              <w:marTop w:val="0"/>
              <w:marBottom w:val="0"/>
              <w:divBdr>
                <w:top w:val="none" w:sz="0" w:space="0" w:color="auto"/>
                <w:left w:val="none" w:sz="0" w:space="0" w:color="auto"/>
                <w:bottom w:val="none" w:sz="0" w:space="0" w:color="auto"/>
                <w:right w:val="none" w:sz="0" w:space="0" w:color="auto"/>
              </w:divBdr>
              <w:divsChild>
                <w:div w:id="949968627">
                  <w:marLeft w:val="0"/>
                  <w:marRight w:val="0"/>
                  <w:marTop w:val="0"/>
                  <w:marBottom w:val="0"/>
                  <w:divBdr>
                    <w:top w:val="none" w:sz="0" w:space="0" w:color="auto"/>
                    <w:left w:val="none" w:sz="0" w:space="0" w:color="auto"/>
                    <w:bottom w:val="none" w:sz="0" w:space="0" w:color="auto"/>
                    <w:right w:val="none" w:sz="0" w:space="0" w:color="auto"/>
                  </w:divBdr>
                  <w:divsChild>
                    <w:div w:id="144593183">
                      <w:marLeft w:val="0"/>
                      <w:marRight w:val="0"/>
                      <w:marTop w:val="0"/>
                      <w:marBottom w:val="0"/>
                      <w:divBdr>
                        <w:top w:val="none" w:sz="0" w:space="0" w:color="auto"/>
                        <w:left w:val="none" w:sz="0" w:space="0" w:color="auto"/>
                        <w:bottom w:val="none" w:sz="0" w:space="0" w:color="auto"/>
                        <w:right w:val="none" w:sz="0" w:space="0" w:color="auto"/>
                      </w:divBdr>
                      <w:divsChild>
                        <w:div w:id="1697728427">
                          <w:marLeft w:val="0"/>
                          <w:marRight w:val="0"/>
                          <w:marTop w:val="0"/>
                          <w:marBottom w:val="0"/>
                          <w:divBdr>
                            <w:top w:val="none" w:sz="0" w:space="0" w:color="auto"/>
                            <w:left w:val="none" w:sz="0" w:space="0" w:color="auto"/>
                            <w:bottom w:val="none" w:sz="0" w:space="0" w:color="auto"/>
                            <w:right w:val="none" w:sz="0" w:space="0" w:color="auto"/>
                          </w:divBdr>
                          <w:divsChild>
                            <w:div w:id="1220901092">
                              <w:marLeft w:val="0"/>
                              <w:marRight w:val="0"/>
                              <w:marTop w:val="0"/>
                              <w:marBottom w:val="0"/>
                              <w:divBdr>
                                <w:top w:val="none" w:sz="0" w:space="0" w:color="auto"/>
                                <w:left w:val="none" w:sz="0" w:space="0" w:color="auto"/>
                                <w:bottom w:val="none" w:sz="0" w:space="0" w:color="auto"/>
                                <w:right w:val="none" w:sz="0" w:space="0" w:color="auto"/>
                              </w:divBdr>
                              <w:divsChild>
                                <w:div w:id="1720129363">
                                  <w:marLeft w:val="0"/>
                                  <w:marRight w:val="0"/>
                                  <w:marTop w:val="0"/>
                                  <w:marBottom w:val="0"/>
                                  <w:divBdr>
                                    <w:top w:val="none" w:sz="0" w:space="0" w:color="auto"/>
                                    <w:left w:val="none" w:sz="0" w:space="0" w:color="auto"/>
                                    <w:bottom w:val="none" w:sz="0" w:space="0" w:color="auto"/>
                                    <w:right w:val="none" w:sz="0" w:space="0" w:color="auto"/>
                                  </w:divBdr>
                                  <w:divsChild>
                                    <w:div w:id="9698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621916">
          <w:marLeft w:val="0"/>
          <w:marRight w:val="0"/>
          <w:marTop w:val="0"/>
          <w:marBottom w:val="0"/>
          <w:divBdr>
            <w:top w:val="none" w:sz="0" w:space="0" w:color="auto"/>
            <w:left w:val="none" w:sz="0" w:space="0" w:color="auto"/>
            <w:bottom w:val="none" w:sz="0" w:space="0" w:color="auto"/>
            <w:right w:val="none" w:sz="0" w:space="0" w:color="auto"/>
          </w:divBdr>
          <w:divsChild>
            <w:div w:id="325524791">
              <w:marLeft w:val="0"/>
              <w:marRight w:val="0"/>
              <w:marTop w:val="0"/>
              <w:marBottom w:val="0"/>
              <w:divBdr>
                <w:top w:val="none" w:sz="0" w:space="0" w:color="auto"/>
                <w:left w:val="none" w:sz="0" w:space="0" w:color="auto"/>
                <w:bottom w:val="none" w:sz="0" w:space="0" w:color="auto"/>
                <w:right w:val="none" w:sz="0" w:space="0" w:color="auto"/>
              </w:divBdr>
              <w:divsChild>
                <w:div w:id="1888687499">
                  <w:marLeft w:val="0"/>
                  <w:marRight w:val="0"/>
                  <w:marTop w:val="0"/>
                  <w:marBottom w:val="0"/>
                  <w:divBdr>
                    <w:top w:val="none" w:sz="0" w:space="0" w:color="auto"/>
                    <w:left w:val="none" w:sz="0" w:space="0" w:color="auto"/>
                    <w:bottom w:val="none" w:sz="0" w:space="0" w:color="auto"/>
                    <w:right w:val="none" w:sz="0" w:space="0" w:color="auto"/>
                  </w:divBdr>
                  <w:divsChild>
                    <w:div w:id="1595893697">
                      <w:marLeft w:val="0"/>
                      <w:marRight w:val="0"/>
                      <w:marTop w:val="0"/>
                      <w:marBottom w:val="0"/>
                      <w:divBdr>
                        <w:top w:val="none" w:sz="0" w:space="0" w:color="auto"/>
                        <w:left w:val="none" w:sz="0" w:space="0" w:color="auto"/>
                        <w:bottom w:val="none" w:sz="0" w:space="0" w:color="auto"/>
                        <w:right w:val="none" w:sz="0" w:space="0" w:color="auto"/>
                      </w:divBdr>
                      <w:divsChild>
                        <w:div w:id="898174529">
                          <w:marLeft w:val="0"/>
                          <w:marRight w:val="0"/>
                          <w:marTop w:val="0"/>
                          <w:marBottom w:val="0"/>
                          <w:divBdr>
                            <w:top w:val="none" w:sz="0" w:space="0" w:color="auto"/>
                            <w:left w:val="none" w:sz="0" w:space="0" w:color="auto"/>
                            <w:bottom w:val="none" w:sz="0" w:space="0" w:color="auto"/>
                            <w:right w:val="none" w:sz="0" w:space="0" w:color="auto"/>
                          </w:divBdr>
                          <w:divsChild>
                            <w:div w:id="627442529">
                              <w:marLeft w:val="0"/>
                              <w:marRight w:val="0"/>
                              <w:marTop w:val="0"/>
                              <w:marBottom w:val="0"/>
                              <w:divBdr>
                                <w:top w:val="none" w:sz="0" w:space="0" w:color="auto"/>
                                <w:left w:val="none" w:sz="0" w:space="0" w:color="auto"/>
                                <w:bottom w:val="none" w:sz="0" w:space="0" w:color="auto"/>
                                <w:right w:val="none" w:sz="0" w:space="0" w:color="auto"/>
                              </w:divBdr>
                              <w:divsChild>
                                <w:div w:id="659775102">
                                  <w:marLeft w:val="0"/>
                                  <w:marRight w:val="0"/>
                                  <w:marTop w:val="0"/>
                                  <w:marBottom w:val="0"/>
                                  <w:divBdr>
                                    <w:top w:val="none" w:sz="0" w:space="0" w:color="auto"/>
                                    <w:left w:val="none" w:sz="0" w:space="0" w:color="auto"/>
                                    <w:bottom w:val="none" w:sz="0" w:space="0" w:color="auto"/>
                                    <w:right w:val="none" w:sz="0" w:space="0" w:color="auto"/>
                                  </w:divBdr>
                                  <w:divsChild>
                                    <w:div w:id="1794396420">
                                      <w:marLeft w:val="0"/>
                                      <w:marRight w:val="0"/>
                                      <w:marTop w:val="0"/>
                                      <w:marBottom w:val="0"/>
                                      <w:divBdr>
                                        <w:top w:val="none" w:sz="0" w:space="0" w:color="auto"/>
                                        <w:left w:val="none" w:sz="0" w:space="0" w:color="auto"/>
                                        <w:bottom w:val="none" w:sz="0" w:space="0" w:color="auto"/>
                                        <w:right w:val="none" w:sz="0" w:space="0" w:color="auto"/>
                                      </w:divBdr>
                                      <w:divsChild>
                                        <w:div w:id="1879776648">
                                          <w:marLeft w:val="0"/>
                                          <w:marRight w:val="0"/>
                                          <w:marTop w:val="0"/>
                                          <w:marBottom w:val="0"/>
                                          <w:divBdr>
                                            <w:top w:val="none" w:sz="0" w:space="0" w:color="auto"/>
                                            <w:left w:val="none" w:sz="0" w:space="0" w:color="auto"/>
                                            <w:bottom w:val="none" w:sz="0" w:space="0" w:color="auto"/>
                                            <w:right w:val="none" w:sz="0" w:space="0" w:color="auto"/>
                                          </w:divBdr>
                                          <w:divsChild>
                                            <w:div w:id="195909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695832">
      <w:bodyDiv w:val="1"/>
      <w:marLeft w:val="0"/>
      <w:marRight w:val="0"/>
      <w:marTop w:val="0"/>
      <w:marBottom w:val="0"/>
      <w:divBdr>
        <w:top w:val="none" w:sz="0" w:space="0" w:color="auto"/>
        <w:left w:val="none" w:sz="0" w:space="0" w:color="auto"/>
        <w:bottom w:val="none" w:sz="0" w:space="0" w:color="auto"/>
        <w:right w:val="none" w:sz="0" w:space="0" w:color="auto"/>
      </w:divBdr>
    </w:div>
    <w:div w:id="1319336642">
      <w:bodyDiv w:val="1"/>
      <w:marLeft w:val="0"/>
      <w:marRight w:val="0"/>
      <w:marTop w:val="0"/>
      <w:marBottom w:val="0"/>
      <w:divBdr>
        <w:top w:val="none" w:sz="0" w:space="0" w:color="auto"/>
        <w:left w:val="none" w:sz="0" w:space="0" w:color="auto"/>
        <w:bottom w:val="none" w:sz="0" w:space="0" w:color="auto"/>
        <w:right w:val="none" w:sz="0" w:space="0" w:color="auto"/>
      </w:divBdr>
    </w:div>
    <w:div w:id="1325206067">
      <w:bodyDiv w:val="1"/>
      <w:marLeft w:val="0"/>
      <w:marRight w:val="0"/>
      <w:marTop w:val="0"/>
      <w:marBottom w:val="0"/>
      <w:divBdr>
        <w:top w:val="none" w:sz="0" w:space="0" w:color="auto"/>
        <w:left w:val="none" w:sz="0" w:space="0" w:color="auto"/>
        <w:bottom w:val="none" w:sz="0" w:space="0" w:color="auto"/>
        <w:right w:val="none" w:sz="0" w:space="0" w:color="auto"/>
      </w:divBdr>
    </w:div>
    <w:div w:id="1338652926">
      <w:bodyDiv w:val="1"/>
      <w:marLeft w:val="0"/>
      <w:marRight w:val="0"/>
      <w:marTop w:val="0"/>
      <w:marBottom w:val="0"/>
      <w:divBdr>
        <w:top w:val="none" w:sz="0" w:space="0" w:color="auto"/>
        <w:left w:val="none" w:sz="0" w:space="0" w:color="auto"/>
        <w:bottom w:val="none" w:sz="0" w:space="0" w:color="auto"/>
        <w:right w:val="none" w:sz="0" w:space="0" w:color="auto"/>
      </w:divBdr>
      <w:divsChild>
        <w:div w:id="1237744907">
          <w:marLeft w:val="0"/>
          <w:marRight w:val="0"/>
          <w:marTop w:val="0"/>
          <w:marBottom w:val="0"/>
          <w:divBdr>
            <w:top w:val="none" w:sz="0" w:space="0" w:color="auto"/>
            <w:left w:val="none" w:sz="0" w:space="0" w:color="auto"/>
            <w:bottom w:val="none" w:sz="0" w:space="0" w:color="auto"/>
            <w:right w:val="none" w:sz="0" w:space="0" w:color="auto"/>
          </w:divBdr>
        </w:div>
        <w:div w:id="1318026234">
          <w:marLeft w:val="0"/>
          <w:marRight w:val="0"/>
          <w:marTop w:val="0"/>
          <w:marBottom w:val="0"/>
          <w:divBdr>
            <w:top w:val="none" w:sz="0" w:space="0" w:color="auto"/>
            <w:left w:val="none" w:sz="0" w:space="0" w:color="auto"/>
            <w:bottom w:val="none" w:sz="0" w:space="0" w:color="auto"/>
            <w:right w:val="none" w:sz="0" w:space="0" w:color="auto"/>
          </w:divBdr>
        </w:div>
      </w:divsChild>
    </w:div>
    <w:div w:id="1380206466">
      <w:bodyDiv w:val="1"/>
      <w:marLeft w:val="0"/>
      <w:marRight w:val="0"/>
      <w:marTop w:val="0"/>
      <w:marBottom w:val="0"/>
      <w:divBdr>
        <w:top w:val="none" w:sz="0" w:space="0" w:color="auto"/>
        <w:left w:val="none" w:sz="0" w:space="0" w:color="auto"/>
        <w:bottom w:val="none" w:sz="0" w:space="0" w:color="auto"/>
        <w:right w:val="none" w:sz="0" w:space="0" w:color="auto"/>
      </w:divBdr>
      <w:divsChild>
        <w:div w:id="2066053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351521">
              <w:marLeft w:val="0"/>
              <w:marRight w:val="0"/>
              <w:marTop w:val="0"/>
              <w:marBottom w:val="0"/>
              <w:divBdr>
                <w:top w:val="none" w:sz="0" w:space="0" w:color="auto"/>
                <w:left w:val="none" w:sz="0" w:space="0" w:color="auto"/>
                <w:bottom w:val="none" w:sz="0" w:space="0" w:color="auto"/>
                <w:right w:val="none" w:sz="0" w:space="0" w:color="auto"/>
              </w:divBdr>
              <w:divsChild>
                <w:div w:id="52895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79309">
      <w:bodyDiv w:val="1"/>
      <w:marLeft w:val="0"/>
      <w:marRight w:val="0"/>
      <w:marTop w:val="0"/>
      <w:marBottom w:val="0"/>
      <w:divBdr>
        <w:top w:val="none" w:sz="0" w:space="0" w:color="auto"/>
        <w:left w:val="none" w:sz="0" w:space="0" w:color="auto"/>
        <w:bottom w:val="none" w:sz="0" w:space="0" w:color="auto"/>
        <w:right w:val="none" w:sz="0" w:space="0" w:color="auto"/>
      </w:divBdr>
    </w:div>
    <w:div w:id="1394622832">
      <w:bodyDiv w:val="1"/>
      <w:marLeft w:val="0"/>
      <w:marRight w:val="0"/>
      <w:marTop w:val="0"/>
      <w:marBottom w:val="0"/>
      <w:divBdr>
        <w:top w:val="none" w:sz="0" w:space="0" w:color="auto"/>
        <w:left w:val="none" w:sz="0" w:space="0" w:color="auto"/>
        <w:bottom w:val="none" w:sz="0" w:space="0" w:color="auto"/>
        <w:right w:val="none" w:sz="0" w:space="0" w:color="auto"/>
      </w:divBdr>
      <w:divsChild>
        <w:div w:id="1536654401">
          <w:marLeft w:val="0"/>
          <w:marRight w:val="0"/>
          <w:marTop w:val="0"/>
          <w:marBottom w:val="0"/>
          <w:divBdr>
            <w:top w:val="none" w:sz="0" w:space="0" w:color="auto"/>
            <w:left w:val="none" w:sz="0" w:space="0" w:color="auto"/>
            <w:bottom w:val="none" w:sz="0" w:space="0" w:color="auto"/>
            <w:right w:val="none" w:sz="0" w:space="0" w:color="auto"/>
          </w:divBdr>
        </w:div>
        <w:div w:id="1571500331">
          <w:marLeft w:val="0"/>
          <w:marRight w:val="0"/>
          <w:marTop w:val="0"/>
          <w:marBottom w:val="0"/>
          <w:divBdr>
            <w:top w:val="none" w:sz="0" w:space="0" w:color="auto"/>
            <w:left w:val="none" w:sz="0" w:space="0" w:color="auto"/>
            <w:bottom w:val="none" w:sz="0" w:space="0" w:color="auto"/>
            <w:right w:val="none" w:sz="0" w:space="0" w:color="auto"/>
          </w:divBdr>
        </w:div>
        <w:div w:id="1723555773">
          <w:marLeft w:val="0"/>
          <w:marRight w:val="0"/>
          <w:marTop w:val="0"/>
          <w:marBottom w:val="0"/>
          <w:divBdr>
            <w:top w:val="none" w:sz="0" w:space="0" w:color="auto"/>
            <w:left w:val="none" w:sz="0" w:space="0" w:color="auto"/>
            <w:bottom w:val="none" w:sz="0" w:space="0" w:color="auto"/>
            <w:right w:val="none" w:sz="0" w:space="0" w:color="auto"/>
          </w:divBdr>
        </w:div>
        <w:div w:id="2047245149">
          <w:marLeft w:val="0"/>
          <w:marRight w:val="0"/>
          <w:marTop w:val="0"/>
          <w:marBottom w:val="0"/>
          <w:divBdr>
            <w:top w:val="none" w:sz="0" w:space="0" w:color="auto"/>
            <w:left w:val="none" w:sz="0" w:space="0" w:color="auto"/>
            <w:bottom w:val="none" w:sz="0" w:space="0" w:color="auto"/>
            <w:right w:val="none" w:sz="0" w:space="0" w:color="auto"/>
          </w:divBdr>
        </w:div>
      </w:divsChild>
    </w:div>
    <w:div w:id="1432816186">
      <w:bodyDiv w:val="1"/>
      <w:marLeft w:val="0"/>
      <w:marRight w:val="0"/>
      <w:marTop w:val="0"/>
      <w:marBottom w:val="0"/>
      <w:divBdr>
        <w:top w:val="none" w:sz="0" w:space="0" w:color="auto"/>
        <w:left w:val="none" w:sz="0" w:space="0" w:color="auto"/>
        <w:bottom w:val="none" w:sz="0" w:space="0" w:color="auto"/>
        <w:right w:val="none" w:sz="0" w:space="0" w:color="auto"/>
      </w:divBdr>
    </w:div>
    <w:div w:id="1469474448">
      <w:bodyDiv w:val="1"/>
      <w:marLeft w:val="0"/>
      <w:marRight w:val="0"/>
      <w:marTop w:val="0"/>
      <w:marBottom w:val="0"/>
      <w:divBdr>
        <w:top w:val="none" w:sz="0" w:space="0" w:color="auto"/>
        <w:left w:val="none" w:sz="0" w:space="0" w:color="auto"/>
        <w:bottom w:val="none" w:sz="0" w:space="0" w:color="auto"/>
        <w:right w:val="none" w:sz="0" w:space="0" w:color="auto"/>
      </w:divBdr>
      <w:divsChild>
        <w:div w:id="1294679373">
          <w:marLeft w:val="0"/>
          <w:marRight w:val="0"/>
          <w:marTop w:val="0"/>
          <w:marBottom w:val="0"/>
          <w:divBdr>
            <w:top w:val="none" w:sz="0" w:space="0" w:color="auto"/>
            <w:left w:val="none" w:sz="0" w:space="0" w:color="auto"/>
            <w:bottom w:val="none" w:sz="0" w:space="0" w:color="auto"/>
            <w:right w:val="none" w:sz="0" w:space="0" w:color="auto"/>
          </w:divBdr>
          <w:divsChild>
            <w:div w:id="446236427">
              <w:marLeft w:val="0"/>
              <w:marRight w:val="0"/>
              <w:marTop w:val="0"/>
              <w:marBottom w:val="0"/>
              <w:divBdr>
                <w:top w:val="none" w:sz="0" w:space="0" w:color="auto"/>
                <w:left w:val="none" w:sz="0" w:space="0" w:color="auto"/>
                <w:bottom w:val="none" w:sz="0" w:space="0" w:color="auto"/>
                <w:right w:val="none" w:sz="0" w:space="0" w:color="auto"/>
              </w:divBdr>
              <w:divsChild>
                <w:div w:id="828718665">
                  <w:marLeft w:val="0"/>
                  <w:marRight w:val="0"/>
                  <w:marTop w:val="0"/>
                  <w:marBottom w:val="0"/>
                  <w:divBdr>
                    <w:top w:val="none" w:sz="0" w:space="0" w:color="auto"/>
                    <w:left w:val="none" w:sz="0" w:space="0" w:color="auto"/>
                    <w:bottom w:val="none" w:sz="0" w:space="0" w:color="auto"/>
                    <w:right w:val="none" w:sz="0" w:space="0" w:color="auto"/>
                  </w:divBdr>
                  <w:divsChild>
                    <w:div w:id="1135756704">
                      <w:marLeft w:val="0"/>
                      <w:marRight w:val="0"/>
                      <w:marTop w:val="0"/>
                      <w:marBottom w:val="0"/>
                      <w:divBdr>
                        <w:top w:val="none" w:sz="0" w:space="0" w:color="auto"/>
                        <w:left w:val="none" w:sz="0" w:space="0" w:color="auto"/>
                        <w:bottom w:val="none" w:sz="0" w:space="0" w:color="auto"/>
                        <w:right w:val="none" w:sz="0" w:space="0" w:color="auto"/>
                      </w:divBdr>
                      <w:divsChild>
                        <w:div w:id="301228834">
                          <w:marLeft w:val="0"/>
                          <w:marRight w:val="0"/>
                          <w:marTop w:val="0"/>
                          <w:marBottom w:val="0"/>
                          <w:divBdr>
                            <w:top w:val="none" w:sz="0" w:space="0" w:color="auto"/>
                            <w:left w:val="none" w:sz="0" w:space="0" w:color="auto"/>
                            <w:bottom w:val="none" w:sz="0" w:space="0" w:color="auto"/>
                            <w:right w:val="none" w:sz="0" w:space="0" w:color="auto"/>
                          </w:divBdr>
                          <w:divsChild>
                            <w:div w:id="1926108102">
                              <w:marLeft w:val="0"/>
                              <w:marRight w:val="0"/>
                              <w:marTop w:val="0"/>
                              <w:marBottom w:val="0"/>
                              <w:divBdr>
                                <w:top w:val="none" w:sz="0" w:space="0" w:color="auto"/>
                                <w:left w:val="none" w:sz="0" w:space="0" w:color="auto"/>
                                <w:bottom w:val="none" w:sz="0" w:space="0" w:color="auto"/>
                                <w:right w:val="none" w:sz="0" w:space="0" w:color="auto"/>
                              </w:divBdr>
                              <w:divsChild>
                                <w:div w:id="2949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707256">
      <w:bodyDiv w:val="1"/>
      <w:marLeft w:val="0"/>
      <w:marRight w:val="0"/>
      <w:marTop w:val="0"/>
      <w:marBottom w:val="0"/>
      <w:divBdr>
        <w:top w:val="none" w:sz="0" w:space="0" w:color="auto"/>
        <w:left w:val="none" w:sz="0" w:space="0" w:color="auto"/>
        <w:bottom w:val="none" w:sz="0" w:space="0" w:color="auto"/>
        <w:right w:val="none" w:sz="0" w:space="0" w:color="auto"/>
      </w:divBdr>
      <w:divsChild>
        <w:div w:id="364869963">
          <w:marLeft w:val="0"/>
          <w:marRight w:val="0"/>
          <w:marTop w:val="0"/>
          <w:marBottom w:val="0"/>
          <w:divBdr>
            <w:top w:val="none" w:sz="0" w:space="0" w:color="auto"/>
            <w:left w:val="none" w:sz="0" w:space="0" w:color="auto"/>
            <w:bottom w:val="none" w:sz="0" w:space="0" w:color="auto"/>
            <w:right w:val="none" w:sz="0" w:space="0" w:color="auto"/>
          </w:divBdr>
          <w:divsChild>
            <w:div w:id="1764958414">
              <w:marLeft w:val="0"/>
              <w:marRight w:val="0"/>
              <w:marTop w:val="0"/>
              <w:marBottom w:val="0"/>
              <w:divBdr>
                <w:top w:val="none" w:sz="0" w:space="0" w:color="auto"/>
                <w:left w:val="none" w:sz="0" w:space="0" w:color="auto"/>
                <w:bottom w:val="none" w:sz="0" w:space="0" w:color="auto"/>
                <w:right w:val="none" w:sz="0" w:space="0" w:color="auto"/>
              </w:divBdr>
              <w:divsChild>
                <w:div w:id="250939162">
                  <w:marLeft w:val="0"/>
                  <w:marRight w:val="0"/>
                  <w:marTop w:val="0"/>
                  <w:marBottom w:val="0"/>
                  <w:divBdr>
                    <w:top w:val="none" w:sz="0" w:space="0" w:color="auto"/>
                    <w:left w:val="none" w:sz="0" w:space="0" w:color="auto"/>
                    <w:bottom w:val="none" w:sz="0" w:space="0" w:color="auto"/>
                    <w:right w:val="none" w:sz="0" w:space="0" w:color="auto"/>
                  </w:divBdr>
                  <w:divsChild>
                    <w:div w:id="1965186392">
                      <w:marLeft w:val="0"/>
                      <w:marRight w:val="0"/>
                      <w:marTop w:val="0"/>
                      <w:marBottom w:val="0"/>
                      <w:divBdr>
                        <w:top w:val="none" w:sz="0" w:space="0" w:color="auto"/>
                        <w:left w:val="none" w:sz="0" w:space="0" w:color="auto"/>
                        <w:bottom w:val="none" w:sz="0" w:space="0" w:color="auto"/>
                        <w:right w:val="none" w:sz="0" w:space="0" w:color="auto"/>
                      </w:divBdr>
                      <w:divsChild>
                        <w:div w:id="1957633539">
                          <w:marLeft w:val="0"/>
                          <w:marRight w:val="0"/>
                          <w:marTop w:val="0"/>
                          <w:marBottom w:val="0"/>
                          <w:divBdr>
                            <w:top w:val="none" w:sz="0" w:space="0" w:color="auto"/>
                            <w:left w:val="none" w:sz="0" w:space="0" w:color="auto"/>
                            <w:bottom w:val="none" w:sz="0" w:space="0" w:color="auto"/>
                            <w:right w:val="none" w:sz="0" w:space="0" w:color="auto"/>
                          </w:divBdr>
                          <w:divsChild>
                            <w:div w:id="167869482">
                              <w:marLeft w:val="0"/>
                              <w:marRight w:val="0"/>
                              <w:marTop w:val="0"/>
                              <w:marBottom w:val="0"/>
                              <w:divBdr>
                                <w:top w:val="none" w:sz="0" w:space="0" w:color="auto"/>
                                <w:left w:val="none" w:sz="0" w:space="0" w:color="auto"/>
                                <w:bottom w:val="none" w:sz="0" w:space="0" w:color="auto"/>
                                <w:right w:val="none" w:sz="0" w:space="0" w:color="auto"/>
                              </w:divBdr>
                              <w:divsChild>
                                <w:div w:id="35600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648146">
      <w:bodyDiv w:val="1"/>
      <w:marLeft w:val="0"/>
      <w:marRight w:val="0"/>
      <w:marTop w:val="0"/>
      <w:marBottom w:val="0"/>
      <w:divBdr>
        <w:top w:val="none" w:sz="0" w:space="0" w:color="auto"/>
        <w:left w:val="none" w:sz="0" w:space="0" w:color="auto"/>
        <w:bottom w:val="none" w:sz="0" w:space="0" w:color="auto"/>
        <w:right w:val="none" w:sz="0" w:space="0" w:color="auto"/>
      </w:divBdr>
    </w:div>
    <w:div w:id="1520311901">
      <w:bodyDiv w:val="1"/>
      <w:marLeft w:val="0"/>
      <w:marRight w:val="0"/>
      <w:marTop w:val="0"/>
      <w:marBottom w:val="0"/>
      <w:divBdr>
        <w:top w:val="none" w:sz="0" w:space="0" w:color="auto"/>
        <w:left w:val="none" w:sz="0" w:space="0" w:color="auto"/>
        <w:bottom w:val="none" w:sz="0" w:space="0" w:color="auto"/>
        <w:right w:val="none" w:sz="0" w:space="0" w:color="auto"/>
      </w:divBdr>
    </w:div>
    <w:div w:id="1540897306">
      <w:bodyDiv w:val="1"/>
      <w:marLeft w:val="0"/>
      <w:marRight w:val="0"/>
      <w:marTop w:val="0"/>
      <w:marBottom w:val="0"/>
      <w:divBdr>
        <w:top w:val="none" w:sz="0" w:space="0" w:color="auto"/>
        <w:left w:val="none" w:sz="0" w:space="0" w:color="auto"/>
        <w:bottom w:val="none" w:sz="0" w:space="0" w:color="auto"/>
        <w:right w:val="none" w:sz="0" w:space="0" w:color="auto"/>
      </w:divBdr>
      <w:divsChild>
        <w:div w:id="1066227767">
          <w:marLeft w:val="274"/>
          <w:marRight w:val="0"/>
          <w:marTop w:val="120"/>
          <w:marBottom w:val="0"/>
          <w:divBdr>
            <w:top w:val="none" w:sz="0" w:space="0" w:color="auto"/>
            <w:left w:val="none" w:sz="0" w:space="0" w:color="auto"/>
            <w:bottom w:val="none" w:sz="0" w:space="0" w:color="auto"/>
            <w:right w:val="none" w:sz="0" w:space="0" w:color="auto"/>
          </w:divBdr>
        </w:div>
      </w:divsChild>
    </w:div>
    <w:div w:id="1577590082">
      <w:bodyDiv w:val="1"/>
      <w:marLeft w:val="0"/>
      <w:marRight w:val="0"/>
      <w:marTop w:val="0"/>
      <w:marBottom w:val="0"/>
      <w:divBdr>
        <w:top w:val="none" w:sz="0" w:space="0" w:color="auto"/>
        <w:left w:val="none" w:sz="0" w:space="0" w:color="auto"/>
        <w:bottom w:val="none" w:sz="0" w:space="0" w:color="auto"/>
        <w:right w:val="none" w:sz="0" w:space="0" w:color="auto"/>
      </w:divBdr>
    </w:div>
    <w:div w:id="1584295650">
      <w:bodyDiv w:val="1"/>
      <w:marLeft w:val="0"/>
      <w:marRight w:val="0"/>
      <w:marTop w:val="0"/>
      <w:marBottom w:val="0"/>
      <w:divBdr>
        <w:top w:val="none" w:sz="0" w:space="0" w:color="auto"/>
        <w:left w:val="none" w:sz="0" w:space="0" w:color="auto"/>
        <w:bottom w:val="none" w:sz="0" w:space="0" w:color="auto"/>
        <w:right w:val="none" w:sz="0" w:space="0" w:color="auto"/>
      </w:divBdr>
    </w:div>
    <w:div w:id="1606813002">
      <w:bodyDiv w:val="1"/>
      <w:marLeft w:val="0"/>
      <w:marRight w:val="0"/>
      <w:marTop w:val="0"/>
      <w:marBottom w:val="0"/>
      <w:divBdr>
        <w:top w:val="none" w:sz="0" w:space="0" w:color="auto"/>
        <w:left w:val="none" w:sz="0" w:space="0" w:color="auto"/>
        <w:bottom w:val="none" w:sz="0" w:space="0" w:color="auto"/>
        <w:right w:val="none" w:sz="0" w:space="0" w:color="auto"/>
      </w:divBdr>
      <w:divsChild>
        <w:div w:id="1628387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8052059">
              <w:marLeft w:val="0"/>
              <w:marRight w:val="0"/>
              <w:marTop w:val="0"/>
              <w:marBottom w:val="0"/>
              <w:divBdr>
                <w:top w:val="none" w:sz="0" w:space="0" w:color="auto"/>
                <w:left w:val="none" w:sz="0" w:space="0" w:color="auto"/>
                <w:bottom w:val="none" w:sz="0" w:space="0" w:color="auto"/>
                <w:right w:val="none" w:sz="0" w:space="0" w:color="auto"/>
              </w:divBdr>
              <w:divsChild>
                <w:div w:id="20879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7321">
      <w:bodyDiv w:val="1"/>
      <w:marLeft w:val="0"/>
      <w:marRight w:val="0"/>
      <w:marTop w:val="0"/>
      <w:marBottom w:val="0"/>
      <w:divBdr>
        <w:top w:val="none" w:sz="0" w:space="0" w:color="auto"/>
        <w:left w:val="none" w:sz="0" w:space="0" w:color="auto"/>
        <w:bottom w:val="none" w:sz="0" w:space="0" w:color="auto"/>
        <w:right w:val="none" w:sz="0" w:space="0" w:color="auto"/>
      </w:divBdr>
      <w:divsChild>
        <w:div w:id="869609727">
          <w:marLeft w:val="0"/>
          <w:marRight w:val="0"/>
          <w:marTop w:val="0"/>
          <w:marBottom w:val="0"/>
          <w:divBdr>
            <w:top w:val="none" w:sz="0" w:space="0" w:color="auto"/>
            <w:left w:val="none" w:sz="0" w:space="0" w:color="auto"/>
            <w:bottom w:val="none" w:sz="0" w:space="0" w:color="auto"/>
            <w:right w:val="none" w:sz="0" w:space="0" w:color="auto"/>
          </w:divBdr>
        </w:div>
        <w:div w:id="985859830">
          <w:marLeft w:val="0"/>
          <w:marRight w:val="0"/>
          <w:marTop w:val="0"/>
          <w:marBottom w:val="0"/>
          <w:divBdr>
            <w:top w:val="none" w:sz="0" w:space="0" w:color="auto"/>
            <w:left w:val="none" w:sz="0" w:space="0" w:color="auto"/>
            <w:bottom w:val="none" w:sz="0" w:space="0" w:color="auto"/>
            <w:right w:val="none" w:sz="0" w:space="0" w:color="auto"/>
          </w:divBdr>
        </w:div>
      </w:divsChild>
    </w:div>
    <w:div w:id="1640110410">
      <w:bodyDiv w:val="1"/>
      <w:marLeft w:val="0"/>
      <w:marRight w:val="0"/>
      <w:marTop w:val="0"/>
      <w:marBottom w:val="0"/>
      <w:divBdr>
        <w:top w:val="none" w:sz="0" w:space="0" w:color="auto"/>
        <w:left w:val="none" w:sz="0" w:space="0" w:color="auto"/>
        <w:bottom w:val="none" w:sz="0" w:space="0" w:color="auto"/>
        <w:right w:val="none" w:sz="0" w:space="0" w:color="auto"/>
      </w:divBdr>
    </w:div>
    <w:div w:id="1647124217">
      <w:bodyDiv w:val="1"/>
      <w:marLeft w:val="0"/>
      <w:marRight w:val="0"/>
      <w:marTop w:val="0"/>
      <w:marBottom w:val="0"/>
      <w:divBdr>
        <w:top w:val="none" w:sz="0" w:space="0" w:color="auto"/>
        <w:left w:val="none" w:sz="0" w:space="0" w:color="auto"/>
        <w:bottom w:val="none" w:sz="0" w:space="0" w:color="auto"/>
        <w:right w:val="none" w:sz="0" w:space="0" w:color="auto"/>
      </w:divBdr>
    </w:div>
    <w:div w:id="1675297761">
      <w:bodyDiv w:val="1"/>
      <w:marLeft w:val="0"/>
      <w:marRight w:val="0"/>
      <w:marTop w:val="0"/>
      <w:marBottom w:val="0"/>
      <w:divBdr>
        <w:top w:val="none" w:sz="0" w:space="0" w:color="auto"/>
        <w:left w:val="none" w:sz="0" w:space="0" w:color="auto"/>
        <w:bottom w:val="none" w:sz="0" w:space="0" w:color="auto"/>
        <w:right w:val="none" w:sz="0" w:space="0" w:color="auto"/>
      </w:divBdr>
    </w:div>
    <w:div w:id="1709141840">
      <w:bodyDiv w:val="1"/>
      <w:marLeft w:val="0"/>
      <w:marRight w:val="0"/>
      <w:marTop w:val="0"/>
      <w:marBottom w:val="0"/>
      <w:divBdr>
        <w:top w:val="none" w:sz="0" w:space="0" w:color="auto"/>
        <w:left w:val="none" w:sz="0" w:space="0" w:color="auto"/>
        <w:bottom w:val="none" w:sz="0" w:space="0" w:color="auto"/>
        <w:right w:val="none" w:sz="0" w:space="0" w:color="auto"/>
      </w:divBdr>
    </w:div>
    <w:div w:id="1712875473">
      <w:bodyDiv w:val="1"/>
      <w:marLeft w:val="0"/>
      <w:marRight w:val="0"/>
      <w:marTop w:val="0"/>
      <w:marBottom w:val="0"/>
      <w:divBdr>
        <w:top w:val="none" w:sz="0" w:space="0" w:color="auto"/>
        <w:left w:val="none" w:sz="0" w:space="0" w:color="auto"/>
        <w:bottom w:val="none" w:sz="0" w:space="0" w:color="auto"/>
        <w:right w:val="none" w:sz="0" w:space="0" w:color="auto"/>
      </w:divBdr>
    </w:div>
    <w:div w:id="1730806885">
      <w:bodyDiv w:val="1"/>
      <w:marLeft w:val="0"/>
      <w:marRight w:val="0"/>
      <w:marTop w:val="0"/>
      <w:marBottom w:val="0"/>
      <w:divBdr>
        <w:top w:val="none" w:sz="0" w:space="0" w:color="auto"/>
        <w:left w:val="none" w:sz="0" w:space="0" w:color="auto"/>
        <w:bottom w:val="none" w:sz="0" w:space="0" w:color="auto"/>
        <w:right w:val="none" w:sz="0" w:space="0" w:color="auto"/>
      </w:divBdr>
    </w:div>
    <w:div w:id="1807619879">
      <w:bodyDiv w:val="1"/>
      <w:marLeft w:val="0"/>
      <w:marRight w:val="0"/>
      <w:marTop w:val="0"/>
      <w:marBottom w:val="0"/>
      <w:divBdr>
        <w:top w:val="none" w:sz="0" w:space="0" w:color="auto"/>
        <w:left w:val="none" w:sz="0" w:space="0" w:color="auto"/>
        <w:bottom w:val="none" w:sz="0" w:space="0" w:color="auto"/>
        <w:right w:val="none" w:sz="0" w:space="0" w:color="auto"/>
      </w:divBdr>
      <w:divsChild>
        <w:div w:id="922758900">
          <w:marLeft w:val="0"/>
          <w:marRight w:val="0"/>
          <w:marTop w:val="0"/>
          <w:marBottom w:val="0"/>
          <w:divBdr>
            <w:top w:val="none" w:sz="0" w:space="0" w:color="auto"/>
            <w:left w:val="none" w:sz="0" w:space="0" w:color="auto"/>
            <w:bottom w:val="none" w:sz="0" w:space="0" w:color="auto"/>
            <w:right w:val="none" w:sz="0" w:space="0" w:color="auto"/>
          </w:divBdr>
          <w:divsChild>
            <w:div w:id="175266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22473">
      <w:bodyDiv w:val="1"/>
      <w:marLeft w:val="0"/>
      <w:marRight w:val="0"/>
      <w:marTop w:val="0"/>
      <w:marBottom w:val="0"/>
      <w:divBdr>
        <w:top w:val="none" w:sz="0" w:space="0" w:color="auto"/>
        <w:left w:val="none" w:sz="0" w:space="0" w:color="auto"/>
        <w:bottom w:val="none" w:sz="0" w:space="0" w:color="auto"/>
        <w:right w:val="none" w:sz="0" w:space="0" w:color="auto"/>
      </w:divBdr>
    </w:div>
    <w:div w:id="1838231535">
      <w:bodyDiv w:val="1"/>
      <w:marLeft w:val="0"/>
      <w:marRight w:val="0"/>
      <w:marTop w:val="0"/>
      <w:marBottom w:val="0"/>
      <w:divBdr>
        <w:top w:val="none" w:sz="0" w:space="0" w:color="auto"/>
        <w:left w:val="none" w:sz="0" w:space="0" w:color="auto"/>
        <w:bottom w:val="none" w:sz="0" w:space="0" w:color="auto"/>
        <w:right w:val="none" w:sz="0" w:space="0" w:color="auto"/>
      </w:divBdr>
    </w:div>
    <w:div w:id="1873616187">
      <w:bodyDiv w:val="1"/>
      <w:marLeft w:val="0"/>
      <w:marRight w:val="0"/>
      <w:marTop w:val="0"/>
      <w:marBottom w:val="0"/>
      <w:divBdr>
        <w:top w:val="none" w:sz="0" w:space="0" w:color="auto"/>
        <w:left w:val="none" w:sz="0" w:space="0" w:color="auto"/>
        <w:bottom w:val="none" w:sz="0" w:space="0" w:color="auto"/>
        <w:right w:val="none" w:sz="0" w:space="0" w:color="auto"/>
      </w:divBdr>
    </w:div>
    <w:div w:id="1883977426">
      <w:bodyDiv w:val="1"/>
      <w:marLeft w:val="0"/>
      <w:marRight w:val="0"/>
      <w:marTop w:val="0"/>
      <w:marBottom w:val="0"/>
      <w:divBdr>
        <w:top w:val="none" w:sz="0" w:space="0" w:color="auto"/>
        <w:left w:val="none" w:sz="0" w:space="0" w:color="auto"/>
        <w:bottom w:val="none" w:sz="0" w:space="0" w:color="auto"/>
        <w:right w:val="none" w:sz="0" w:space="0" w:color="auto"/>
      </w:divBdr>
    </w:div>
    <w:div w:id="1888569967">
      <w:bodyDiv w:val="1"/>
      <w:marLeft w:val="0"/>
      <w:marRight w:val="0"/>
      <w:marTop w:val="0"/>
      <w:marBottom w:val="0"/>
      <w:divBdr>
        <w:top w:val="none" w:sz="0" w:space="0" w:color="auto"/>
        <w:left w:val="none" w:sz="0" w:space="0" w:color="auto"/>
        <w:bottom w:val="none" w:sz="0" w:space="0" w:color="auto"/>
        <w:right w:val="none" w:sz="0" w:space="0" w:color="auto"/>
      </w:divBdr>
    </w:div>
    <w:div w:id="1902255030">
      <w:bodyDiv w:val="1"/>
      <w:marLeft w:val="0"/>
      <w:marRight w:val="0"/>
      <w:marTop w:val="0"/>
      <w:marBottom w:val="0"/>
      <w:divBdr>
        <w:top w:val="none" w:sz="0" w:space="0" w:color="auto"/>
        <w:left w:val="none" w:sz="0" w:space="0" w:color="auto"/>
        <w:bottom w:val="none" w:sz="0" w:space="0" w:color="auto"/>
        <w:right w:val="none" w:sz="0" w:space="0" w:color="auto"/>
      </w:divBdr>
    </w:div>
    <w:div w:id="1909881305">
      <w:bodyDiv w:val="1"/>
      <w:marLeft w:val="0"/>
      <w:marRight w:val="0"/>
      <w:marTop w:val="0"/>
      <w:marBottom w:val="0"/>
      <w:divBdr>
        <w:top w:val="none" w:sz="0" w:space="0" w:color="auto"/>
        <w:left w:val="none" w:sz="0" w:space="0" w:color="auto"/>
        <w:bottom w:val="none" w:sz="0" w:space="0" w:color="auto"/>
        <w:right w:val="none" w:sz="0" w:space="0" w:color="auto"/>
      </w:divBdr>
    </w:div>
    <w:div w:id="1992518697">
      <w:bodyDiv w:val="1"/>
      <w:marLeft w:val="0"/>
      <w:marRight w:val="0"/>
      <w:marTop w:val="0"/>
      <w:marBottom w:val="0"/>
      <w:divBdr>
        <w:top w:val="none" w:sz="0" w:space="0" w:color="auto"/>
        <w:left w:val="none" w:sz="0" w:space="0" w:color="auto"/>
        <w:bottom w:val="none" w:sz="0" w:space="0" w:color="auto"/>
        <w:right w:val="none" w:sz="0" w:space="0" w:color="auto"/>
      </w:divBdr>
      <w:divsChild>
        <w:div w:id="462620562">
          <w:marLeft w:val="0"/>
          <w:marRight w:val="0"/>
          <w:marTop w:val="0"/>
          <w:marBottom w:val="0"/>
          <w:divBdr>
            <w:top w:val="none" w:sz="0" w:space="0" w:color="auto"/>
            <w:left w:val="none" w:sz="0" w:space="0" w:color="auto"/>
            <w:bottom w:val="none" w:sz="0" w:space="0" w:color="auto"/>
            <w:right w:val="none" w:sz="0" w:space="0" w:color="auto"/>
          </w:divBdr>
        </w:div>
        <w:div w:id="895241968">
          <w:marLeft w:val="0"/>
          <w:marRight w:val="0"/>
          <w:marTop w:val="0"/>
          <w:marBottom w:val="0"/>
          <w:divBdr>
            <w:top w:val="none" w:sz="0" w:space="0" w:color="auto"/>
            <w:left w:val="none" w:sz="0" w:space="0" w:color="auto"/>
            <w:bottom w:val="none" w:sz="0" w:space="0" w:color="auto"/>
            <w:right w:val="none" w:sz="0" w:space="0" w:color="auto"/>
          </w:divBdr>
        </w:div>
        <w:div w:id="1026174278">
          <w:marLeft w:val="0"/>
          <w:marRight w:val="0"/>
          <w:marTop w:val="0"/>
          <w:marBottom w:val="0"/>
          <w:divBdr>
            <w:top w:val="none" w:sz="0" w:space="0" w:color="auto"/>
            <w:left w:val="none" w:sz="0" w:space="0" w:color="auto"/>
            <w:bottom w:val="none" w:sz="0" w:space="0" w:color="auto"/>
            <w:right w:val="none" w:sz="0" w:space="0" w:color="auto"/>
          </w:divBdr>
        </w:div>
        <w:div w:id="1151679437">
          <w:marLeft w:val="0"/>
          <w:marRight w:val="0"/>
          <w:marTop w:val="0"/>
          <w:marBottom w:val="0"/>
          <w:divBdr>
            <w:top w:val="none" w:sz="0" w:space="0" w:color="auto"/>
            <w:left w:val="none" w:sz="0" w:space="0" w:color="auto"/>
            <w:bottom w:val="none" w:sz="0" w:space="0" w:color="auto"/>
            <w:right w:val="none" w:sz="0" w:space="0" w:color="auto"/>
          </w:divBdr>
        </w:div>
        <w:div w:id="1382972094">
          <w:marLeft w:val="0"/>
          <w:marRight w:val="0"/>
          <w:marTop w:val="0"/>
          <w:marBottom w:val="0"/>
          <w:divBdr>
            <w:top w:val="none" w:sz="0" w:space="0" w:color="auto"/>
            <w:left w:val="none" w:sz="0" w:space="0" w:color="auto"/>
            <w:bottom w:val="none" w:sz="0" w:space="0" w:color="auto"/>
            <w:right w:val="none" w:sz="0" w:space="0" w:color="auto"/>
          </w:divBdr>
        </w:div>
        <w:div w:id="1393309835">
          <w:marLeft w:val="0"/>
          <w:marRight w:val="0"/>
          <w:marTop w:val="0"/>
          <w:marBottom w:val="0"/>
          <w:divBdr>
            <w:top w:val="none" w:sz="0" w:space="0" w:color="auto"/>
            <w:left w:val="none" w:sz="0" w:space="0" w:color="auto"/>
            <w:bottom w:val="none" w:sz="0" w:space="0" w:color="auto"/>
            <w:right w:val="none" w:sz="0" w:space="0" w:color="auto"/>
          </w:divBdr>
        </w:div>
        <w:div w:id="1474061356">
          <w:marLeft w:val="0"/>
          <w:marRight w:val="0"/>
          <w:marTop w:val="0"/>
          <w:marBottom w:val="0"/>
          <w:divBdr>
            <w:top w:val="none" w:sz="0" w:space="0" w:color="auto"/>
            <w:left w:val="none" w:sz="0" w:space="0" w:color="auto"/>
            <w:bottom w:val="none" w:sz="0" w:space="0" w:color="auto"/>
            <w:right w:val="none" w:sz="0" w:space="0" w:color="auto"/>
          </w:divBdr>
        </w:div>
        <w:div w:id="1681353137">
          <w:marLeft w:val="0"/>
          <w:marRight w:val="0"/>
          <w:marTop w:val="0"/>
          <w:marBottom w:val="0"/>
          <w:divBdr>
            <w:top w:val="none" w:sz="0" w:space="0" w:color="auto"/>
            <w:left w:val="none" w:sz="0" w:space="0" w:color="auto"/>
            <w:bottom w:val="none" w:sz="0" w:space="0" w:color="auto"/>
            <w:right w:val="none" w:sz="0" w:space="0" w:color="auto"/>
          </w:divBdr>
        </w:div>
        <w:div w:id="1751390414">
          <w:marLeft w:val="0"/>
          <w:marRight w:val="0"/>
          <w:marTop w:val="0"/>
          <w:marBottom w:val="0"/>
          <w:divBdr>
            <w:top w:val="none" w:sz="0" w:space="0" w:color="auto"/>
            <w:left w:val="none" w:sz="0" w:space="0" w:color="auto"/>
            <w:bottom w:val="none" w:sz="0" w:space="0" w:color="auto"/>
            <w:right w:val="none" w:sz="0" w:space="0" w:color="auto"/>
          </w:divBdr>
        </w:div>
        <w:div w:id="1754082480">
          <w:marLeft w:val="0"/>
          <w:marRight w:val="0"/>
          <w:marTop w:val="0"/>
          <w:marBottom w:val="0"/>
          <w:divBdr>
            <w:top w:val="none" w:sz="0" w:space="0" w:color="auto"/>
            <w:left w:val="none" w:sz="0" w:space="0" w:color="auto"/>
            <w:bottom w:val="none" w:sz="0" w:space="0" w:color="auto"/>
            <w:right w:val="none" w:sz="0" w:space="0" w:color="auto"/>
          </w:divBdr>
        </w:div>
        <w:div w:id="1899244573">
          <w:marLeft w:val="0"/>
          <w:marRight w:val="0"/>
          <w:marTop w:val="0"/>
          <w:marBottom w:val="0"/>
          <w:divBdr>
            <w:top w:val="none" w:sz="0" w:space="0" w:color="auto"/>
            <w:left w:val="none" w:sz="0" w:space="0" w:color="auto"/>
            <w:bottom w:val="none" w:sz="0" w:space="0" w:color="auto"/>
            <w:right w:val="none" w:sz="0" w:space="0" w:color="auto"/>
          </w:divBdr>
        </w:div>
        <w:div w:id="1901554539">
          <w:marLeft w:val="0"/>
          <w:marRight w:val="0"/>
          <w:marTop w:val="0"/>
          <w:marBottom w:val="0"/>
          <w:divBdr>
            <w:top w:val="none" w:sz="0" w:space="0" w:color="auto"/>
            <w:left w:val="none" w:sz="0" w:space="0" w:color="auto"/>
            <w:bottom w:val="none" w:sz="0" w:space="0" w:color="auto"/>
            <w:right w:val="none" w:sz="0" w:space="0" w:color="auto"/>
          </w:divBdr>
        </w:div>
        <w:div w:id="1911961561">
          <w:marLeft w:val="0"/>
          <w:marRight w:val="0"/>
          <w:marTop w:val="0"/>
          <w:marBottom w:val="0"/>
          <w:divBdr>
            <w:top w:val="none" w:sz="0" w:space="0" w:color="auto"/>
            <w:left w:val="none" w:sz="0" w:space="0" w:color="auto"/>
            <w:bottom w:val="none" w:sz="0" w:space="0" w:color="auto"/>
            <w:right w:val="none" w:sz="0" w:space="0" w:color="auto"/>
          </w:divBdr>
        </w:div>
        <w:div w:id="2110268714">
          <w:marLeft w:val="0"/>
          <w:marRight w:val="0"/>
          <w:marTop w:val="0"/>
          <w:marBottom w:val="0"/>
          <w:divBdr>
            <w:top w:val="none" w:sz="0" w:space="0" w:color="auto"/>
            <w:left w:val="none" w:sz="0" w:space="0" w:color="auto"/>
            <w:bottom w:val="none" w:sz="0" w:space="0" w:color="auto"/>
            <w:right w:val="none" w:sz="0" w:space="0" w:color="auto"/>
          </w:divBdr>
        </w:div>
      </w:divsChild>
    </w:div>
    <w:div w:id="2022468726">
      <w:bodyDiv w:val="1"/>
      <w:marLeft w:val="0"/>
      <w:marRight w:val="0"/>
      <w:marTop w:val="0"/>
      <w:marBottom w:val="0"/>
      <w:divBdr>
        <w:top w:val="none" w:sz="0" w:space="0" w:color="auto"/>
        <w:left w:val="none" w:sz="0" w:space="0" w:color="auto"/>
        <w:bottom w:val="none" w:sz="0" w:space="0" w:color="auto"/>
        <w:right w:val="none" w:sz="0" w:space="0" w:color="auto"/>
      </w:divBdr>
    </w:div>
    <w:div w:id="2042437119">
      <w:bodyDiv w:val="1"/>
      <w:marLeft w:val="0"/>
      <w:marRight w:val="0"/>
      <w:marTop w:val="0"/>
      <w:marBottom w:val="0"/>
      <w:divBdr>
        <w:top w:val="none" w:sz="0" w:space="0" w:color="auto"/>
        <w:left w:val="none" w:sz="0" w:space="0" w:color="auto"/>
        <w:bottom w:val="none" w:sz="0" w:space="0" w:color="auto"/>
        <w:right w:val="none" w:sz="0" w:space="0" w:color="auto"/>
      </w:divBdr>
    </w:div>
    <w:div w:id="2051490565">
      <w:bodyDiv w:val="1"/>
      <w:marLeft w:val="0"/>
      <w:marRight w:val="0"/>
      <w:marTop w:val="0"/>
      <w:marBottom w:val="0"/>
      <w:divBdr>
        <w:top w:val="none" w:sz="0" w:space="0" w:color="auto"/>
        <w:left w:val="none" w:sz="0" w:space="0" w:color="auto"/>
        <w:bottom w:val="none" w:sz="0" w:space="0" w:color="auto"/>
        <w:right w:val="none" w:sz="0" w:space="0" w:color="auto"/>
      </w:divBdr>
    </w:div>
    <w:div w:id="2070378750">
      <w:bodyDiv w:val="1"/>
      <w:marLeft w:val="0"/>
      <w:marRight w:val="0"/>
      <w:marTop w:val="0"/>
      <w:marBottom w:val="0"/>
      <w:divBdr>
        <w:top w:val="none" w:sz="0" w:space="0" w:color="auto"/>
        <w:left w:val="none" w:sz="0" w:space="0" w:color="auto"/>
        <w:bottom w:val="none" w:sz="0" w:space="0" w:color="auto"/>
        <w:right w:val="none" w:sz="0" w:space="0" w:color="auto"/>
      </w:divBdr>
    </w:div>
    <w:div w:id="2076463557">
      <w:bodyDiv w:val="1"/>
      <w:marLeft w:val="0"/>
      <w:marRight w:val="0"/>
      <w:marTop w:val="0"/>
      <w:marBottom w:val="0"/>
      <w:divBdr>
        <w:top w:val="none" w:sz="0" w:space="0" w:color="auto"/>
        <w:left w:val="none" w:sz="0" w:space="0" w:color="auto"/>
        <w:bottom w:val="none" w:sz="0" w:space="0" w:color="auto"/>
        <w:right w:val="none" w:sz="0" w:space="0" w:color="auto"/>
      </w:divBdr>
    </w:div>
    <w:div w:id="2104917206">
      <w:bodyDiv w:val="1"/>
      <w:marLeft w:val="0"/>
      <w:marRight w:val="0"/>
      <w:marTop w:val="0"/>
      <w:marBottom w:val="0"/>
      <w:divBdr>
        <w:top w:val="none" w:sz="0" w:space="0" w:color="auto"/>
        <w:left w:val="none" w:sz="0" w:space="0" w:color="auto"/>
        <w:bottom w:val="none" w:sz="0" w:space="0" w:color="auto"/>
        <w:right w:val="none" w:sz="0" w:space="0" w:color="auto"/>
      </w:divBdr>
    </w:div>
    <w:div w:id="2130969302">
      <w:bodyDiv w:val="1"/>
      <w:marLeft w:val="0"/>
      <w:marRight w:val="0"/>
      <w:marTop w:val="0"/>
      <w:marBottom w:val="0"/>
      <w:divBdr>
        <w:top w:val="none" w:sz="0" w:space="0" w:color="auto"/>
        <w:left w:val="none" w:sz="0" w:space="0" w:color="auto"/>
        <w:bottom w:val="none" w:sz="0" w:space="0" w:color="auto"/>
        <w:right w:val="none" w:sz="0" w:space="0" w:color="auto"/>
      </w:divBdr>
      <w:divsChild>
        <w:div w:id="61103170">
          <w:marLeft w:val="0"/>
          <w:marRight w:val="0"/>
          <w:marTop w:val="0"/>
          <w:marBottom w:val="0"/>
          <w:divBdr>
            <w:top w:val="none" w:sz="0" w:space="0" w:color="auto"/>
            <w:left w:val="none" w:sz="0" w:space="0" w:color="auto"/>
            <w:bottom w:val="none" w:sz="0" w:space="0" w:color="auto"/>
            <w:right w:val="none" w:sz="0" w:space="0" w:color="auto"/>
          </w:divBdr>
        </w:div>
        <w:div w:id="128210324">
          <w:marLeft w:val="0"/>
          <w:marRight w:val="0"/>
          <w:marTop w:val="0"/>
          <w:marBottom w:val="0"/>
          <w:divBdr>
            <w:top w:val="none" w:sz="0" w:space="0" w:color="auto"/>
            <w:left w:val="none" w:sz="0" w:space="0" w:color="auto"/>
            <w:bottom w:val="none" w:sz="0" w:space="0" w:color="auto"/>
            <w:right w:val="none" w:sz="0" w:space="0" w:color="auto"/>
          </w:divBdr>
        </w:div>
        <w:div w:id="128520278">
          <w:marLeft w:val="0"/>
          <w:marRight w:val="0"/>
          <w:marTop w:val="0"/>
          <w:marBottom w:val="0"/>
          <w:divBdr>
            <w:top w:val="none" w:sz="0" w:space="0" w:color="auto"/>
            <w:left w:val="none" w:sz="0" w:space="0" w:color="auto"/>
            <w:bottom w:val="none" w:sz="0" w:space="0" w:color="auto"/>
            <w:right w:val="none" w:sz="0" w:space="0" w:color="auto"/>
          </w:divBdr>
        </w:div>
        <w:div w:id="132989866">
          <w:marLeft w:val="0"/>
          <w:marRight w:val="0"/>
          <w:marTop w:val="0"/>
          <w:marBottom w:val="0"/>
          <w:divBdr>
            <w:top w:val="none" w:sz="0" w:space="0" w:color="auto"/>
            <w:left w:val="none" w:sz="0" w:space="0" w:color="auto"/>
            <w:bottom w:val="none" w:sz="0" w:space="0" w:color="auto"/>
            <w:right w:val="none" w:sz="0" w:space="0" w:color="auto"/>
          </w:divBdr>
        </w:div>
        <w:div w:id="410659186">
          <w:marLeft w:val="0"/>
          <w:marRight w:val="0"/>
          <w:marTop w:val="0"/>
          <w:marBottom w:val="0"/>
          <w:divBdr>
            <w:top w:val="none" w:sz="0" w:space="0" w:color="auto"/>
            <w:left w:val="none" w:sz="0" w:space="0" w:color="auto"/>
            <w:bottom w:val="none" w:sz="0" w:space="0" w:color="auto"/>
            <w:right w:val="none" w:sz="0" w:space="0" w:color="auto"/>
          </w:divBdr>
        </w:div>
        <w:div w:id="437607761">
          <w:marLeft w:val="0"/>
          <w:marRight w:val="0"/>
          <w:marTop w:val="0"/>
          <w:marBottom w:val="0"/>
          <w:divBdr>
            <w:top w:val="none" w:sz="0" w:space="0" w:color="auto"/>
            <w:left w:val="none" w:sz="0" w:space="0" w:color="auto"/>
            <w:bottom w:val="none" w:sz="0" w:space="0" w:color="auto"/>
            <w:right w:val="none" w:sz="0" w:space="0" w:color="auto"/>
          </w:divBdr>
        </w:div>
        <w:div w:id="965046240">
          <w:marLeft w:val="0"/>
          <w:marRight w:val="0"/>
          <w:marTop w:val="0"/>
          <w:marBottom w:val="0"/>
          <w:divBdr>
            <w:top w:val="none" w:sz="0" w:space="0" w:color="auto"/>
            <w:left w:val="none" w:sz="0" w:space="0" w:color="auto"/>
            <w:bottom w:val="none" w:sz="0" w:space="0" w:color="auto"/>
            <w:right w:val="none" w:sz="0" w:space="0" w:color="auto"/>
          </w:divBdr>
        </w:div>
        <w:div w:id="988095648">
          <w:marLeft w:val="0"/>
          <w:marRight w:val="0"/>
          <w:marTop w:val="0"/>
          <w:marBottom w:val="0"/>
          <w:divBdr>
            <w:top w:val="none" w:sz="0" w:space="0" w:color="auto"/>
            <w:left w:val="none" w:sz="0" w:space="0" w:color="auto"/>
            <w:bottom w:val="none" w:sz="0" w:space="0" w:color="auto"/>
            <w:right w:val="none" w:sz="0" w:space="0" w:color="auto"/>
          </w:divBdr>
        </w:div>
        <w:div w:id="1019501765">
          <w:marLeft w:val="0"/>
          <w:marRight w:val="0"/>
          <w:marTop w:val="0"/>
          <w:marBottom w:val="0"/>
          <w:divBdr>
            <w:top w:val="none" w:sz="0" w:space="0" w:color="auto"/>
            <w:left w:val="none" w:sz="0" w:space="0" w:color="auto"/>
            <w:bottom w:val="none" w:sz="0" w:space="0" w:color="auto"/>
            <w:right w:val="none" w:sz="0" w:space="0" w:color="auto"/>
          </w:divBdr>
        </w:div>
        <w:div w:id="1047290941">
          <w:marLeft w:val="0"/>
          <w:marRight w:val="0"/>
          <w:marTop w:val="0"/>
          <w:marBottom w:val="0"/>
          <w:divBdr>
            <w:top w:val="none" w:sz="0" w:space="0" w:color="auto"/>
            <w:left w:val="none" w:sz="0" w:space="0" w:color="auto"/>
            <w:bottom w:val="none" w:sz="0" w:space="0" w:color="auto"/>
            <w:right w:val="none" w:sz="0" w:space="0" w:color="auto"/>
          </w:divBdr>
        </w:div>
        <w:div w:id="1168062983">
          <w:marLeft w:val="0"/>
          <w:marRight w:val="0"/>
          <w:marTop w:val="0"/>
          <w:marBottom w:val="0"/>
          <w:divBdr>
            <w:top w:val="none" w:sz="0" w:space="0" w:color="auto"/>
            <w:left w:val="none" w:sz="0" w:space="0" w:color="auto"/>
            <w:bottom w:val="none" w:sz="0" w:space="0" w:color="auto"/>
            <w:right w:val="none" w:sz="0" w:space="0" w:color="auto"/>
          </w:divBdr>
        </w:div>
        <w:div w:id="1201673553">
          <w:marLeft w:val="0"/>
          <w:marRight w:val="0"/>
          <w:marTop w:val="0"/>
          <w:marBottom w:val="0"/>
          <w:divBdr>
            <w:top w:val="none" w:sz="0" w:space="0" w:color="auto"/>
            <w:left w:val="none" w:sz="0" w:space="0" w:color="auto"/>
            <w:bottom w:val="none" w:sz="0" w:space="0" w:color="auto"/>
            <w:right w:val="none" w:sz="0" w:space="0" w:color="auto"/>
          </w:divBdr>
        </w:div>
        <w:div w:id="1707751691">
          <w:marLeft w:val="0"/>
          <w:marRight w:val="0"/>
          <w:marTop w:val="0"/>
          <w:marBottom w:val="0"/>
          <w:divBdr>
            <w:top w:val="none" w:sz="0" w:space="0" w:color="auto"/>
            <w:left w:val="none" w:sz="0" w:space="0" w:color="auto"/>
            <w:bottom w:val="none" w:sz="0" w:space="0" w:color="auto"/>
            <w:right w:val="none" w:sz="0" w:space="0" w:color="auto"/>
          </w:divBdr>
        </w:div>
        <w:div w:id="1781991384">
          <w:marLeft w:val="0"/>
          <w:marRight w:val="0"/>
          <w:marTop w:val="0"/>
          <w:marBottom w:val="0"/>
          <w:divBdr>
            <w:top w:val="none" w:sz="0" w:space="0" w:color="auto"/>
            <w:left w:val="none" w:sz="0" w:space="0" w:color="auto"/>
            <w:bottom w:val="none" w:sz="0" w:space="0" w:color="auto"/>
            <w:right w:val="none" w:sz="0" w:space="0" w:color="auto"/>
          </w:divBdr>
        </w:div>
      </w:divsChild>
    </w:div>
    <w:div w:id="213728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6.png"/><Relationship Id="rId39" Type="http://schemas.openxmlformats.org/officeDocument/2006/relationships/image" Target="media/image17.png"/><Relationship Id="rId21" Type="http://schemas.openxmlformats.org/officeDocument/2006/relationships/chart" Target="charts/chart1.xml"/><Relationship Id="rId34" Type="http://schemas.openxmlformats.org/officeDocument/2006/relationships/image" Target="media/image12.png"/><Relationship Id="rId42" Type="http://schemas.openxmlformats.org/officeDocument/2006/relationships/image" Target="media/image19.png"/><Relationship Id="rId47" Type="http://schemas.openxmlformats.org/officeDocument/2006/relationships/image" Target="media/image22.png"/><Relationship Id="rId50" Type="http://schemas.openxmlformats.org/officeDocument/2006/relationships/image" Target="cid:image004.png@01DCD626.C954A020" TargetMode="External"/><Relationship Id="rId55" Type="http://schemas.openxmlformats.org/officeDocument/2006/relationships/hyperlink" Target="https://digital-strategy.ec.europa.eu/en/policies/ai-screening-centres" TargetMode="External"/><Relationship Id="rId63" Type="http://schemas.openxmlformats.org/officeDocument/2006/relationships/hyperlink" Target="https://ec.europa.eu/digital-building-blocks/sites/spaces/EBSI/pages/844759063/EUROPEUM-EDIC" TargetMode="External"/><Relationship Id="rId68" Type="http://schemas.openxmlformats.org/officeDocument/2006/relationships/header" Target="header5.xml"/><Relationship Id="rId76"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7.png"/><Relationship Id="rId11" Type="http://schemas.openxmlformats.org/officeDocument/2006/relationships/image" Target="media/image1.emf"/><Relationship Id="rId24" Type="http://schemas.openxmlformats.org/officeDocument/2006/relationships/image" Target="media/image5.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hyperlink" Target="https://ec.europa.eu/eurostat/databrowser/view/isoc_ci_ac_i__custom_21051971/default/table" TargetMode="External"/><Relationship Id="rId45" Type="http://schemas.openxmlformats.org/officeDocument/2006/relationships/hyperlink" Target="https://ec.europa.eu/eurostat/web/products-eurostat-news/w/edn-20260210-1" TargetMode="External"/><Relationship Id="rId53" Type="http://schemas.openxmlformats.org/officeDocument/2006/relationships/hyperlink" Target="https://op.europa.eu/en/publication-detail/-/publication/aa586f9d-1cfa-11f1-8c3a-01aa75ed71a1/language-en" TargetMode="External"/><Relationship Id="rId58" Type="http://schemas.openxmlformats.org/officeDocument/2006/relationships/hyperlink" Target="https://cancerimage.eu/" TargetMode="External"/><Relationship Id="rId66" Type="http://schemas.openxmlformats.org/officeDocument/2006/relationships/hyperlink" Target="file:///C:\Users\GRP-CNECT.D.3\Shared%20Documents\EaP\Z%20OTHER%20TEMP\:%20https:\international-partnerships.ec.europa.eu\policies\global-%20gateway\eu-latin-america-and-caribbean-digital-alliance_en" TargetMode="External"/><Relationship Id="rId7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yperlink" Target="https://digital-strategy.ec.europa.eu/en/library/connecting-europe-facility-cef-multiannual-work-programme-2024-2027" TargetMode="External"/><Relationship Id="rId36" Type="http://schemas.openxmlformats.org/officeDocument/2006/relationships/image" Target="media/image14.png"/><Relationship Id="rId49" Type="http://schemas.openxmlformats.org/officeDocument/2006/relationships/image" Target="media/image24.png"/><Relationship Id="rId57" Type="http://schemas.openxmlformats.org/officeDocument/2006/relationships/hyperlink" Target="https://gdi.onemilliongenomes.eu/" TargetMode="External"/><Relationship Id="rId61" Type="http://schemas.openxmlformats.org/officeDocument/2006/relationships/hyperlink" Target="https://www.alt-edic.eu/" TargetMode="External"/><Relationship Id="rId10" Type="http://schemas.openxmlformats.org/officeDocument/2006/relationships/endnotes" Target="endnotes.xml"/><Relationship Id="rId19" Type="http://schemas.openxmlformats.org/officeDocument/2006/relationships/hyperlink" Target="https://reforms-investments.ec.europa.eu/publications-0/2026-european-semester-spring-package_en" TargetMode="External"/><Relationship Id="rId31" Type="http://schemas.openxmlformats.org/officeDocument/2006/relationships/image" Target="media/image9.png"/><Relationship Id="rId44" Type="http://schemas.openxmlformats.org/officeDocument/2006/relationships/image" Target="media/image21.png"/><Relationship Id="rId52" Type="http://schemas.openxmlformats.org/officeDocument/2006/relationships/hyperlink" Target="https://oecd.ai/en/dashboards/national" TargetMode="External"/><Relationship Id="rId60" Type="http://schemas.openxmlformats.org/officeDocument/2006/relationships/hyperlink" Target="https://www.rijksoverheid.nl/documenten/rapporten/2025/11/19/actieprogramma-duurzame-digitalisering-2026-2028" TargetMode="External"/><Relationship Id="rId65" Type="http://schemas.openxmlformats.org/officeDocument/2006/relationships/hyperlink" Target="https://digital-strategy.ec.europa.eu/en/news/eu-sets-out-its-international-digital-strategy"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eurostat/web/products-manuals-and-guidelines/-/ks-ra-07-015" TargetMode="External"/><Relationship Id="rId27" Type="http://schemas.openxmlformats.org/officeDocument/2006/relationships/hyperlink" Target="https://blog.telegeography.com/telegeography-content-providers-submarine-cable-holdings-list-new"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0.png"/><Relationship Id="rId48" Type="http://schemas.openxmlformats.org/officeDocument/2006/relationships/image" Target="media/image23.png"/><Relationship Id="rId56" Type="http://schemas.openxmlformats.org/officeDocument/2006/relationships/hyperlink" Target="https://digital-strategy.ec.europa.eu/en/news/commission-launches-flagship-initiative-increase-use-ai-healthcare" TargetMode="External"/><Relationship Id="rId64" Type="http://schemas.openxmlformats.org/officeDocument/2006/relationships/hyperlink" Target="https://digital-strategy.ec.europa.eu/en/policies/edic" TargetMode="External"/><Relationship Id="rId69"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eur-lex.europa.eu/eli/reg/2025/327/oj/eng" TargetMode="External"/><Relationship Id="rId72"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csis.org/analysis/invisible-and-vital-undersea-cables-and-transatlantic-security"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hyperlink" Target="https://euvsdisinfo.eu/large-language-models-the-new-battlefield-of-russian-information-warfare/" TargetMode="External"/><Relationship Id="rId59" Type="http://schemas.openxmlformats.org/officeDocument/2006/relationships/hyperlink" Target="https://www.rijksoverheid.nl/documenten/rapporten/2025/11/19/actieprogramma-duurzame-digitalisering-2026-2028" TargetMode="External"/><Relationship Id="rId67" Type="http://schemas.openxmlformats.org/officeDocument/2006/relationships/header" Target="header4.xml"/><Relationship Id="rId20" Type="http://schemas.openxmlformats.org/officeDocument/2006/relationships/image" Target="media/image3.png"/><Relationship Id="rId41" Type="http://schemas.openxmlformats.org/officeDocument/2006/relationships/image" Target="media/image18.png"/><Relationship Id="rId54" Type="http://schemas.openxmlformats.org/officeDocument/2006/relationships/hyperlink" Target="https://eur-lex.europa.eu/legal-content/EN/TXT/?uri=CELEX:52025DC0723" TargetMode="External"/><Relationship Id="rId62" Type="http://schemas.openxmlformats.org/officeDocument/2006/relationships/hyperlink" Target="https://ldtcitiverse-edic.eu/" TargetMode="External"/><Relationship Id="rId70" Type="http://schemas.openxmlformats.org/officeDocument/2006/relationships/footer" Target="footer5.xml"/><Relationship Id="rId75"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6" Type="http://schemas.openxmlformats.org/officeDocument/2006/relationships/hyperlink" Target="https://my.idc.com/getdoc.jsp?containerId=prUS52611224" TargetMode="External"/><Relationship Id="rId21" Type="http://schemas.openxmlformats.org/officeDocument/2006/relationships/hyperlink" Target="https://geopolitique.eu/en/2025/02/10/financing-infrastructure-for-a-competitive-european-ai/" TargetMode="External"/><Relationship Id="rId34" Type="http://schemas.openxmlformats.org/officeDocument/2006/relationships/hyperlink" Target="https://www.consilium.europa.eu/en/meetings/tte/2025/06/06/" TargetMode="External"/><Relationship Id="rId42" Type="http://schemas.openxmlformats.org/officeDocument/2006/relationships/hyperlink" Target="https://academic.oup.com/icc/article/34/4/696/7965758" TargetMode="External"/><Relationship Id="rId47" Type="http://schemas.openxmlformats.org/officeDocument/2006/relationships/hyperlink" Target="https://digital-strategy.ec.europa.eu/en/policies/5g-observatory" TargetMode="External"/><Relationship Id="rId50" Type="http://schemas.openxmlformats.org/officeDocument/2006/relationships/hyperlink" Target="https://digital-strategy.ec.europa.eu/en/policies/5g-observatory" TargetMode="External"/><Relationship Id="rId55" Type="http://schemas.openxmlformats.org/officeDocument/2006/relationships/hyperlink" Target="https://www.futuremarketinsights.com/reports/submarine-communication-cables-market" TargetMode="External"/><Relationship Id="rId63" Type="http://schemas.openxmlformats.org/officeDocument/2006/relationships/hyperlink" Target="https://digital-strategy.ec.europa.eu/en/library/submarine-cable-security-toolbox-and-cable-projects-european-interest" TargetMode="External"/><Relationship Id="rId68" Type="http://schemas.openxmlformats.org/officeDocument/2006/relationships/hyperlink" Target="https://europa.eu/eurobarometer/surveys/detail/3352" TargetMode="External"/><Relationship Id="rId76" Type="http://schemas.openxmlformats.org/officeDocument/2006/relationships/hyperlink" Target="https://digital-strategy.ec.europa.eu/en/library/action-plan-against-cyberbullying" TargetMode="External"/><Relationship Id="rId84" Type="http://schemas.openxmlformats.org/officeDocument/2006/relationships/hyperlink" Target="https://www.iea.org/reports/key-questions-on-energy-and-ai" TargetMode="External"/><Relationship Id="rId89" Type="http://schemas.openxmlformats.org/officeDocument/2006/relationships/hyperlink" Target="https://joint-research-centre.ec.europa.eu/projects-and-activities/environmentally-sustainable-telecommunications-networks_en" TargetMode="External"/><Relationship Id="rId97" Type="http://schemas.openxmlformats.org/officeDocument/2006/relationships/hyperlink" Target="https://reforms-investments.ec.europa.eu/publications-0/recovery-and-resilience-facility-annual-report-2025_en" TargetMode="External"/><Relationship Id="rId7" Type="http://schemas.openxmlformats.org/officeDocument/2006/relationships/hyperlink" Target="https://zenodo.org/records/18873447" TargetMode="External"/><Relationship Id="rId71" Type="http://schemas.openxmlformats.org/officeDocument/2006/relationships/hyperlink" Target="https://eur-lex.europa.eu/legal-content/EN/TXT/?uri=CELEX%3A32022R0720" TargetMode="External"/><Relationship Id="rId92" Type="http://schemas.openxmlformats.org/officeDocument/2006/relationships/hyperlink" Target="https://theshiftproject.org/en/publications/al-data-and-computing-shaping-infrastructures-for-a-decarbonised-world/" TargetMode="External"/><Relationship Id="rId2" Type="http://schemas.openxmlformats.org/officeDocument/2006/relationships/hyperlink" Target="https://techtracker.aspi.org.au/" TargetMode="External"/><Relationship Id="rId16" Type="http://schemas.openxmlformats.org/officeDocument/2006/relationships/hyperlink" Target="https://www.mckinsey.com/industries/technology-media-and-telecommunications/our-insights/the-cost-of-compute-a-7-trillion-dollar-race-to-scale-data-centers" TargetMode="External"/><Relationship Id="rId29" Type="http://schemas.openxmlformats.org/officeDocument/2006/relationships/hyperlink" Target="https://myartemida.gr/en/article/microsofts-1-billion-data-center-investment-in-spata-greece-a-digital-transformation-with-local-impact/" TargetMode="External"/><Relationship Id="rId11" Type="http://schemas.openxmlformats.org/officeDocument/2006/relationships/hyperlink" Target="https://ec.europa.eu/newsroom/dae/redirection/document/122401" TargetMode="External"/><Relationship Id="rId24" Type="http://schemas.openxmlformats.org/officeDocument/2006/relationships/hyperlink" Target="https://www.servermania.com/kb/articles/cloud-server-prices" TargetMode="External"/><Relationship Id="rId32" Type="http://schemas.openxmlformats.org/officeDocument/2006/relationships/hyperlink" Target="https://www.statista.com/statistics/871513/worldwide-data-created/" TargetMode="External"/><Relationship Id="rId37" Type="http://schemas.openxmlformats.org/officeDocument/2006/relationships/hyperlink" Target="https://www.gsma.com/solutions-and-impact/connectivity-for-good/mobile-economy/wp-content/uploads/2025/01/0125-Mobile-Economy-Europe-2025-web.pdf?" TargetMode="External"/><Relationship Id="rId40" Type="http://schemas.openxmlformats.org/officeDocument/2006/relationships/hyperlink" Target="https://www.ookla.com" TargetMode="External"/><Relationship Id="rId45" Type="http://schemas.openxmlformats.org/officeDocument/2006/relationships/hyperlink" Target="https://www.oxfordeconomics.com/wp-content/uploads/2023/03/GlobalEconomicPotential5G_290323.pdf" TargetMode="External"/><Relationship Id="rId53" Type="http://schemas.openxmlformats.org/officeDocument/2006/relationships/hyperlink" Target="https://op.europa.eu/en/publication-detail/-/publication/4c769094-41b5-11f0-b9f2-01aa75ed71a1/language-en" TargetMode="External"/><Relationship Id="rId58" Type="http://schemas.openxmlformats.org/officeDocument/2006/relationships/hyperlink" Target="https://eur-lex.europa.eu/legal-content/EN/TXT/?uri=OJ:L_202400779" TargetMode="External"/><Relationship Id="rId66" Type="http://schemas.openxmlformats.org/officeDocument/2006/relationships/hyperlink" Target="https://www.hbs.edu/faculty/Pages/item.aspx?num=65230" TargetMode="External"/><Relationship Id="rId74" Type="http://schemas.openxmlformats.org/officeDocument/2006/relationships/hyperlink" Target="https://www.acm.nl/en/publications/acm-launches-investigation-roblox-connection-risks-minors-are-facing" TargetMode="External"/><Relationship Id="rId79" Type="http://schemas.openxmlformats.org/officeDocument/2006/relationships/hyperlink" Target="https://commission.europa.eu/topics/competitiveness/draghi-report_en" TargetMode="External"/><Relationship Id="rId87" Type="http://schemas.openxmlformats.org/officeDocument/2006/relationships/hyperlink" Target="https://www.iea.org/reports/energy-and-ai/executive-summary" TargetMode="External"/><Relationship Id="rId102" Type="http://schemas.openxmlformats.org/officeDocument/2006/relationships/hyperlink" Target="https://eur-lex.europa.eu/legal-content/EN/TXT/?uri=CELEX%3A52025PC0543&amp;qid=1753802854776" TargetMode="External"/><Relationship Id="rId5" Type="http://schemas.openxmlformats.org/officeDocument/2006/relationships/hyperlink" Target="https://www.darpa.mil/research/programs/quantum-benchmarking-initiative" TargetMode="External"/><Relationship Id="rId61" Type="http://schemas.openxmlformats.org/officeDocument/2006/relationships/hyperlink" Target="https://digital-strategy.ec.europa.eu/en/news/commission-increases-submarine-cable-security-eu347-million-investment-and-new-toolbox" TargetMode="External"/><Relationship Id="rId82" Type="http://schemas.openxmlformats.org/officeDocument/2006/relationships/hyperlink" Target="https://eur-lex.europa.eu/legal-content/EN/TXT/?uri=CELEX:32024R1735" TargetMode="External"/><Relationship Id="rId90" Type="http://schemas.openxmlformats.org/officeDocument/2006/relationships/hyperlink" Target="https://eur-lex.europa.eu/legal-content/EN/TXT/?uri=CELEX:52022DC0552" TargetMode="External"/><Relationship Id="rId95" Type="http://schemas.openxmlformats.org/officeDocument/2006/relationships/hyperlink" Target="https://ecoresponsable.numerique.gouv.fr/publications/strategie-numerique-responsable-des-collectivites/" TargetMode="External"/><Relationship Id="rId19" Type="http://schemas.openxmlformats.org/officeDocument/2006/relationships/hyperlink" Target="https://www.mckinsey.com/industries/technology-media-and-telecommunications/our-insights/the-cost-of-compute-a-7-trillion-dollar-race-to-scale-data-centers" TargetMode="External"/><Relationship Id="rId14" Type="http://schemas.openxmlformats.org/officeDocument/2006/relationships/hyperlink" Target="https://ec.europa.eu/newsroom/dae/redirection/document/122401" TargetMode="External"/><Relationship Id="rId22" Type="http://schemas.openxmlformats.org/officeDocument/2006/relationships/hyperlink" Target="https://www.cbre.com/insights/books/european-real-estate-market-outlook-mid-year-review-2025/data-centres" TargetMode="External"/><Relationship Id="rId27" Type="http://schemas.openxmlformats.org/officeDocument/2006/relationships/hyperlink" Target="https://cerre.eu/wp-content/uploads/2025/09/CERRE_Report_DCs_FinalPDF.pdf" TargetMode="External"/><Relationship Id="rId30" Type="http://schemas.openxmlformats.org/officeDocument/2006/relationships/hyperlink" Target="https://www.startcampus.pt/microsoft-makes-one-of-its-largest-investments-in-europe-at-start-campus-in-portugal" TargetMode="External"/><Relationship Id="rId35" Type="http://schemas.openxmlformats.org/officeDocument/2006/relationships/hyperlink" Target="https://www.espon.eu/projects/digireg-territorial-perspectives-digital-transition-european-regions" TargetMode="External"/><Relationship Id="rId43" Type="http://schemas.openxmlformats.org/officeDocument/2006/relationships/hyperlink" Target="https://www.econstor.eu/bitstream/10419/238018/1/Edquist.pdf" TargetMode="External"/><Relationship Id="rId48" Type="http://schemas.openxmlformats.org/officeDocument/2006/relationships/hyperlink" Target="https://digital-strategy.ec.europa.eu/en/library/investment-and-funding-needs-digital-decade-connectivity-targets" TargetMode="External"/><Relationship Id="rId56" Type="http://schemas.openxmlformats.org/officeDocument/2006/relationships/hyperlink" Target="https://digital-strategy.ec.europa.eu/en/news/security-cables-commission-publishes-landmark-report-and-funding-cable-hubs" TargetMode="External"/><Relationship Id="rId64" Type="http://schemas.openxmlformats.org/officeDocument/2006/relationships/hyperlink" Target="https://ec.europa.eu/eurostat/statistics-explained/index.php/Cloud_computing_-_statistics_on_the_use_by_enterprises" TargetMode="External"/><Relationship Id="rId69" Type="http://schemas.openxmlformats.org/officeDocument/2006/relationships/hyperlink" Target="https://eur-lex.europa.eu/legal-content/EN/TXT/?uri=celex:52025DC0089" TargetMode="External"/><Relationship Id="rId77" Type="http://schemas.openxmlformats.org/officeDocument/2006/relationships/hyperlink" Target="https://ec.europa.eu/eurostat/cache/dashboard/digitalisation/" TargetMode="External"/><Relationship Id="rId100" Type="http://schemas.openxmlformats.org/officeDocument/2006/relationships/hyperlink" Target="https://commission.europa.eu/about/departments-and-executive-agencies/economic-and-financial-affairs/evaluation-reports-economic-and-financial-affairs-policies-and-spending-activities/interim-evaluation-investeu-programme_en" TargetMode="External"/><Relationship Id="rId8" Type="http://schemas.openxmlformats.org/officeDocument/2006/relationships/hyperlink" Target="https://publications.jrc.ec.europa.eu/repository/handle/JRC141050" TargetMode="External"/><Relationship Id="rId51" Type="http://schemas.openxmlformats.org/officeDocument/2006/relationships/hyperlink" Target="https://smart-networks.europa.eu/wp-content/uploads/2026/03/overview_of_national_-initiatives_2004_2025_srg-edition.pdf" TargetMode="External"/><Relationship Id="rId72" Type="http://schemas.openxmlformats.org/officeDocument/2006/relationships/hyperlink" Target="https://zenodo.org/records/17592362" TargetMode="External"/><Relationship Id="rId80" Type="http://schemas.openxmlformats.org/officeDocument/2006/relationships/hyperlink" Target="https://op.europa.eu/en/publication-detail/-/publication/9ddf7bf8-62bf-11f0-bf4e-01aa75ed71a1/language-en" TargetMode="External"/><Relationship Id="rId85" Type="http://schemas.openxmlformats.org/officeDocument/2006/relationships/hyperlink" Target="https://www.euronews.com/my-europe/2026/01/20/is-europe-losing-the-race-to-secure-rare-earth-materials" TargetMode="External"/><Relationship Id="rId93" Type="http://schemas.openxmlformats.org/officeDocument/2006/relationships/hyperlink" Target="https://energy.ec.europa.eu/topics/eus-energy-system/digitalisation-energy-system_en" TargetMode="External"/><Relationship Id="rId98" Type="http://schemas.openxmlformats.org/officeDocument/2006/relationships/hyperlink" Target="https://economy-finance.ec.europa.eu/publications/digital-measures-under-recovery-and-resilience-facility-economic-impacts-macro-sectoral-and-country_en" TargetMode="External"/><Relationship Id="rId3" Type="http://schemas.openxmlformats.org/officeDocument/2006/relationships/hyperlink" Target="https://quantumzeitgeist.com/how-many-quantum-computers-are-there/" TargetMode="External"/><Relationship Id="rId12" Type="http://schemas.openxmlformats.org/officeDocument/2006/relationships/hyperlink" Target="https://ec.europa.eu/newsroom/dae/redirection/document/127759" TargetMode="External"/><Relationship Id="rId17" Type="http://schemas.openxmlformats.org/officeDocument/2006/relationships/hyperlink" Target="https://www.bain.com/insights/how-can-we-meet-ais-insatiable-demand-for-compute-power-technology-report-2025/" TargetMode="External"/><Relationship Id="rId25" Type="http://schemas.openxmlformats.org/officeDocument/2006/relationships/hyperlink" Target="https://learn.microsoft.com/en-us/azure/networking/azure-network-latency?tabs=Europe%2CWesternEurope" TargetMode="External"/><Relationship Id="rId33" Type="http://schemas.openxmlformats.org/officeDocument/2006/relationships/hyperlink" Target="https://www.fsisac.com/newsroom/fsisac-releases-critical-guidance-on-subsea-cable-risks-for-financial-firms" TargetMode="External"/><Relationship Id="rId38" Type="http://schemas.openxmlformats.org/officeDocument/2006/relationships/hyperlink" Target="https://digital-strategy.ec.europa.eu/en/policies/5g-observatory" TargetMode="External"/><Relationship Id="rId46" Type="http://schemas.openxmlformats.org/officeDocument/2006/relationships/hyperlink" Target="https://gsacom.com/paper/private-mobile-networks-september-2024/" TargetMode="External"/><Relationship Id="rId59" Type="http://schemas.openxmlformats.org/officeDocument/2006/relationships/hyperlink" Target="https://digital-strategy.ec.europa.eu/en/news/security-cables-commission-publishes-landmark-report-and-funding-cable-hubs" TargetMode="External"/><Relationship Id="rId67" Type="http://schemas.openxmlformats.org/officeDocument/2006/relationships/hyperlink" Target="https://digital-strategy.ec.europa.eu/en/library/coordinated-implementation-roadmap-transition-post-quantum-cryptography" TargetMode="External"/><Relationship Id="rId20" Type="http://schemas.openxmlformats.org/officeDocument/2006/relationships/hyperlink" Target="https://digital-markets-act.ec.europa.eu/commission-launches-market-investigations-cloud-computing-services-under-digital-markets-act-2025-11-18_en" TargetMode="External"/><Relationship Id="rId41" Type="http://schemas.openxmlformats.org/officeDocument/2006/relationships/hyperlink" Target="https://medux.net" TargetMode="External"/><Relationship Id="rId54" Type="http://schemas.openxmlformats.org/officeDocument/2006/relationships/hyperlink" Target="https://statics.teams.cdn.office.net/evergreen-assets/safelinks/2/atp-safelinks.html" TargetMode="External"/><Relationship Id="rId62" Type="http://schemas.openxmlformats.org/officeDocument/2006/relationships/hyperlink" Target="https://eur-lex.europa.eu/legal-content/EN/TXT/?uri=COM:2025:516:FIN" TargetMode="External"/><Relationship Id="rId70" Type="http://schemas.openxmlformats.org/officeDocument/2006/relationships/hyperlink" Target="https://eur-lex.europa.eu/legal-content/EN/TXT/PDF/?uri=OJ:C_202601687" TargetMode="External"/><Relationship Id="rId75" Type="http://schemas.openxmlformats.org/officeDocument/2006/relationships/hyperlink" Target="https://op.europa.eu/en/publication-detail/-/publication/9c7c2370-cb3d-11f0-8da2-01aa75ed71a1/language-en" TargetMode="External"/><Relationship Id="rId83" Type="http://schemas.openxmlformats.org/officeDocument/2006/relationships/hyperlink" Target="https://www.iea.org/reports/energy-and-ai/executive-summary" TargetMode="External"/><Relationship Id="rId88" Type="http://schemas.openxmlformats.org/officeDocument/2006/relationships/hyperlink" Target="https://www.iea.org/commentaries/overcoming-energy-constraints-is-key-to-delivering-on-europe-s-data-centre-goals" TargetMode="External"/><Relationship Id="rId91" Type="http://schemas.openxmlformats.org/officeDocument/2006/relationships/hyperlink" Target="https://eur-lex.europa.eu/legal-content/AUTO/?uri=COM%3A2026%3A16%3AFIN" TargetMode="External"/><Relationship Id="rId96" Type="http://schemas.openxmlformats.org/officeDocument/2006/relationships/hyperlink" Target="https://commission.europa.eu/strategy-and-policy/eu-budget/performance-and-reporting/horizontal-priorities/digital-tracking_en" TargetMode="External"/><Relationship Id="rId1" Type="http://schemas.openxmlformats.org/officeDocument/2006/relationships/hyperlink" Target="https://eur-lex.europa.eu/legal-content/EN/TXT/?uri=CELEX:32022D2481" TargetMode="External"/><Relationship Id="rId6" Type="http://schemas.openxmlformats.org/officeDocument/2006/relationships/hyperlink" Target="https://digital-strategy.ec.europa.eu/en/library/quantum-europe-strategy" TargetMode="External"/><Relationship Id="rId15" Type="http://schemas.openxmlformats.org/officeDocument/2006/relationships/hyperlink" Target="https://cset.georgetown.edu/wp-content/uploads/AI-and-Compute-How-Much-Longer-Can-Computing-Power-Drive-Artificial-Intelligence-Progress_v2.pdf" TargetMode="External"/><Relationship Id="rId23" Type="http://schemas.openxmlformats.org/officeDocument/2006/relationships/hyperlink" Target="https://www.savills.co.uk/research_articles/229130/362695-0" TargetMode="External"/><Relationship Id="rId28" Type="http://schemas.openxmlformats.org/officeDocument/2006/relationships/hyperlink" Target="https://ec.europa.eu/newsroom/dae/redirection/document/129113" TargetMode="External"/><Relationship Id="rId36" Type="http://schemas.openxmlformats.org/officeDocument/2006/relationships/hyperlink" Target="https://digital-strategy.ec.europa.eu/en/policies/digital-networks-act" TargetMode="External"/><Relationship Id="rId49" Type="http://schemas.openxmlformats.org/officeDocument/2006/relationships/hyperlink" Target="https://digital-strategy.ec.europa.eu/en/news/commission-announces-eu75-million-euro-3c-project-build-federated-telco-edge-cloud-infrastructure" TargetMode="External"/><Relationship Id="rId57" Type="http://schemas.openxmlformats.org/officeDocument/2006/relationships/hyperlink" Target="https://eur-lex.europa.eu/legal-content/EN/TXT/?uri=JOIN:2025:9:FIN" TargetMode="External"/><Relationship Id="rId10" Type="http://schemas.openxmlformats.org/officeDocument/2006/relationships/hyperlink" Target="https://www.datacentermap.com/" TargetMode="External"/><Relationship Id="rId31" Type="http://schemas.openxmlformats.org/officeDocument/2006/relationships/hyperlink" Target="https://irelandbusiness.ie/why-so-many-data-centres-built-in-ireland/" TargetMode="External"/><Relationship Id="rId44" Type="http://schemas.openxmlformats.org/officeDocument/2006/relationships/hyperlink" Target="https://www.oxfordeconomics.com/wp-content/uploads/2023/03/GlobalEconomicPotential5G_290323.pdf" TargetMode="External"/><Relationship Id="rId52" Type="http://schemas.openxmlformats.org/officeDocument/2006/relationships/hyperlink" Target="https://www.analysysmason.com/contentassets/0073eb3b7b00483e95dfbf2331707371/analysys_mason_mnos_oems_satellite_d2d_jun2025_nsi139.pdf" TargetMode="External"/><Relationship Id="rId60" Type="http://schemas.openxmlformats.org/officeDocument/2006/relationships/hyperlink" Target="https://digital-strategy.ec.europa.eu/en/library/submarine-cable-security-toolbox-and-cable-projects-european-interest" TargetMode="External"/><Relationship Id="rId65" Type="http://schemas.openxmlformats.org/officeDocument/2006/relationships/hyperlink" Target="https://www.synopsys.com/software-integrity/resources/analyst-reports/open-source-security-risk-analysis.html" TargetMode="External"/><Relationship Id="rId73" Type="http://schemas.openxmlformats.org/officeDocument/2006/relationships/hyperlink" Target="https://www.acm.nl/en/publications/acm-launces-dsa-investigation-snapchat-connection-illegal-sale-vaping-products-minors" TargetMode="External"/><Relationship Id="rId78" Type="http://schemas.openxmlformats.org/officeDocument/2006/relationships/hyperlink" Target="https://www.espon.eu/projects/digireg-territorial-perspectives-digital-transition-european-regions" TargetMode="External"/><Relationship Id="rId81" Type="http://schemas.openxmlformats.org/officeDocument/2006/relationships/hyperlink" Target="https://finance.ec.europa.eu/sustainable-finance/tools-and-standards/eu-taxonomy-sustainable-activities_en" TargetMode="External"/><Relationship Id="rId86" Type="http://schemas.openxmlformats.org/officeDocument/2006/relationships/hyperlink" Target="https://ec.europa.eu/eurostat/web/products-eurostat-news/w/ddn-20250409-1" TargetMode="External"/><Relationship Id="rId94" Type="http://schemas.openxmlformats.org/officeDocument/2006/relationships/hyperlink" Target="https://energy.ec.europa.eu/news/strategic-roadmap-digitalisation-and-ai-energy-sector-consultations-opened-2025-08-06_en" TargetMode="External"/><Relationship Id="rId99" Type="http://schemas.openxmlformats.org/officeDocument/2006/relationships/hyperlink" Target="https://commission.europa.eu/strategy-and-policy/eu-budget/performance-and-reporting/horizontal-priorities/digital-tracking_en" TargetMode="External"/><Relationship Id="rId101" Type="http://schemas.openxmlformats.org/officeDocument/2006/relationships/hyperlink" Target="https://eur-lex.europa.eu/legal-content/EN/TXT/?uri=celex:52025PC0555" TargetMode="External"/><Relationship Id="rId4" Type="http://schemas.openxmlformats.org/officeDocument/2006/relationships/hyperlink" Target="https://patentpc.com/blog/the-cost-of-quantum-computing-how-expensive-is-it-to-run-a-quantum-system-stats-inside" TargetMode="External"/><Relationship Id="rId9" Type="http://schemas.openxmlformats.org/officeDocument/2006/relationships/hyperlink" Target="https://digital-strategy.ec.europa.eu/en/policies/european-quantum-communication-infrastructure-euroqci" TargetMode="External"/><Relationship Id="rId13" Type="http://schemas.openxmlformats.org/officeDocument/2006/relationships/hyperlink" Target="https://ec.europa.eu/newsroom/dae/redirection/document/126886" TargetMode="External"/><Relationship Id="rId18" Type="http://schemas.openxmlformats.org/officeDocument/2006/relationships/hyperlink" Target="https://www.goldmansachs.com/insights/articles/ai-to-drive-165-increase-in-data-center-power-demand-by-2030" TargetMode="External"/><Relationship Id="rId39" Type="http://schemas.openxmlformats.org/officeDocument/2006/relationships/hyperlink" Target="https://digital-strategy.ec.europa.eu/en/policies/5g-observatory"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5.jpg"/></Relationships>
</file>

<file path=word/_rels/header6.xml.rels><?xml version="1.0" encoding="UTF-8" standalone="yes"?>
<Relationships xmlns="http://schemas.openxmlformats.org/package/2006/relationships"><Relationship Id="rId1" Type="http://schemas.openxmlformats.org/officeDocument/2006/relationships/image" Target="media/image26.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eceuropaeu.sharepoint.com/teams/GRP-QuantumTechnologies/Shared%20Documents/MFF%20(DEP,HE,CEF)/Digital%20Decade/DD%20KPIs/2026/Quantum%20KPI%20trajectory%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'number of quantum computers'!$B$1</c:f>
              <c:strCache>
                <c:ptCount val="1"/>
                <c:pt idx="0">
                  <c:v>estimated number of quantum computers</c:v>
                </c:pt>
              </c:strCache>
            </c:strRef>
          </c:tx>
          <c:spPr>
            <a:ln w="22225" cap="rnd" cmpd="sng" algn="ctr">
              <a:solidFill>
                <a:srgbClr val="7030A0"/>
              </a:solidFill>
              <a:round/>
            </a:ln>
            <a:effectLst/>
          </c:spPr>
          <c:marker>
            <c:symbol val="none"/>
          </c:marker>
          <c:cat>
            <c:numRef>
              <c:f>'number of quantum computers'!$A$2:$A$10</c:f>
              <c:numCache>
                <c:formatCode>General</c:formatCode>
                <c:ptCount val="9"/>
                <c:pt idx="0">
                  <c:v>2022</c:v>
                </c:pt>
                <c:pt idx="1">
                  <c:v>2023</c:v>
                </c:pt>
                <c:pt idx="2">
                  <c:v>2024</c:v>
                </c:pt>
                <c:pt idx="3">
                  <c:v>2025</c:v>
                </c:pt>
                <c:pt idx="4">
                  <c:v>2026</c:v>
                </c:pt>
                <c:pt idx="5">
                  <c:v>2027</c:v>
                </c:pt>
                <c:pt idx="6">
                  <c:v>2028</c:v>
                </c:pt>
                <c:pt idx="7">
                  <c:v>2029</c:v>
                </c:pt>
                <c:pt idx="8">
                  <c:v>2030</c:v>
                </c:pt>
              </c:numCache>
            </c:numRef>
          </c:cat>
          <c:val>
            <c:numRef>
              <c:f>'number of quantum computers'!$B$2:$B$10</c:f>
              <c:numCache>
                <c:formatCode>0</c:formatCode>
                <c:ptCount val="9"/>
                <c:pt idx="0">
                  <c:v>0</c:v>
                </c:pt>
                <c:pt idx="1">
                  <c:v>0</c:v>
                </c:pt>
                <c:pt idx="2">
                  <c:v>2</c:v>
                </c:pt>
                <c:pt idx="3">
                  <c:v>4</c:v>
                </c:pt>
                <c:pt idx="4">
                  <c:v>6</c:v>
                </c:pt>
                <c:pt idx="5">
                  <c:v>8</c:v>
                </c:pt>
                <c:pt idx="6">
                  <c:v>8</c:v>
                </c:pt>
                <c:pt idx="7">
                  <c:v>10</c:v>
                </c:pt>
                <c:pt idx="8">
                  <c:v>10</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ABC-411F-A851-C3BB4E2ADCA6}"/>
            </c:ext>
          </c:extLst>
        </c:ser>
        <c:ser>
          <c:idx val="1"/>
          <c:order val="1"/>
          <c:tx>
            <c:strRef>
              <c:f>'number of quantum computers'!$C$1</c:f>
              <c:strCache>
                <c:ptCount val="1"/>
                <c:pt idx="0">
                  <c:v>2025 target</c:v>
                </c:pt>
              </c:strCache>
            </c:strRef>
          </c:tx>
          <c:spPr>
            <a:ln w="22225" cap="rnd" cmpd="sng" algn="ctr">
              <a:solidFill>
                <a:srgbClr val="92D050"/>
              </a:solidFill>
              <a:round/>
            </a:ln>
            <a:effectLst/>
          </c:spPr>
          <c:marker>
            <c:symbol val="none"/>
          </c:marker>
          <c:val>
            <c:numRef>
              <c:f>'number of quantum computers'!$C$2:$C$10</c:f>
              <c:numCache>
                <c:formatCode>General</c:formatCode>
                <c:ptCount val="9"/>
                <c:pt idx="0">
                  <c:v>1</c:v>
                </c:pt>
                <c:pt idx="1">
                  <c:v>1</c:v>
                </c:pt>
                <c:pt idx="2">
                  <c:v>1</c:v>
                </c:pt>
                <c:pt idx="3">
                  <c:v>1</c:v>
                </c:pt>
                <c:pt idx="4">
                  <c:v>1</c:v>
                </c:pt>
                <c:pt idx="5">
                  <c:v>1</c:v>
                </c:pt>
                <c:pt idx="6">
                  <c:v>1</c:v>
                </c:pt>
                <c:pt idx="7">
                  <c:v>1</c:v>
                </c:pt>
                <c:pt idx="8">
                  <c:v>1</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ABC-411F-A851-C3BB4E2ADCA6}"/>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484179792"/>
        <c:axId val="429721008"/>
      </c:lineChart>
      <c:catAx>
        <c:axId val="48417979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429721008"/>
        <c:crosses val="autoZero"/>
        <c:auto val="1"/>
        <c:lblAlgn val="ctr"/>
        <c:lblOffset val="100"/>
        <c:noMultiLvlLbl val="1"/>
      </c:catAx>
      <c:valAx>
        <c:axId val="429721008"/>
        <c:scaling>
          <c:orientation val="minMax"/>
        </c:scaling>
        <c:delete val="0"/>
        <c:axPos val="l"/>
        <c:majorGridlines>
          <c:spPr>
            <a:ln>
              <a:solidFill>
                <a:schemeClr val="dk1">
                  <a:lumMod val="15000"/>
                  <a:lumOff val="85000"/>
                </a:schemeClr>
              </a:solidFill>
            </a:ln>
            <a:effectLst/>
          </c:spPr>
        </c:majorGridlines>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IE"/>
                  <a:t>NUMBER</a:t>
                </a:r>
                <a:r>
                  <a:rPr lang="en-IE" baseline="0"/>
                  <a:t> OF QUANTUM COMPUTERS</a:t>
                </a:r>
                <a:endParaRPr lang="en-IE"/>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484179792"/>
        <c:crosses val="autoZero"/>
        <c:crossBetween val="between"/>
        <c:majorUnit val="1"/>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documenttasks/documenttasks1.xml><?xml version="1.0" encoding="utf-8"?>
<t:Tasks xmlns:t="http://schemas.microsoft.com/office/tasks/2019/documenttasks" xmlns:oel="http://schemas.microsoft.com/office/2019/extlst">
  <t:Task id="{EECAF313-88DC-41EE-8E6E-62282BDF7F94}">
    <t:Anchor>
      <t:Comment id="1840547284"/>
    </t:Anchor>
    <t:History>
      <t:Event time="2026-03-16T09:01:37.256Z" id="{5F4CFECF-6FB9-4DA8-8711-3F037320F1EB}">
        <t:Attribution userId="S::donatella.nembrini@ec.europa.eu::10c0b293-1e9e-4ac1-9513-14d80ffd7cfe" userName="NEMBRINI Donatella (CNECT)" userProvider="AD"/>
        <t:Anchor>
          <t:Comment id="1840547284"/>
        </t:Anchor>
        <t:Create/>
      </t:Event>
      <t:Event time="2026-03-16T09:01:37.256Z" id="{A8EC6DDC-C489-46DB-90ED-DC03D5BAB86D}">
        <t:Attribution userId="S::donatella.nembrini@ec.europa.eu::10c0b293-1e9e-4ac1-9513-14d80ffd7cfe" userName="NEMBRINI Donatella (CNECT)" userProvider="AD"/>
        <t:Anchor>
          <t:Comment id="1840547284"/>
        </t:Anchor>
        <t:Assign userId="S::Klaus.GROEBNER@ec.europa.eu::74dbde98-c4c9-40bb-9d1b-dd1402e19812" userName="GROEBNER Klaus (CNECT)" userProvider="AD"/>
      </t:Event>
      <t:Event time="2026-03-16T09:01:37.256Z" id="{3705E5E6-4834-42AE-B689-E421184DD5C5}">
        <t:Attribution userId="S::donatella.nembrini@ec.europa.eu::10c0b293-1e9e-4ac1-9513-14d80ffd7cfe" userName="NEMBRINI Donatella (CNECT)" userProvider="AD"/>
        <t:Anchor>
          <t:Comment id="1840547284"/>
        </t:Anchor>
        <t:SetTitle title="@GROEBNER Klaus (CNECT) this is for F3 and I, depending on the topic."/>
      </t:Event>
    </t:History>
  </t:Task>
  <t:Task id="{8C02ED3D-C2B7-4B0F-BFB7-11A29BDDA210}">
    <t:Anchor>
      <t:Comment id="145280299"/>
    </t:Anchor>
    <t:History>
      <t:Event time="2026-03-19T22:08:14.552Z" id="{669E0571-B716-48CF-9B95-B01DA75ED6E8}">
        <t:Attribution userId="S::anna.sobkiewicz@ec.europa.eu::a18d5d08-a3d0-4239-9548-0d799072ff51" userName="SOBKIEWICZ Anna (CNECT)" userProvider="AD"/>
        <t:Anchor>
          <t:Comment id="145280299"/>
        </t:Anchor>
        <t:Create/>
      </t:Event>
      <t:Event time="2026-03-19T22:08:14.552Z" id="{2229638B-5E32-4440-8264-047EEEC4DCFF}">
        <t:Attribution userId="S::anna.sobkiewicz@ec.europa.eu::a18d5d08-a3d0-4239-9548-0d799072ff51" userName="SOBKIEWICZ Anna (CNECT)" userProvider="AD"/>
        <t:Anchor>
          <t:Comment id="145280299"/>
        </t:Anchor>
        <t:Assign userId="S::Isabelle.SIGL@ec.europa.eu::cb6580d7-7bf9-42d1-9480-90267cbacfea" userName="SIGL Isabelle (CNECT)" userProvider="AD"/>
      </t:Event>
      <t:Event time="2026-03-19T22:08:14.552Z" id="{E9C794BC-FD30-41C5-8FCD-BF27DCDCF8CF}">
        <t:Attribution userId="S::anna.sobkiewicz@ec.europa.eu::a18d5d08-a3d0-4239-9548-0d799072ff51" userName="SOBKIEWICZ Anna (CNECT)" userProvider="AD"/>
        <t:Anchor>
          <t:Comment id="145280299"/>
        </t:Anchor>
        <t:SetTitle title="@SIGL Isabelle (CNECT) can you please check the text and update accordingly"/>
      </t:Event>
    </t:History>
  </t:Task>
  <t:Task id="{2D7E7A5B-E837-4129-B5A3-5F9CF7A53938}">
    <t:Anchor>
      <t:Comment id="694916687"/>
    </t:Anchor>
    <t:History>
      <t:Event time="2026-04-16T08:14:01.73Z" id="{62F6C3CE-7F84-4303-A03E-7D3FF375F364}">
        <t:Attribution userId="S::lovisa.kastensson@ec.europa.eu::9631ee5e-68b5-412c-957e-af89400553ad" userName="KASTENSSON Lovisa (CNECT)" userProvider="AD"/>
        <t:Anchor>
          <t:Comment id="694916687"/>
        </t:Anchor>
        <t:Create/>
      </t:Event>
      <t:Event time="2026-04-16T08:14:01.73Z" id="{6300CADE-1C23-4A5B-8305-C7BEAA19B937}">
        <t:Attribution userId="S::lovisa.kastensson@ec.europa.eu::9631ee5e-68b5-412c-957e-af89400553ad" userName="KASTENSSON Lovisa (CNECT)" userProvider="AD"/>
        <t:Anchor>
          <t:Comment id="694916687"/>
        </t:Anchor>
        <t:Assign userId="S::Eoghan.O'Neill@ec.europa.eu::07dd08ef-24d8-4899-b72e-1d01a6c7879e" userName="O'NEILL Eoghan (CNECT)" userProvider="AD"/>
      </t:Event>
      <t:Event time="2026-04-16T08:14:01.73Z" id="{A213E9B2-3A0B-42C1-8524-887CD171D7E0}">
        <t:Attribution userId="S::lovisa.kastensson@ec.europa.eu::9631ee5e-68b5-412c-957e-af89400553ad" userName="KASTENSSON Lovisa (CNECT)" userProvider="AD"/>
        <t:Anchor>
          <t:Comment id="694916687"/>
        </t:Anchor>
        <t:SetTitle title="@O'NEILL Eoghan (CNECT) @BOMBARDIERI Edoardo (CNECT) dear eoghan we took this information from the EU level horizontal recommendation as we believed it would fit better in the annex 1. However, could you kindly complement this paragraph as to why MS …"/>
      </t:Event>
    </t:History>
  </t:Task>
  <t:Task id="{A8C8B7EF-7EF0-4AFB-8107-4B2FA510B4DB}">
    <t:Anchor>
      <t:Comment id="633366379"/>
    </t:Anchor>
    <t:History>
      <t:Event time="2026-03-20T10:38:35.995Z" id="{56468665-4EEB-426D-A841-90BEF3DF5566}">
        <t:Attribution userId="S::donatella.nembrini@ec.europa.eu::10c0b293-1e9e-4ac1-9513-14d80ffd7cfe" userName="NEMBRINI Donatella (CNECT)" userProvider="AD"/>
        <t:Anchor>
          <t:Comment id="633366379"/>
        </t:Anchor>
        <t:Create/>
      </t:Event>
      <t:Event time="2026-03-20T10:38:35.995Z" id="{738BF2BF-B882-4862-A11E-660DB2061661}">
        <t:Attribution userId="S::donatella.nembrini@ec.europa.eu::10c0b293-1e9e-4ac1-9513-14d80ffd7cfe" userName="NEMBRINI Donatella (CNECT)" userProvider="AD"/>
        <t:Anchor>
          <t:Comment id="633366379"/>
        </t:Anchor>
        <t:Assign userId="S::Anna.SOBKIEWICZ@ec.europa.eu::a18d5d08-a3d0-4239-9548-0d799072ff51" userName="SOBKIEWICZ Anna (CNECT)" userProvider="AD"/>
      </t:Event>
      <t:Event time="2026-03-20T10:38:35.995Z" id="{A27F079A-23D2-4C31-9500-F9EFA56C690D}">
        <t:Attribution userId="S::donatella.nembrini@ec.europa.eu::10c0b293-1e9e-4ac1-9513-14d80ffd7cfe" userName="NEMBRINI Donatella (CNECT)" userProvider="AD"/>
        <t:Anchor>
          <t:Comment id="633366379"/>
        </t:Anchor>
        <t:SetTitle title="@SOBKIEWICZ Anna (CNECT) please, check the added text."/>
      </t:Event>
    </t:History>
  </t:Task>
  <t:Task id="{959DC75C-4A6F-4C18-86BB-AD425CBB5DA3}">
    <t:Anchor>
      <t:Comment id="151995365"/>
    </t:Anchor>
    <t:History>
      <t:Event time="2026-04-16T12:12:51.802Z" id="{D48A9B83-B860-4400-A01D-2BB31D7BF398}">
        <t:Attribution userId="S::lovisa.kastensson@ec.europa.eu::9631ee5e-68b5-412c-957e-af89400553ad" userName="KASTENSSON Lovisa (CNECT)" userProvider="AD"/>
        <t:Anchor>
          <t:Comment id="151995365"/>
        </t:Anchor>
        <t:Create/>
      </t:Event>
      <t:Event time="2026-04-16T12:12:51.802Z" id="{226A9530-01B5-48C2-9227-6FDD2AE068AE}">
        <t:Attribution userId="S::lovisa.kastensson@ec.europa.eu::9631ee5e-68b5-412c-957e-af89400553ad" userName="KASTENSSON Lovisa (CNECT)" userProvider="AD"/>
        <t:Anchor>
          <t:Comment id="151995365"/>
        </t:Anchor>
        <t:Assign userId="S::Hugues.THOMAS-CASTELNAU@ext.ec.europa.eu::f7d7a8fa-becd-47e9-83af-3a0ff9cdf7c1" userName="THOMAS-CASTELNAU Hugues (CNECT-EXT)" userProvider="AD"/>
      </t:Event>
      <t:Event time="2026-04-16T12:12:51.802Z" id="{3DD482B3-DA76-492E-B96B-FC47D3749175}">
        <t:Attribution userId="S::lovisa.kastensson@ec.europa.eu::9631ee5e-68b5-412c-957e-af89400553ad" userName="KASTENSSON Lovisa (CNECT)" userProvider="AD"/>
        <t:Anchor>
          <t:Comment id="151995365"/>
        </t:Anchor>
        <t:SetTitle title="@THOMAS-CASTELNAU Hugues (CNECT-EXT) There is a need for an all over introduction to the 3.3 chapter, please coordinate together with @ALBA GALLARDO Javier (CNECT)"/>
      </t:Event>
    </t:History>
  </t:Task>
  <t:Task id="{9275F979-0B84-498C-8EEB-40E75B5658B6}">
    <t:Anchor>
      <t:Comment id="1613371329"/>
    </t:Anchor>
    <t:History>
      <t:Event time="2026-04-08T07:34:26.695Z" id="{82EBB57E-63C5-4383-AA51-F9BE5B074620}">
        <t:Attribution userId="S::gerasimos.sofianatos@ec.europa.eu::d696e18d-d0cf-4fc6-a70b-585e9221ff52" userName="SOFIANATOS Gerasimos (CNECT)" userProvider="AD"/>
        <t:Anchor>
          <t:Comment id="1613371329"/>
        </t:Anchor>
        <t:Create/>
      </t:Event>
      <t:Event time="2026-04-08T07:34:26.695Z" id="{22735EC5-A2A1-41C8-AF19-7D358B19AC4C}">
        <t:Attribution userId="S::gerasimos.sofianatos@ec.europa.eu::d696e18d-d0cf-4fc6-a70b-585e9221ff52" userName="SOFIANATOS Gerasimos (CNECT)" userProvider="AD"/>
        <t:Anchor>
          <t:Comment id="1613371329"/>
        </t:Anchor>
        <t:Assign userId="S::Edoardo.BOMBARDIERI@ec.europa.eu::d12ccbab-a646-40ef-b912-6360a7a8b166" userName="BOMBARDIERI Edoardo (CNECT)" userProvider="AD"/>
      </t:Event>
      <t:Event time="2026-04-08T07:34:26.695Z" id="{65C35F7C-662F-46E2-B294-03D433167E81}">
        <t:Attribution userId="S::gerasimos.sofianatos@ec.europa.eu::d696e18d-d0cf-4fc6-a70b-585e9221ff52" userName="SOFIANATOS Gerasimos (CNECT)" userProvider="AD"/>
        <t:Anchor>
          <t:Comment id="1613371329"/>
        </t:Anchor>
        <t:SetTitle title="It is not about interconnection, but about &quot;integration&quot; @BOMBARDIERI Edoardo (CNECT) for some reason I cannot modify this para"/>
      </t:Event>
    </t:History>
  </t:Task>
  <t:Task id="{67E7FCA2-6BF0-464E-9991-4AD84B78EAC7}">
    <t:Anchor>
      <t:Comment id="1867923242"/>
    </t:Anchor>
    <t:History>
      <t:Event time="2026-04-16T12:21:59.417Z" id="{820CC005-4083-41F1-81F7-D186D712DDB6}">
        <t:Attribution userId="S::lovisa.kastensson@ec.europa.eu::9631ee5e-68b5-412c-957e-af89400553ad" userName="KASTENSSON Lovisa (CNECT)" userProvider="AD"/>
        <t:Anchor>
          <t:Comment id="1867923242"/>
        </t:Anchor>
        <t:Create/>
      </t:Event>
      <t:Event time="2026-04-16T12:21:59.417Z" id="{8F3CCA6E-0DD3-4058-A811-B5AEF6FDEE49}">
        <t:Attribution userId="S::lovisa.kastensson@ec.europa.eu::9631ee5e-68b5-412c-957e-af89400553ad" userName="KASTENSSON Lovisa (CNECT)" userProvider="AD"/>
        <t:Anchor>
          <t:Comment id="1867923242"/>
        </t:Anchor>
        <t:Assign userId="S::Hugues.THOMAS-CASTELNAU@ext.ec.europa.eu::f7d7a8fa-becd-47e9-83af-3a0ff9cdf7c1" userName="THOMAS-CASTELNAU Hugues (CNECT-EXT)" userProvider="AD"/>
      </t:Event>
      <t:Event time="2026-04-16T12:21:59.417Z" id="{E1FF77DF-F4AC-4415-8C16-4A2533926040}">
        <t:Attribution userId="S::lovisa.kastensson@ec.europa.eu::9631ee5e-68b5-412c-957e-af89400553ad" userName="KASTENSSON Lovisa (CNECT)" userProvider="AD"/>
        <t:Anchor>
          <t:Comment id="1867923242"/>
        </t:Anchor>
        <t:SetTitle title="@THOMAS-CASTELNAU Hugues (CNECT-EXT) this paragraph is hanging a bit loose, could it be integrated in another part of removed?"/>
      </t:Event>
    </t:History>
  </t:Task>
  <t:Task id="{D94E9E01-1429-4BC3-AE87-C91CD50C12A9}">
    <t:Anchor>
      <t:Comment id="222907044"/>
    </t:Anchor>
    <t:History>
      <t:Event time="2026-04-17T10:55:55.691Z" id="{9D813B12-BA27-4D1E-9FB4-025BAAD9926E}">
        <t:Attribution userId="S::edoardo.bombardieri@ec.europa.eu::d12ccbab-a646-40ef-b912-6360a7a8b166" userName="BOMBARDIERI Edoardo (CNECT)" userProvider="AD"/>
        <t:Anchor>
          <t:Comment id="793442758"/>
        </t:Anchor>
        <t:Create/>
      </t:Event>
      <t:Event time="2026-04-17T10:55:55.691Z" id="{EF05B363-7CFA-4455-9748-2BD2E6495F04}">
        <t:Attribution userId="S::edoardo.bombardieri@ec.europa.eu::d12ccbab-a646-40ef-b912-6360a7a8b166" userName="BOMBARDIERI Edoardo (CNECT)" userProvider="AD"/>
        <t:Anchor>
          <t:Comment id="793442758"/>
        </t:Anchor>
        <t:Assign userId="S::Alexandra.ROTILEANU@ec.europa.eu::c265cd55-177b-4a69-b40c-fe74d2a595d4" userName="ROTILEANU Alexandra (CNECT)" userProvider="AD"/>
      </t:Event>
      <t:Event time="2026-04-17T10:55:55.691Z" id="{61253791-E8DB-45A7-84AF-97CAE75AFB42}">
        <t:Attribution userId="S::edoardo.bombardieri@ec.europa.eu::d12ccbab-a646-40ef-b912-6360a7a8b166" userName="BOMBARDIERI Edoardo (CNECT)" userProvider="AD"/>
        <t:Anchor>
          <t:Comment id="793442758"/>
        </t:Anchor>
        <t:SetTitle title="@ROTILEANU Alexandra (CNECT)?"/>
      </t:Event>
    </t:History>
  </t:Task>
  <t:Task id="{4585D818-682E-4D0A-AF5B-4D099EF9A6AC}">
    <t:Anchor>
      <t:Comment id="1176478767"/>
    </t:Anchor>
    <t:History>
      <t:Event time="2026-04-16T15:47:13.859Z" id="{9D05ABA4-A812-420C-872D-F7BE209621FA}">
        <t:Attribution userId="S::lovisa.kastensson@ec.europa.eu::9631ee5e-68b5-412c-957e-af89400553ad" userName="KASTENSSON Lovisa (CNECT)" userProvider="AD"/>
        <t:Anchor>
          <t:Comment id="1176478767"/>
        </t:Anchor>
        <t:Create/>
      </t:Event>
      <t:Event time="2026-04-16T15:47:13.859Z" id="{86C99597-8353-44DB-AF00-AE693FD61293}">
        <t:Attribution userId="S::lovisa.kastensson@ec.europa.eu::9631ee5e-68b5-412c-957e-af89400553ad" userName="KASTENSSON Lovisa (CNECT)" userProvider="AD"/>
        <t:Anchor>
          <t:Comment id="1176478767"/>
        </t:Anchor>
        <t:Assign userId="S::Eline.CHIVOT@ec.europa.eu::176e0c78-7c86-4189-ad1d-5bec75785b41" userName="CHIVOT Eline (CNECT)" userProvider="AD"/>
      </t:Event>
      <t:Event time="2026-04-16T15:47:13.859Z" id="{D3E11228-8215-491C-97D6-62569F05269F}">
        <t:Attribution userId="S::lovisa.kastensson@ec.europa.eu::9631ee5e-68b5-412c-957e-af89400553ad" userName="KASTENSSON Lovisa (CNECT)" userProvider="AD"/>
        <t:Anchor>
          <t:Comment id="1176478767"/>
        </t:Anchor>
        <t:SetTitle title="@CHIVOT Eline (CNECT) if you could write a short intro to this section, i would be very grateful, no need to have more than a few sentences."/>
      </t:Event>
      <t:Event time="2026-04-16T17:03:02.87Z" id="{39F0CD21-7926-4EF2-BB53-C77B9F60EC9A}">
        <t:Attribution userId="S::eline.chivot@ec.europa.eu::176e0c78-7c86-4189-ad1d-5bec75785b41" userName="CHIVOT Eline (CNECT)" userProvider="AD"/>
        <t:Progress percentComplete="100"/>
      </t:Event>
    </t:History>
  </t:Task>
  <t:Task id="{498AB640-DCB8-4C91-9669-8D441641056D}">
    <t:Anchor>
      <t:Comment id="1865419808"/>
    </t:Anchor>
    <t:History>
      <t:Event time="2026-04-16T10:32:13.105Z" id="{36D7F8CA-59C9-4427-8863-0BA32EA8F233}">
        <t:Attribution userId="S::lovisa.kastensson@ec.europa.eu::9631ee5e-68b5-412c-957e-af89400553ad" userName="KASTENSSON Lovisa (CNECT)" userProvider="AD"/>
        <t:Anchor>
          <t:Comment id="1865419808"/>
        </t:Anchor>
        <t:Create/>
      </t:Event>
      <t:Event time="2026-04-16T10:32:13.105Z" id="{62C6C6C6-6D7B-4509-B91C-5D6AFDE01EF1}">
        <t:Attribution userId="S::lovisa.kastensson@ec.europa.eu::9631ee5e-68b5-412c-957e-af89400553ad" userName="KASTENSSON Lovisa (CNECT)" userProvider="AD"/>
        <t:Anchor>
          <t:Comment id="1865419808"/>
        </t:Anchor>
        <t:Assign userId="S::Victoria.SHIVENKOVA@ec.europa.eu::48c3fa18-41de-4a40-9278-be3e8f4eaa82" userName="SHIVENKOVA Victoria (CNECT)" userProvider="AD"/>
      </t:Event>
      <t:Event time="2026-04-16T10:32:13.105Z" id="{6FB1C765-BC33-4D9D-9297-4C5B551569C3}">
        <t:Attribution userId="S::lovisa.kastensson@ec.europa.eu::9631ee5e-68b5-412c-957e-af89400553ad" userName="KASTENSSON Lovisa (CNECT)" userProvider="AD"/>
        <t:Anchor>
          <t:Comment id="1865419808"/>
        </t:Anchor>
        <t:SetTitle title="@SHIVENKOVA Victoria (CNECT) could you add the source to this in a footnote?"/>
      </t:Event>
    </t:History>
  </t:Task>
  <t:Task id="{35A7CCB7-19F9-4ABB-8CD9-370985396747}">
    <t:Anchor>
      <t:Comment id="234801412"/>
    </t:Anchor>
    <t:History>
      <t:Event time="2026-04-16T07:56:59.053Z" id="{8EE2BBE8-CAF9-4EB9-AC17-982A7F5137F7}">
        <t:Attribution userId="S::lovisa.kastensson@ec.europa.eu::9631ee5e-68b5-412c-957e-af89400553ad" userName="KASTENSSON Lovisa (CNECT)" userProvider="AD"/>
        <t:Anchor>
          <t:Comment id="234801412"/>
        </t:Anchor>
        <t:Create/>
      </t:Event>
      <t:Event time="2026-04-16T07:56:59.053Z" id="{B884787E-D139-40AA-BABF-E15A02F1CA02}">
        <t:Attribution userId="S::lovisa.kastensson@ec.europa.eu::9631ee5e-68b5-412c-957e-af89400553ad" userName="KASTENSSON Lovisa (CNECT)" userProvider="AD"/>
        <t:Anchor>
          <t:Comment id="234801412"/>
        </t:Anchor>
        <t:Assign userId="S::Anna.PODGORSKA-BUOMPANE@ec.europa.eu::ea5f5f8f-07d9-49f6-96df-8efa29e1cc02" userName="PODGORSKA-BUOMPANE Anna (CNECT)" userProvider="AD"/>
      </t:Event>
      <t:Event time="2026-04-16T07:56:59.053Z" id="{84E6ED6C-68AC-44B6-B19C-5A79F7E0E330}">
        <t:Attribution userId="S::lovisa.kastensson@ec.europa.eu::9631ee5e-68b5-412c-957e-af89400553ad" userName="KASTENSSON Lovisa (CNECT)" userProvider="AD"/>
        <t:Anchor>
          <t:Comment id="234801412"/>
        </t:Anchor>
        <t:SetTitle title="@PODGORSKA-BUOMPANE Anna (CNECT) Dear Anna, I slightly rewrote your recommendation to fit the overall writing style of the document. Let me know if OK!. Also (see comment above), if you know where the information needed for the footenote is from kindly …"/>
      </t:Event>
    </t:History>
  </t:Task>
  <t:Task id="{7870E170-DDFA-4F30-8B0B-B1DF4FA1D579}">
    <t:Anchor>
      <t:Comment id="876640193"/>
    </t:Anchor>
    <t:History>
      <t:Event time="2026-04-22T14:29:59.183Z" id="{0C514C5C-2EF7-402E-BA85-AC6A7B8C9EEE}">
        <t:Attribution userId="S::erika.busechian@ec.europa.eu::3a9c5f4c-091c-4436-945f-134babba5aea" userName="BUSECHIAN Erika (CNECT)" userProvider="AD"/>
        <t:Anchor>
          <t:Comment id="876640193"/>
        </t:Anchor>
        <t:Create/>
      </t:Event>
      <t:Event time="2026-04-22T14:29:59.183Z" id="{468B1033-54BB-479D-96D3-AD849044D089}">
        <t:Attribution userId="S::erika.busechian@ec.europa.eu::3a9c5f4c-091c-4436-945f-134babba5aea" userName="BUSECHIAN Erika (CNECT)" userProvider="AD"/>
        <t:Anchor>
          <t:Comment id="876640193"/>
        </t:Anchor>
        <t:Assign userId="S::Alexandra.ROTILEANU@ec.europa.eu::c265cd55-177b-4a69-b40c-fe74d2a595d4" userName="ROTILEANU Alexandra (CNECT)" userProvider="AD"/>
      </t:Event>
      <t:Event time="2026-04-22T14:29:59.183Z" id="{B9CA7AB8-AFD2-4704-9998-1FBEFDE3F5E4}">
        <t:Attribution userId="S::erika.busechian@ec.europa.eu::3a9c5f4c-091c-4436-945f-134babba5aea" userName="BUSECHIAN Erika (CNECT)" userProvider="AD"/>
        <t:Anchor>
          <t:Comment id="876640193"/>
        </t:Anchor>
        <t:SetTitle title="@ROTILEANU Alexandra (CNECT) this data have been presented also last year in the DD report with the whole graph and needed clarification on the data . To consider if to reinsert also now, but in this case please add the caveats included last time. @…"/>
      </t:Event>
      <t:Event time="2026-04-22T16:20:41.983Z" id="{3A87A8F7-9FF9-4AB6-BC91-A7AFF6F4784B}">
        <t:Attribution userId="S::Edoardo.BOMBARDIERI@ec.europa.eu::d12ccbab-a646-40ef-b912-6360a7a8b166" userName="BOMBARDIERI Edoardo (CNECT)" userProvider="AD"/>
        <t:Progress percentComplete="100"/>
      </t:Event>
    </t:History>
  </t:Task>
  <t:Task id="{DF56B2EC-406C-44BD-B0F4-FDEB597B9CA8}">
    <t:Anchor>
      <t:Comment id="1096265513"/>
    </t:Anchor>
    <t:History>
      <t:Event time="2026-04-16T12:11:33.192Z" id="{A72C2198-1E60-4993-8BD7-DB7CD371314E}">
        <t:Attribution userId="S::lovisa.kastensson@ec.europa.eu::9631ee5e-68b5-412c-957e-af89400553ad" userName="KASTENSSON Lovisa (CNECT)" userProvider="AD"/>
        <t:Anchor>
          <t:Comment id="1096265513"/>
        </t:Anchor>
        <t:Create/>
      </t:Event>
      <t:Event time="2026-04-16T12:11:33.192Z" id="{6CD88B93-E49C-4BF1-9D0B-62746440D702}">
        <t:Attribution userId="S::lovisa.kastensson@ec.europa.eu::9631ee5e-68b5-412c-957e-af89400553ad" userName="KASTENSSON Lovisa (CNECT)" userProvider="AD"/>
        <t:Anchor>
          <t:Comment id="1096265513"/>
        </t:Anchor>
        <t:Assign userId="S::Javier.ALBA-GALLARDO@ec.europa.eu::be4e6519-cbe0-46dc-b60d-946dc918984c" userName="ALBA GALLARDO Javier (CNECT)" userProvider="AD"/>
      </t:Event>
      <t:Event time="2026-04-16T12:11:33.192Z" id="{05A64AEA-810C-413F-8F49-39022CFCC873}">
        <t:Attribution userId="S::lovisa.kastensson@ec.europa.eu::9631ee5e-68b5-412c-957e-af89400553ad" userName="KASTENSSON Lovisa (CNECT)" userProvider="AD"/>
        <t:Anchor>
          <t:Comment id="1096265513"/>
        </t:Anchor>
        <t:SetTitle title="@ALBA GALLARDO Javier (CNECT) please add EB results here"/>
      </t:Event>
    </t:History>
  </t:Task>
  <t:Task id="{41E0FA85-E0CF-447F-8039-D83D4786B8F8}">
    <t:Anchor>
      <t:Comment id="27441571"/>
    </t:Anchor>
    <t:History>
      <t:Event time="2026-04-16T10:55:54.075Z" id="{2C277104-68F2-49D9-8443-19BA207A96C7}">
        <t:Attribution userId="S::lovisa.kastensson@ec.europa.eu::9631ee5e-68b5-412c-957e-af89400553ad" userName="KASTENSSON Lovisa (CNECT)" userProvider="AD"/>
        <t:Anchor>
          <t:Comment id="27441571"/>
        </t:Anchor>
        <t:Create/>
      </t:Event>
      <t:Event time="2026-04-16T10:55:54.075Z" id="{7C7F5B8E-7534-425F-9715-370ECBD9CB9D}">
        <t:Attribution userId="S::lovisa.kastensson@ec.europa.eu::9631ee5e-68b5-412c-957e-af89400553ad" userName="KASTENSSON Lovisa (CNECT)" userProvider="AD"/>
        <t:Anchor>
          <t:Comment id="27441571"/>
        </t:Anchor>
        <t:Assign userId="S::Romana.TRCALKOVA-ZARUBOVA@ec.europa.eu::5fffb91c-43cc-45cd-9eaf-f73f2237e45b" userName="TRCALKOVA ZARUBOVA Romana (CNECT)" userProvider="AD"/>
      </t:Event>
      <t:Event time="2026-04-16T10:55:54.075Z" id="{593568FF-7F75-4C4C-87B4-28537019DB39}">
        <t:Attribution userId="S::lovisa.kastensson@ec.europa.eu::9631ee5e-68b5-412c-957e-af89400553ad" userName="KASTENSSON Lovisa (CNECT)" userProvider="AD"/>
        <t:Anchor>
          <t:Comment id="27441571"/>
        </t:Anchor>
        <t:SetTitle title="@TRCALKOVA ZARUBOVA Romana (CNECT) hey romana. to fit the overall writing style of the document - would you agree to remove this part. Overall the recommendations should encourage to MS not put any obligations on the EC. let me know if OK!"/>
      </t:Event>
    </t:History>
  </t:Task>
  <t:Task id="{2FE72298-6F1F-492E-973A-9B72DF6C0784}">
    <t:Anchor>
      <t:Comment id="2015963210"/>
    </t:Anchor>
    <t:History>
      <t:Event time="2026-04-16T15:13:36.343Z" id="{70007DCA-ACAF-4C7A-B625-E41FD9D7580A}">
        <t:Attribution userId="S::lovisa.kastensson@ec.europa.eu::9631ee5e-68b5-412c-957e-af89400553ad" userName="KASTENSSON Lovisa (CNECT)" userProvider="AD"/>
        <t:Anchor>
          <t:Comment id="2015963210"/>
        </t:Anchor>
        <t:Create/>
      </t:Event>
      <t:Event time="2026-04-16T15:13:36.343Z" id="{7F0A2153-906E-4BE7-84B4-E4871989B5B2}">
        <t:Attribution userId="S::lovisa.kastensson@ec.europa.eu::9631ee5e-68b5-412c-957e-af89400553ad" userName="KASTENSSON Lovisa (CNECT)" userProvider="AD"/>
        <t:Anchor>
          <t:Comment id="2015963210"/>
        </t:Anchor>
        <t:Assign userId="S::Edoardo.BOMBARDIERI@ec.europa.eu::d12ccbab-a646-40ef-b912-6360a7a8b166" userName="BOMBARDIERI Edoardo (CNECT)" userProvider="AD"/>
      </t:Event>
      <t:Event time="2026-04-16T15:13:36.343Z" id="{492AC505-759F-4170-BCE0-98BB56EA2EDF}">
        <t:Attribution userId="S::lovisa.kastensson@ec.europa.eu::9631ee5e-68b5-412c-957e-af89400553ad" userName="KASTENSSON Lovisa (CNECT)" userProvider="AD"/>
        <t:Anchor>
          <t:Comment id="2015963210"/>
        </t:Anchor>
        <t:SetTitle title="@BOMBARDIERI Edoardo (CNECT) something is strange here? please adjust"/>
      </t:Event>
      <t:Event time="2026-04-16T15:19:02.303Z" id="{1EE5429C-52DD-42DA-AEE4-4D5FEF01D5FD}">
        <t:Attribution userId="S::edoardo.bombardieri@ec.europa.eu::d12ccbab-a646-40ef-b912-6360a7a8b166" userName="BOMBARDIERI Edoardo (CNECT)" userProvider="AD"/>
        <t:Progress percentComplete="100"/>
      </t:Event>
    </t:History>
  </t:Task>
  <t:Task id="{D6289165-63CB-49C1-A566-74872C302196}">
    <t:Anchor>
      <t:Comment id="1285878562"/>
    </t:Anchor>
    <t:History>
      <t:Event time="2026-04-22T12:29:55.608Z" id="{A99CC273-EEF2-4155-8FA9-9E1CFD1020F0}">
        <t:Attribution userId="S::Erika.BUSECHIAN@ec.europa.eu::3a9c5f4c-091c-4436-945f-134babba5aea" userName="BUSECHIAN Erika (CNECT)" userProvider="AD"/>
        <t:Anchor>
          <t:Comment id="1285878562"/>
        </t:Anchor>
        <t:Create/>
      </t:Event>
      <t:Event time="2026-04-22T12:29:55.608Z" id="{744FB04E-4555-4783-AD27-D8F47A400D4F}">
        <t:Attribution userId="S::Erika.BUSECHIAN@ec.europa.eu::3a9c5f4c-091c-4436-945f-134babba5aea" userName="BUSECHIAN Erika (CNECT)" userProvider="AD"/>
        <t:Anchor>
          <t:Comment id="1285878562"/>
        </t:Anchor>
        <t:Assign userId="S::Alexandra.ROTILEANU@ec.europa.eu::c265cd55-177b-4a69-b40c-fe74d2a595d4" userName="ROTILEANU Alexandra (CNECT)" userProvider="AD"/>
      </t:Event>
      <t:Event time="2026-04-22T12:29:55.608Z" id="{3E0CADB8-281E-48BB-950D-E03C55940A85}">
        <t:Attribution userId="S::Erika.BUSECHIAN@ec.europa.eu::3a9c5f4c-091c-4436-945f-134babba5aea" userName="BUSECHIAN Erika (CNECT)" userProvider="AD"/>
        <t:Anchor>
          <t:Comment id="1285878562"/>
        </t:Anchor>
        <t:SetTitle title="@ROTILEANU Alexandra (CNECT) I would not write this, its difficult to predict ….but maybe we can refer to the single market roadmap"/>
      </t:Event>
    </t:History>
  </t:Task>
  <t:Task id="{41908CBC-8F46-4930-B54E-D3A31CAAD214}">
    <t:Anchor>
      <t:Comment id="487795780"/>
    </t:Anchor>
    <t:History>
      <t:Event time="2026-04-16T16:14:02.554Z" id="{6208891E-AC74-4E87-A926-2435F3717752}">
        <t:Attribution userId="S::nadja.kernchen@ec.europa.eu::795b41bd-1708-4dfc-ab12-b7446e3a1c99" userName="KERNCHEN Nadja (CNECT)" userProvider="AD"/>
        <t:Anchor>
          <t:Comment id="487795780"/>
        </t:Anchor>
        <t:Create/>
      </t:Event>
      <t:Event time="2026-04-16T16:14:02.554Z" id="{7A10385E-4328-4EF7-936F-C6A7AA9DF2C6}">
        <t:Attribution userId="S::nadja.kernchen@ec.europa.eu::795b41bd-1708-4dfc-ab12-b7446e3a1c99" userName="KERNCHEN Nadja (CNECT)" userProvider="AD"/>
        <t:Anchor>
          <t:Comment id="487795780"/>
        </t:Anchor>
        <t:Assign userId="S::Jola.DERVISHAJ@ec.europa.eu::139e3fdb-33a5-4137-bdc2-0eee7a036e32" userName="DERVISHAJ Jola (CNECT)" userProvider="AD"/>
      </t:Event>
      <t:Event time="2026-04-16T16:14:02.554Z" id="{790DD8E5-ED53-4899-A3A6-5C73B37EDBA4}">
        <t:Attribution userId="S::nadja.kernchen@ec.europa.eu::795b41bd-1708-4dfc-ab12-b7446e3a1c99" userName="KERNCHEN Nadja (CNECT)" userProvider="AD"/>
        <t:Anchor>
          <t:Comment id="487795780"/>
        </t:Anchor>
        <t:SetTitle title="@DERVISHAJ Jola (CNECT) For info: we wanted to highlight the well-performing MS, so we have added this sentence here"/>
      </t:Event>
    </t:History>
  </t:Task>
  <t:Task id="{BAD628A7-F88E-4D8C-8C5A-0864AF570FB9}">
    <t:Anchor>
      <t:Comment id="1120442212"/>
    </t:Anchor>
    <t:History>
      <t:Event time="2026-04-17T13:15:10.734Z" id="{DF457514-4770-4E67-8DF0-0132D5E49E31}">
        <t:Attribution userId="S::lovisa.kastensson@ec.europa.eu::9631ee5e-68b5-412c-957e-af89400553ad" userName="KASTENSSON Lovisa (CNECT)" userProvider="AD"/>
        <t:Anchor>
          <t:Comment id="1120442212"/>
        </t:Anchor>
        <t:Create/>
      </t:Event>
      <t:Event time="2026-04-17T13:15:10.734Z" id="{0E162DE8-87DC-40C2-A710-5779EBB8134D}">
        <t:Attribution userId="S::lovisa.kastensson@ec.europa.eu::9631ee5e-68b5-412c-957e-af89400553ad" userName="KASTENSSON Lovisa (CNECT)" userProvider="AD"/>
        <t:Anchor>
          <t:Comment id="1120442212"/>
        </t:Anchor>
        <t:Assign userId="S::Kaja-Aleksandra.KLENCKA@ext.ec.europa.eu::f22a1bd6-1154-47a9-a27e-33322e3d0564" userName="KLENCKA Kaja (CNECT-EXT)" userProvider="AD"/>
      </t:Event>
      <t:Event time="2026-04-17T13:15:10.734Z" id="{EEAE4160-FB81-4700-9662-5AB8D8E3AB70}">
        <t:Attribution userId="S::lovisa.kastensson@ec.europa.eu::9631ee5e-68b5-412c-957e-af89400553ad" userName="KASTENSSON Lovisa (CNECT)" userProvider="AD"/>
        <t:Anchor>
          <t:Comment id="1120442212"/>
        </t:Anchor>
        <t:SetTitle title="@KLENCKA Kaja (CNECT-EXT) can you fix this footnote"/>
      </t:Event>
    </t:History>
  </t:Task>
  <t:Task id="{D085D789-DB2A-4899-8357-F8F0AC7B71EB}">
    <t:Anchor>
      <t:Comment id="1729940111"/>
    </t:Anchor>
    <t:History>
      <t:Event time="2026-04-16T10:13:12.553Z" id="{61C84C28-D3E5-4A85-AD23-9C2AB70E0FF3}">
        <t:Attribution userId="S::erika.busechian@ec.europa.eu::3a9c5f4c-091c-4436-945f-134babba5aea" userName="BUSECHIAN Erika (CNECT)" userProvider="AD"/>
        <t:Anchor>
          <t:Comment id="1729940111"/>
        </t:Anchor>
        <t:Create/>
      </t:Event>
      <t:Event time="2026-04-16T10:13:12.553Z" id="{29F70213-AE2B-4FF4-A7D3-D9D747A5FF0D}">
        <t:Attribution userId="S::erika.busechian@ec.europa.eu::3a9c5f4c-091c-4436-945f-134babba5aea" userName="BUSECHIAN Erika (CNECT)" userProvider="AD"/>
        <t:Anchor>
          <t:Comment id="1729940111"/>
        </t:Anchor>
        <t:Assign userId="S::Gerasimos.SOFIANATOS@ec.europa.eu::d696e18d-d0cf-4fc6-a70b-585e9221ff52" userName="SOFIANATOS Gerasimos (CNECT)" userProvider="AD"/>
      </t:Event>
      <t:Event time="2026-04-16T10:13:12.553Z" id="{B5E799D2-A13D-4543-8E40-9E8327240A34}">
        <t:Attribution userId="S::erika.busechian@ec.europa.eu::3a9c5f4c-091c-4436-945f-134babba5aea" userName="BUSECHIAN Erika (CNECT)" userProvider="AD"/>
        <t:Anchor>
          <t:Comment id="1729940111"/>
        </t:Anchor>
        <t:SetTitle title="@SOFIANATOS Gerasimos (CNECT) do we want to flag this relatively old study, have some doubts. I added above fragmented and non-predictably not to focus only on the timing that is an argument MS are opposing...."/>
      </t:Event>
    </t:History>
  </t:Task>
  <t:Task id="{510E58C0-EA36-4A77-B3B7-AB63420E3F57}">
    <t:Anchor>
      <t:Comment id="1746291683"/>
    </t:Anchor>
    <t:History>
      <t:Event time="2026-04-15T13:33:14.035Z" id="{B6AE6641-A655-4F34-B59B-ADCF24D2DCBF}">
        <t:Attribution userId="S::Erika.BUSECHIAN@ec.europa.eu::3a9c5f4c-091c-4436-945f-134babba5aea" userName="BUSECHIAN Erika (CNECT)" userProvider="AD"/>
        <t:Anchor>
          <t:Comment id="1746291683"/>
        </t:Anchor>
        <t:Create/>
      </t:Event>
      <t:Event time="2026-04-15T13:33:14.035Z" id="{1436264F-A111-476F-9AF0-622C19EDC244}">
        <t:Attribution userId="S::Erika.BUSECHIAN@ec.europa.eu::3a9c5f4c-091c-4436-945f-134babba5aea" userName="BUSECHIAN Erika (CNECT)" userProvider="AD"/>
        <t:Anchor>
          <t:Comment id="1746291683"/>
        </t:Anchor>
        <t:Assign userId="S::Alexandra.ROTILEANU@ec.europa.eu::c265cd55-177b-4a69-b40c-fe74d2a595d4" userName="ROTILEANU Alexandra (CNECT)" userProvider="AD"/>
      </t:Event>
      <t:Event time="2026-04-15T13:33:14.035Z" id="{F442AE02-73E0-40F5-AC52-22DF3F66FC42}">
        <t:Attribution userId="S::Erika.BUSECHIAN@ec.europa.eu::3a9c5f4c-091c-4436-945f-134babba5aea" userName="BUSECHIAN Erika (CNECT)" userProvider="AD"/>
        <t:Anchor>
          <t:Comment id="1746291683"/>
        </t:Anchor>
        <t:SetTitle title="@ROTILEANU Alexandra (CNECT) If in the meantime MSS proposal will be adopted we should include it here"/>
      </t:Event>
    </t:History>
  </t:Task>
  <t:Task id="{1C3CBB62-CD0C-4D7E-9898-D6380D31B9A3}">
    <t:Anchor>
      <t:Comment id="1616963135"/>
    </t:Anchor>
    <t:History>
      <t:Event time="2026-04-22T12:21:25.216Z" id="{29705703-9DCD-4DCB-848B-E09DD3ABEC66}">
        <t:Attribution userId="S::Erika.BUSECHIAN@ec.europa.eu::3a9c5f4c-091c-4436-945f-134babba5aea" userName="BUSECHIAN Erika (CNECT)" userProvider="AD"/>
        <t:Anchor>
          <t:Comment id="1616963135"/>
        </t:Anchor>
        <t:Create/>
      </t:Event>
      <t:Event time="2026-04-22T12:21:25.216Z" id="{AABD7451-BF6E-4BAD-AD40-76D91825195F}">
        <t:Attribution userId="S::Erika.BUSECHIAN@ec.europa.eu::3a9c5f4c-091c-4436-945f-134babba5aea" userName="BUSECHIAN Erika (CNECT)" userProvider="AD"/>
        <t:Anchor>
          <t:Comment id="1616963135"/>
        </t:Anchor>
        <t:Assign userId="S::Edoardo.BOMBARDIERI@ec.europa.eu::d12ccbab-a646-40ef-b912-6360a7a8b166" userName="BOMBARDIERI Edoardo (CNECT)" userProvider="AD"/>
      </t:Event>
      <t:Event time="2026-04-22T12:21:25.216Z" id="{5DB3027D-1E67-45B2-9219-799B36EC1B92}">
        <t:Attribution userId="S::Erika.BUSECHIAN@ec.europa.eu::3a9c5f4c-091c-4436-945f-134babba5aea" userName="BUSECHIAN Erika (CNECT)" userProvider="AD"/>
        <t:Anchor>
          <t:Comment id="1616963135"/>
        </t:Anchor>
        <t:SetTitle title="@BOMBARDIERI Edoardo (CNECT) not sure who has wrote this, based on which data? I understand we have operators with significantly low ARPUs compare to other parts of the world, are they globally competitive. This was not written by B4 so I do not know…"/>
      </t:Event>
    </t:History>
  </t:Task>
  <t:Task id="{61D5F04E-1C61-4F25-97CA-855F046F9311}">
    <t:Anchor>
      <t:Comment id="1760470813"/>
    </t:Anchor>
    <t:History>
      <t:Event time="2026-04-30T10:20:02.13Z" id="{A093171B-268D-48FB-8D16-0B4762064623}">
        <t:Attribution userId="S::Erika.BUSECHIAN@ec.europa.eu::3a9c5f4c-091c-4436-945f-134babba5aea" userName="BUSECHIAN Erika (CNECT)" userProvider="AD"/>
        <t:Anchor>
          <t:Comment id="1760470813"/>
        </t:Anchor>
        <t:Create/>
      </t:Event>
      <t:Event time="2026-04-30T10:20:02.13Z" id="{8292FAC3-DAE4-4CCF-940A-53DDC5DAC1AB}">
        <t:Attribution userId="S::Erika.BUSECHIAN@ec.europa.eu::3a9c5f4c-091c-4436-945f-134babba5aea" userName="BUSECHIAN Erika (CNECT)" userProvider="AD"/>
        <t:Anchor>
          <t:Comment id="1760470813"/>
        </t:Anchor>
        <t:Assign userId="S::Gerasimos.SOFIANATOS@ec.europa.eu::d696e18d-d0cf-4fc6-a70b-585e9221ff52" userName="SOFIANATOS Gerasimos (CNECT)" userProvider="AD"/>
      </t:Event>
      <t:Event time="2026-04-30T10:20:02.13Z" id="{0FB12811-3F73-457D-9F25-51FA17F015F8}">
        <t:Attribution userId="S::Erika.BUSECHIAN@ec.europa.eu::3a9c5f4c-091c-4436-945f-134babba5aea" userName="BUSECHIAN Erika (CNECT)" userProvider="AD"/>
        <t:Anchor>
          <t:Comment id="1760470813"/>
        </t:Anchor>
        <t:SetTitle title="@SOFIANATOS Gerasimos (CNECT) this is the horizontal reccomandation on spectrum. Have a look."/>
      </t:Event>
    </t:History>
  </t:Task>
  <t:Task id="{DC97533B-C21D-4777-B3D9-C55A36BA6397}">
    <t:Anchor>
      <t:Comment id="351047466"/>
    </t:Anchor>
    <t:History>
      <t:Event time="2026-04-30T07:21:47.927Z" id="{3D60EC22-ACDE-4D02-BC63-D35139C77AAB}">
        <t:Attribution userId="S::Paola.ANNONI@ec.europa.eu::48952d41-ee8e-4c14-a64a-733501f1a8dd" userName="ANNONI Paola (CNECT)" userProvider="AD"/>
        <t:Anchor>
          <t:Comment id="351047466"/>
        </t:Anchor>
        <t:Create/>
      </t:Event>
      <t:Event time="2026-04-30T07:21:47.927Z" id="{81C00050-5F79-4C00-BF09-4952DAB6DB19}">
        <t:Attribution userId="S::Paola.ANNONI@ec.europa.eu::48952d41-ee8e-4c14-a64a-733501f1a8dd" userName="ANNONI Paola (CNECT)" userProvider="AD"/>
        <t:Anchor>
          <t:Comment id="351047466"/>
        </t:Anchor>
        <t:Assign userId="S::Jola.DERVISHAJ@ec.europa.eu::139e3fdb-33a5-4137-bdc2-0eee7a036e32" userName="DERVISHAJ Jola (CNECT)" userProvider="AD"/>
      </t:Event>
      <t:Event time="2026-04-30T07:21:47.927Z" id="{10A07A48-23F8-4DC7-9B9D-FBF8C3564F8A}">
        <t:Attribution userId="S::Paola.ANNONI@ec.europa.eu::48952d41-ee8e-4c14-a64a-733501f1a8dd" userName="ANNONI Paola (CNECT)" userProvider="AD"/>
        <t:Anchor>
          <t:Comment id="351047466"/>
        </t:Anchor>
        <t:SetTitle title="@DERVISHAJ Jola (CNECT) you cannot say that it is unchanged because there was actually a small increase (I rejected the change)"/>
      </t:Event>
    </t:History>
  </t:Task>
  <t:Task id="{DEF98B9F-7F4C-4A8D-A390-6F3F3FD6A7DF}">
    <t:Anchor>
      <t:Comment id="1708969505"/>
    </t:Anchor>
    <t:History>
      <t:Event time="2026-05-05T15:21:24.495Z" id="{05CA2060-2AE2-4706-B0A9-FC7F3148632D}">
        <t:Attribution userId="S::Edoardo.BOMBARDIERI@ec.europa.eu::d12ccbab-a646-40ef-b912-6360a7a8b166" userName="BOMBARDIERI Edoardo (CNECT)" userProvider="AD"/>
        <t:Anchor>
          <t:Comment id="1943956240"/>
        </t:Anchor>
        <t:Create/>
      </t:Event>
      <t:Event time="2026-05-05T15:21:24.495Z" id="{D44B9C6C-2864-43B4-884D-43564A0DDD1A}">
        <t:Attribution userId="S::Edoardo.BOMBARDIERI@ec.europa.eu::d12ccbab-a646-40ef-b912-6360a7a8b166" userName="BOMBARDIERI Edoardo (CNECT)" userProvider="AD"/>
        <t:Anchor>
          <t:Comment id="1943956240"/>
        </t:Anchor>
        <t:Assign userId="S::Lovisa.KASTENSSON@ec.europa.eu::9631ee5e-68b5-412c-957e-af89400553ad" userName="KASTENSSON Lovisa (CNECT)" userProvider="AD"/>
      </t:Event>
      <t:Event time="2026-05-05T15:21:24.495Z" id="{12B6B2AC-FE85-4823-A224-9BF05BD60A85}">
        <t:Attribution userId="S::Edoardo.BOMBARDIERI@ec.europa.eu::d12ccbab-a646-40ef-b912-6360a7a8b166" userName="BOMBARDIERI Edoardo (CNECT)" userProvider="AD"/>
        <t:Anchor>
          <t:Comment id="1943956240"/>
        </t:Anchor>
        <t:SetTitle title="@KASTENSSON Lovisa (CNECT) please address the comment asap"/>
      </t:Event>
      <t:Event time="2026-05-05T15:32:28.383Z" id="{FC5C987A-CC78-4035-A98B-CADA770FC2A3}">
        <t:Attribution userId="S::lovisa.kastensson@ec.europa.eu::9631ee5e-68b5-412c-957e-af89400553ad" userName="KASTENSSON Lovisa (CNECT)" userProvider="AD"/>
        <t:Anchor>
          <t:Comment id="629473898"/>
        </t:Anchor>
        <t:UnassignAll/>
      </t:Event>
      <t:Event time="2026-05-05T15:32:28.383Z" id="{4A64FE2A-481D-4B39-AD60-5D2029EC4415}">
        <t:Attribution userId="S::lovisa.kastensson@ec.europa.eu::9631ee5e-68b5-412c-957e-af89400553ad" userName="KASTENSSON Lovisa (CNECT)" userProvider="AD"/>
        <t:Anchor>
          <t:Comment id="629473898"/>
        </t:Anchor>
        <t:Assign userId="S::Edoardo.BOMBARDIERI@ec.europa.eu::d12ccbab-a646-40ef-b912-6360a7a8b166" userName="BOMBARDIERI Edoardo (CNECT)" userProvider="A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f_x002e_ xmlns="1bece07b-d03c-423c-b8a0-beed4db0bbc2">Council</Ref_x002e_>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2FF0D-636C-47B3-92E8-837785CAAFEB}">
  <ds:schemaRefs>
    <ds:schemaRef ds:uri="http://schemas.microsoft.com/sharepoint/v3/contenttype/forms"/>
  </ds:schemaRefs>
</ds:datastoreItem>
</file>

<file path=customXml/itemProps2.xml><?xml version="1.0" encoding="utf-8"?>
<ds:datastoreItem xmlns:ds="http://schemas.openxmlformats.org/officeDocument/2006/customXml" ds:itemID="{13095921-7C95-4F26-BAFE-D716861E36F8}">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3.xml><?xml version="1.0" encoding="utf-8"?>
<ds:datastoreItem xmlns:ds="http://schemas.openxmlformats.org/officeDocument/2006/customXml" ds:itemID="{E1F5CF4A-D2E3-4F60-B40E-F15925DF7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E557F4-92BC-4A58-B825-FA3458889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35741</Words>
  <Characters>203727</Characters>
  <Application>Microsoft Office Word</Application>
  <DocSecurity>0</DocSecurity>
  <Lines>1697</Lines>
  <Paragraphs>477</Paragraphs>
  <ScaleCrop>false</ScaleCrop>
  <Manager/>
  <Company/>
  <LinksUpToDate>false</LinksUpToDate>
  <CharactersWithSpaces>238991</CharactersWithSpaces>
  <SharedDoc>false</SharedDoc>
  <HLinks>
    <vt:vector size="936" baseType="variant">
      <vt:variant>
        <vt:i4>4063259</vt:i4>
      </vt:variant>
      <vt:variant>
        <vt:i4>372</vt:i4>
      </vt:variant>
      <vt:variant>
        <vt:i4>0</vt:i4>
      </vt:variant>
      <vt:variant>
        <vt:i4>5</vt:i4>
      </vt:variant>
      <vt:variant>
        <vt:lpwstr>../../../../../../../../GRP-CNECT.D.3/Shared Documents/EaP/Z OTHER TEMP/: https:/international-partnerships.ec.europa.eu/policies/global- gateway/eu-latin-america-and-caribbean-digital-alliance_en</vt:lpwstr>
      </vt:variant>
      <vt:variant>
        <vt:lpwstr/>
      </vt:variant>
      <vt:variant>
        <vt:i4>6226007</vt:i4>
      </vt:variant>
      <vt:variant>
        <vt:i4>369</vt:i4>
      </vt:variant>
      <vt:variant>
        <vt:i4>0</vt:i4>
      </vt:variant>
      <vt:variant>
        <vt:i4>5</vt:i4>
      </vt:variant>
      <vt:variant>
        <vt:lpwstr>https://digital-strategy.ec.europa.eu/en/news/eu-sets-out-its-international-digital-strategy</vt:lpwstr>
      </vt:variant>
      <vt:variant>
        <vt:lpwstr/>
      </vt:variant>
      <vt:variant>
        <vt:i4>7471202</vt:i4>
      </vt:variant>
      <vt:variant>
        <vt:i4>366</vt:i4>
      </vt:variant>
      <vt:variant>
        <vt:i4>0</vt:i4>
      </vt:variant>
      <vt:variant>
        <vt:i4>5</vt:i4>
      </vt:variant>
      <vt:variant>
        <vt:lpwstr>https://digital-strategy.ec.europa.eu/en/policies/edic</vt:lpwstr>
      </vt:variant>
      <vt:variant>
        <vt:lpwstr/>
      </vt:variant>
      <vt:variant>
        <vt:i4>4456516</vt:i4>
      </vt:variant>
      <vt:variant>
        <vt:i4>363</vt:i4>
      </vt:variant>
      <vt:variant>
        <vt:i4>0</vt:i4>
      </vt:variant>
      <vt:variant>
        <vt:i4>5</vt:i4>
      </vt:variant>
      <vt:variant>
        <vt:lpwstr>https://ec.europa.eu/digital-building-blocks/sites/spaces/EBSI/pages/844759063/EUROPEUM-EDIC</vt:lpwstr>
      </vt:variant>
      <vt:variant>
        <vt:lpwstr/>
      </vt:variant>
      <vt:variant>
        <vt:i4>5505025</vt:i4>
      </vt:variant>
      <vt:variant>
        <vt:i4>360</vt:i4>
      </vt:variant>
      <vt:variant>
        <vt:i4>0</vt:i4>
      </vt:variant>
      <vt:variant>
        <vt:i4>5</vt:i4>
      </vt:variant>
      <vt:variant>
        <vt:lpwstr>https://ldtcitiverse-edic.eu/</vt:lpwstr>
      </vt:variant>
      <vt:variant>
        <vt:lpwstr/>
      </vt:variant>
      <vt:variant>
        <vt:i4>4456450</vt:i4>
      </vt:variant>
      <vt:variant>
        <vt:i4>357</vt:i4>
      </vt:variant>
      <vt:variant>
        <vt:i4>0</vt:i4>
      </vt:variant>
      <vt:variant>
        <vt:i4>5</vt:i4>
      </vt:variant>
      <vt:variant>
        <vt:lpwstr>https://www.alt-edic.eu/</vt:lpwstr>
      </vt:variant>
      <vt:variant>
        <vt:lpwstr/>
      </vt:variant>
      <vt:variant>
        <vt:i4>6160451</vt:i4>
      </vt:variant>
      <vt:variant>
        <vt:i4>354</vt:i4>
      </vt:variant>
      <vt:variant>
        <vt:i4>0</vt:i4>
      </vt:variant>
      <vt:variant>
        <vt:i4>5</vt:i4>
      </vt:variant>
      <vt:variant>
        <vt:lpwstr>https://www.rijksoverheid.nl/documenten/rapporten/2025/11/19/actieprogramma-duurzame-digitalisering-2026-2028</vt:lpwstr>
      </vt:variant>
      <vt:variant>
        <vt:lpwstr/>
      </vt:variant>
      <vt:variant>
        <vt:i4>6160451</vt:i4>
      </vt:variant>
      <vt:variant>
        <vt:i4>351</vt:i4>
      </vt:variant>
      <vt:variant>
        <vt:i4>0</vt:i4>
      </vt:variant>
      <vt:variant>
        <vt:i4>5</vt:i4>
      </vt:variant>
      <vt:variant>
        <vt:lpwstr>https://www.rijksoverheid.nl/documenten/rapporten/2025/11/19/actieprogramma-duurzame-digitalisering-2026-2028</vt:lpwstr>
      </vt:variant>
      <vt:variant>
        <vt:lpwstr/>
      </vt:variant>
      <vt:variant>
        <vt:i4>3145760</vt:i4>
      </vt:variant>
      <vt:variant>
        <vt:i4>348</vt:i4>
      </vt:variant>
      <vt:variant>
        <vt:i4>0</vt:i4>
      </vt:variant>
      <vt:variant>
        <vt:i4>5</vt:i4>
      </vt:variant>
      <vt:variant>
        <vt:lpwstr>https://cancerimage.eu/</vt:lpwstr>
      </vt:variant>
      <vt:variant>
        <vt:lpwstr/>
      </vt:variant>
      <vt:variant>
        <vt:i4>458844</vt:i4>
      </vt:variant>
      <vt:variant>
        <vt:i4>345</vt:i4>
      </vt:variant>
      <vt:variant>
        <vt:i4>0</vt:i4>
      </vt:variant>
      <vt:variant>
        <vt:i4>5</vt:i4>
      </vt:variant>
      <vt:variant>
        <vt:lpwstr>https://gdi.onemilliongenomes.eu/</vt:lpwstr>
      </vt:variant>
      <vt:variant>
        <vt:lpwstr/>
      </vt:variant>
      <vt:variant>
        <vt:i4>4587531</vt:i4>
      </vt:variant>
      <vt:variant>
        <vt:i4>342</vt:i4>
      </vt:variant>
      <vt:variant>
        <vt:i4>0</vt:i4>
      </vt:variant>
      <vt:variant>
        <vt:i4>5</vt:i4>
      </vt:variant>
      <vt:variant>
        <vt:lpwstr>https://digital-strategy.ec.europa.eu/en/news/commission-launches-flagship-initiative-increase-use-ai-healthcare</vt:lpwstr>
      </vt:variant>
      <vt:variant>
        <vt:lpwstr/>
      </vt:variant>
      <vt:variant>
        <vt:i4>7995517</vt:i4>
      </vt:variant>
      <vt:variant>
        <vt:i4>339</vt:i4>
      </vt:variant>
      <vt:variant>
        <vt:i4>0</vt:i4>
      </vt:variant>
      <vt:variant>
        <vt:i4>5</vt:i4>
      </vt:variant>
      <vt:variant>
        <vt:lpwstr>https://digital-strategy.ec.europa.eu/en/policies/ai-screening-centres</vt:lpwstr>
      </vt:variant>
      <vt:variant>
        <vt:lpwstr/>
      </vt:variant>
      <vt:variant>
        <vt:i4>131094</vt:i4>
      </vt:variant>
      <vt:variant>
        <vt:i4>336</vt:i4>
      </vt:variant>
      <vt:variant>
        <vt:i4>0</vt:i4>
      </vt:variant>
      <vt:variant>
        <vt:i4>5</vt:i4>
      </vt:variant>
      <vt:variant>
        <vt:lpwstr>https://eur-lex.europa.eu/legal-content/EN/TXT/?uri=CELEX:52025DC0723</vt:lpwstr>
      </vt:variant>
      <vt:variant>
        <vt:lpwstr/>
      </vt:variant>
      <vt:variant>
        <vt:i4>1179727</vt:i4>
      </vt:variant>
      <vt:variant>
        <vt:i4>333</vt:i4>
      </vt:variant>
      <vt:variant>
        <vt:i4>0</vt:i4>
      </vt:variant>
      <vt:variant>
        <vt:i4>5</vt:i4>
      </vt:variant>
      <vt:variant>
        <vt:lpwstr>https://op.europa.eu/en/publication-detail/-/publication/aa586f9d-1cfa-11f1-8c3a-01aa75ed71a1/language-en</vt:lpwstr>
      </vt:variant>
      <vt:variant>
        <vt:lpwstr/>
      </vt:variant>
      <vt:variant>
        <vt:i4>6619186</vt:i4>
      </vt:variant>
      <vt:variant>
        <vt:i4>330</vt:i4>
      </vt:variant>
      <vt:variant>
        <vt:i4>0</vt:i4>
      </vt:variant>
      <vt:variant>
        <vt:i4>5</vt:i4>
      </vt:variant>
      <vt:variant>
        <vt:lpwstr>https://oecd.ai/en/dashboards/national</vt:lpwstr>
      </vt:variant>
      <vt:variant>
        <vt:lpwstr/>
      </vt:variant>
      <vt:variant>
        <vt:i4>1376347</vt:i4>
      </vt:variant>
      <vt:variant>
        <vt:i4>327</vt:i4>
      </vt:variant>
      <vt:variant>
        <vt:i4>0</vt:i4>
      </vt:variant>
      <vt:variant>
        <vt:i4>5</vt:i4>
      </vt:variant>
      <vt:variant>
        <vt:lpwstr>https://eur-lex.europa.eu/eli/reg/2025/327/oj/eng</vt:lpwstr>
      </vt:variant>
      <vt:variant>
        <vt:lpwstr/>
      </vt:variant>
      <vt:variant>
        <vt:i4>524353</vt:i4>
      </vt:variant>
      <vt:variant>
        <vt:i4>303</vt:i4>
      </vt:variant>
      <vt:variant>
        <vt:i4>0</vt:i4>
      </vt:variant>
      <vt:variant>
        <vt:i4>5</vt:i4>
      </vt:variant>
      <vt:variant>
        <vt:lpwstr>https://euvsdisinfo.eu/large-language-models-the-new-battlefield-of-russian-information-warfare/</vt:lpwstr>
      </vt:variant>
      <vt:variant>
        <vt:lpwstr/>
      </vt:variant>
      <vt:variant>
        <vt:i4>4587592</vt:i4>
      </vt:variant>
      <vt:variant>
        <vt:i4>300</vt:i4>
      </vt:variant>
      <vt:variant>
        <vt:i4>0</vt:i4>
      </vt:variant>
      <vt:variant>
        <vt:i4>5</vt:i4>
      </vt:variant>
      <vt:variant>
        <vt:lpwstr>https://ec.europa.eu/eurostat/web/products-eurostat-news/w/edn-20260210-1</vt:lpwstr>
      </vt:variant>
      <vt:variant>
        <vt:lpwstr/>
      </vt:variant>
      <vt:variant>
        <vt:i4>3670132</vt:i4>
      </vt:variant>
      <vt:variant>
        <vt:i4>273</vt:i4>
      </vt:variant>
      <vt:variant>
        <vt:i4>0</vt:i4>
      </vt:variant>
      <vt:variant>
        <vt:i4>5</vt:i4>
      </vt:variant>
      <vt:variant>
        <vt:lpwstr>https://ec.europa.eu/eurostat/databrowser/view/isoc_ci_ac_i__custom_21051971/default/table</vt:lpwstr>
      </vt:variant>
      <vt:variant>
        <vt:lpwstr/>
      </vt:variant>
      <vt:variant>
        <vt:i4>458760</vt:i4>
      </vt:variant>
      <vt:variant>
        <vt:i4>213</vt:i4>
      </vt:variant>
      <vt:variant>
        <vt:i4>0</vt:i4>
      </vt:variant>
      <vt:variant>
        <vt:i4>5</vt:i4>
      </vt:variant>
      <vt:variant>
        <vt:lpwstr>https://digital-strategy.ec.europa.eu/en/library/connecting-europe-facility-cef-multiannual-work-programme-2024-2027</vt:lpwstr>
      </vt:variant>
      <vt:variant>
        <vt:lpwstr/>
      </vt:variant>
      <vt:variant>
        <vt:i4>5439503</vt:i4>
      </vt:variant>
      <vt:variant>
        <vt:i4>210</vt:i4>
      </vt:variant>
      <vt:variant>
        <vt:i4>0</vt:i4>
      </vt:variant>
      <vt:variant>
        <vt:i4>5</vt:i4>
      </vt:variant>
      <vt:variant>
        <vt:lpwstr>https://blog.telegeography.com/telegeography-content-providers-submarine-cable-holdings-list-new</vt:lpwstr>
      </vt:variant>
      <vt:variant>
        <vt:lpwstr/>
      </vt:variant>
      <vt:variant>
        <vt:i4>1966105</vt:i4>
      </vt:variant>
      <vt:variant>
        <vt:i4>201</vt:i4>
      </vt:variant>
      <vt:variant>
        <vt:i4>0</vt:i4>
      </vt:variant>
      <vt:variant>
        <vt:i4>5</vt:i4>
      </vt:variant>
      <vt:variant>
        <vt:lpwstr>https://www.csis.org/analysis/invisible-and-vital-undersea-cables-and-transatlantic-security</vt:lpwstr>
      </vt:variant>
      <vt:variant>
        <vt:lpwstr/>
      </vt:variant>
      <vt:variant>
        <vt:i4>4522070</vt:i4>
      </vt:variant>
      <vt:variant>
        <vt:i4>195</vt:i4>
      </vt:variant>
      <vt:variant>
        <vt:i4>0</vt:i4>
      </vt:variant>
      <vt:variant>
        <vt:i4>5</vt:i4>
      </vt:variant>
      <vt:variant>
        <vt:lpwstr>https://ec.europa.eu/eurostat/web/products-manuals-and-guidelines/-/ks-ra-07-015</vt:lpwstr>
      </vt:variant>
      <vt:variant>
        <vt:lpwstr/>
      </vt:variant>
      <vt:variant>
        <vt:i4>7208964</vt:i4>
      </vt:variant>
      <vt:variant>
        <vt:i4>183</vt:i4>
      </vt:variant>
      <vt:variant>
        <vt:i4>0</vt:i4>
      </vt:variant>
      <vt:variant>
        <vt:i4>5</vt:i4>
      </vt:variant>
      <vt:variant>
        <vt:lpwstr>https://reforms-investments.ec.europa.eu/publications-0/2026-european-semester-spring-package_en</vt:lpwstr>
      </vt:variant>
      <vt:variant>
        <vt:lpwstr/>
      </vt:variant>
      <vt:variant>
        <vt:i4>1769520</vt:i4>
      </vt:variant>
      <vt:variant>
        <vt:i4>176</vt:i4>
      </vt:variant>
      <vt:variant>
        <vt:i4>0</vt:i4>
      </vt:variant>
      <vt:variant>
        <vt:i4>5</vt:i4>
      </vt:variant>
      <vt:variant>
        <vt:lpwstr/>
      </vt:variant>
      <vt:variant>
        <vt:lpwstr>_Toc231830078</vt:lpwstr>
      </vt:variant>
      <vt:variant>
        <vt:i4>1769520</vt:i4>
      </vt:variant>
      <vt:variant>
        <vt:i4>170</vt:i4>
      </vt:variant>
      <vt:variant>
        <vt:i4>0</vt:i4>
      </vt:variant>
      <vt:variant>
        <vt:i4>5</vt:i4>
      </vt:variant>
      <vt:variant>
        <vt:lpwstr/>
      </vt:variant>
      <vt:variant>
        <vt:lpwstr>_Toc231830077</vt:lpwstr>
      </vt:variant>
      <vt:variant>
        <vt:i4>1769520</vt:i4>
      </vt:variant>
      <vt:variant>
        <vt:i4>164</vt:i4>
      </vt:variant>
      <vt:variant>
        <vt:i4>0</vt:i4>
      </vt:variant>
      <vt:variant>
        <vt:i4>5</vt:i4>
      </vt:variant>
      <vt:variant>
        <vt:lpwstr/>
      </vt:variant>
      <vt:variant>
        <vt:lpwstr>_Toc231830076</vt:lpwstr>
      </vt:variant>
      <vt:variant>
        <vt:i4>1769520</vt:i4>
      </vt:variant>
      <vt:variant>
        <vt:i4>158</vt:i4>
      </vt:variant>
      <vt:variant>
        <vt:i4>0</vt:i4>
      </vt:variant>
      <vt:variant>
        <vt:i4>5</vt:i4>
      </vt:variant>
      <vt:variant>
        <vt:lpwstr/>
      </vt:variant>
      <vt:variant>
        <vt:lpwstr>_Toc231830075</vt:lpwstr>
      </vt:variant>
      <vt:variant>
        <vt:i4>1769520</vt:i4>
      </vt:variant>
      <vt:variant>
        <vt:i4>152</vt:i4>
      </vt:variant>
      <vt:variant>
        <vt:i4>0</vt:i4>
      </vt:variant>
      <vt:variant>
        <vt:i4>5</vt:i4>
      </vt:variant>
      <vt:variant>
        <vt:lpwstr/>
      </vt:variant>
      <vt:variant>
        <vt:lpwstr>_Toc231830074</vt:lpwstr>
      </vt:variant>
      <vt:variant>
        <vt:i4>1769520</vt:i4>
      </vt:variant>
      <vt:variant>
        <vt:i4>146</vt:i4>
      </vt:variant>
      <vt:variant>
        <vt:i4>0</vt:i4>
      </vt:variant>
      <vt:variant>
        <vt:i4>5</vt:i4>
      </vt:variant>
      <vt:variant>
        <vt:lpwstr/>
      </vt:variant>
      <vt:variant>
        <vt:lpwstr>_Toc231830073</vt:lpwstr>
      </vt:variant>
      <vt:variant>
        <vt:i4>1769520</vt:i4>
      </vt:variant>
      <vt:variant>
        <vt:i4>140</vt:i4>
      </vt:variant>
      <vt:variant>
        <vt:i4>0</vt:i4>
      </vt:variant>
      <vt:variant>
        <vt:i4>5</vt:i4>
      </vt:variant>
      <vt:variant>
        <vt:lpwstr/>
      </vt:variant>
      <vt:variant>
        <vt:lpwstr>_Toc231830072</vt:lpwstr>
      </vt:variant>
      <vt:variant>
        <vt:i4>1769520</vt:i4>
      </vt:variant>
      <vt:variant>
        <vt:i4>134</vt:i4>
      </vt:variant>
      <vt:variant>
        <vt:i4>0</vt:i4>
      </vt:variant>
      <vt:variant>
        <vt:i4>5</vt:i4>
      </vt:variant>
      <vt:variant>
        <vt:lpwstr/>
      </vt:variant>
      <vt:variant>
        <vt:lpwstr>_Toc231830071</vt:lpwstr>
      </vt:variant>
      <vt:variant>
        <vt:i4>1769520</vt:i4>
      </vt:variant>
      <vt:variant>
        <vt:i4>128</vt:i4>
      </vt:variant>
      <vt:variant>
        <vt:i4>0</vt:i4>
      </vt:variant>
      <vt:variant>
        <vt:i4>5</vt:i4>
      </vt:variant>
      <vt:variant>
        <vt:lpwstr/>
      </vt:variant>
      <vt:variant>
        <vt:lpwstr>_Toc231830070</vt:lpwstr>
      </vt:variant>
      <vt:variant>
        <vt:i4>1703984</vt:i4>
      </vt:variant>
      <vt:variant>
        <vt:i4>122</vt:i4>
      </vt:variant>
      <vt:variant>
        <vt:i4>0</vt:i4>
      </vt:variant>
      <vt:variant>
        <vt:i4>5</vt:i4>
      </vt:variant>
      <vt:variant>
        <vt:lpwstr/>
      </vt:variant>
      <vt:variant>
        <vt:lpwstr>_Toc231830069</vt:lpwstr>
      </vt:variant>
      <vt:variant>
        <vt:i4>1703984</vt:i4>
      </vt:variant>
      <vt:variant>
        <vt:i4>116</vt:i4>
      </vt:variant>
      <vt:variant>
        <vt:i4>0</vt:i4>
      </vt:variant>
      <vt:variant>
        <vt:i4>5</vt:i4>
      </vt:variant>
      <vt:variant>
        <vt:lpwstr/>
      </vt:variant>
      <vt:variant>
        <vt:lpwstr>_Toc231830068</vt:lpwstr>
      </vt:variant>
      <vt:variant>
        <vt:i4>1703984</vt:i4>
      </vt:variant>
      <vt:variant>
        <vt:i4>110</vt:i4>
      </vt:variant>
      <vt:variant>
        <vt:i4>0</vt:i4>
      </vt:variant>
      <vt:variant>
        <vt:i4>5</vt:i4>
      </vt:variant>
      <vt:variant>
        <vt:lpwstr/>
      </vt:variant>
      <vt:variant>
        <vt:lpwstr>_Toc231830067</vt:lpwstr>
      </vt:variant>
      <vt:variant>
        <vt:i4>1703984</vt:i4>
      </vt:variant>
      <vt:variant>
        <vt:i4>104</vt:i4>
      </vt:variant>
      <vt:variant>
        <vt:i4>0</vt:i4>
      </vt:variant>
      <vt:variant>
        <vt:i4>5</vt:i4>
      </vt:variant>
      <vt:variant>
        <vt:lpwstr/>
      </vt:variant>
      <vt:variant>
        <vt:lpwstr>_Toc231830066</vt:lpwstr>
      </vt:variant>
      <vt:variant>
        <vt:i4>1703984</vt:i4>
      </vt:variant>
      <vt:variant>
        <vt:i4>98</vt:i4>
      </vt:variant>
      <vt:variant>
        <vt:i4>0</vt:i4>
      </vt:variant>
      <vt:variant>
        <vt:i4>5</vt:i4>
      </vt:variant>
      <vt:variant>
        <vt:lpwstr/>
      </vt:variant>
      <vt:variant>
        <vt:lpwstr>_Toc231830065</vt:lpwstr>
      </vt:variant>
      <vt:variant>
        <vt:i4>1703984</vt:i4>
      </vt:variant>
      <vt:variant>
        <vt:i4>92</vt:i4>
      </vt:variant>
      <vt:variant>
        <vt:i4>0</vt:i4>
      </vt:variant>
      <vt:variant>
        <vt:i4>5</vt:i4>
      </vt:variant>
      <vt:variant>
        <vt:lpwstr/>
      </vt:variant>
      <vt:variant>
        <vt:lpwstr>_Toc231830064</vt:lpwstr>
      </vt:variant>
      <vt:variant>
        <vt:i4>1703984</vt:i4>
      </vt:variant>
      <vt:variant>
        <vt:i4>86</vt:i4>
      </vt:variant>
      <vt:variant>
        <vt:i4>0</vt:i4>
      </vt:variant>
      <vt:variant>
        <vt:i4>5</vt:i4>
      </vt:variant>
      <vt:variant>
        <vt:lpwstr/>
      </vt:variant>
      <vt:variant>
        <vt:lpwstr>_Toc231830063</vt:lpwstr>
      </vt:variant>
      <vt:variant>
        <vt:i4>1703984</vt:i4>
      </vt:variant>
      <vt:variant>
        <vt:i4>80</vt:i4>
      </vt:variant>
      <vt:variant>
        <vt:i4>0</vt:i4>
      </vt:variant>
      <vt:variant>
        <vt:i4>5</vt:i4>
      </vt:variant>
      <vt:variant>
        <vt:lpwstr/>
      </vt:variant>
      <vt:variant>
        <vt:lpwstr>_Toc231830062</vt:lpwstr>
      </vt:variant>
      <vt:variant>
        <vt:i4>1703984</vt:i4>
      </vt:variant>
      <vt:variant>
        <vt:i4>74</vt:i4>
      </vt:variant>
      <vt:variant>
        <vt:i4>0</vt:i4>
      </vt:variant>
      <vt:variant>
        <vt:i4>5</vt:i4>
      </vt:variant>
      <vt:variant>
        <vt:lpwstr/>
      </vt:variant>
      <vt:variant>
        <vt:lpwstr>_Toc231830061</vt:lpwstr>
      </vt:variant>
      <vt:variant>
        <vt:i4>1703984</vt:i4>
      </vt:variant>
      <vt:variant>
        <vt:i4>68</vt:i4>
      </vt:variant>
      <vt:variant>
        <vt:i4>0</vt:i4>
      </vt:variant>
      <vt:variant>
        <vt:i4>5</vt:i4>
      </vt:variant>
      <vt:variant>
        <vt:lpwstr/>
      </vt:variant>
      <vt:variant>
        <vt:lpwstr>_Toc231830060</vt:lpwstr>
      </vt:variant>
      <vt:variant>
        <vt:i4>1638448</vt:i4>
      </vt:variant>
      <vt:variant>
        <vt:i4>62</vt:i4>
      </vt:variant>
      <vt:variant>
        <vt:i4>0</vt:i4>
      </vt:variant>
      <vt:variant>
        <vt:i4>5</vt:i4>
      </vt:variant>
      <vt:variant>
        <vt:lpwstr/>
      </vt:variant>
      <vt:variant>
        <vt:lpwstr>_Toc231830059</vt:lpwstr>
      </vt:variant>
      <vt:variant>
        <vt:i4>1638448</vt:i4>
      </vt:variant>
      <vt:variant>
        <vt:i4>56</vt:i4>
      </vt:variant>
      <vt:variant>
        <vt:i4>0</vt:i4>
      </vt:variant>
      <vt:variant>
        <vt:i4>5</vt:i4>
      </vt:variant>
      <vt:variant>
        <vt:lpwstr/>
      </vt:variant>
      <vt:variant>
        <vt:lpwstr>_Toc231830058</vt:lpwstr>
      </vt:variant>
      <vt:variant>
        <vt:i4>1638448</vt:i4>
      </vt:variant>
      <vt:variant>
        <vt:i4>50</vt:i4>
      </vt:variant>
      <vt:variant>
        <vt:i4>0</vt:i4>
      </vt:variant>
      <vt:variant>
        <vt:i4>5</vt:i4>
      </vt:variant>
      <vt:variant>
        <vt:lpwstr/>
      </vt:variant>
      <vt:variant>
        <vt:lpwstr>_Toc231830057</vt:lpwstr>
      </vt:variant>
      <vt:variant>
        <vt:i4>1638448</vt:i4>
      </vt:variant>
      <vt:variant>
        <vt:i4>44</vt:i4>
      </vt:variant>
      <vt:variant>
        <vt:i4>0</vt:i4>
      </vt:variant>
      <vt:variant>
        <vt:i4>5</vt:i4>
      </vt:variant>
      <vt:variant>
        <vt:lpwstr/>
      </vt:variant>
      <vt:variant>
        <vt:lpwstr>_Toc231830056</vt:lpwstr>
      </vt:variant>
      <vt:variant>
        <vt:i4>1638448</vt:i4>
      </vt:variant>
      <vt:variant>
        <vt:i4>38</vt:i4>
      </vt:variant>
      <vt:variant>
        <vt:i4>0</vt:i4>
      </vt:variant>
      <vt:variant>
        <vt:i4>5</vt:i4>
      </vt:variant>
      <vt:variant>
        <vt:lpwstr/>
      </vt:variant>
      <vt:variant>
        <vt:lpwstr>_Toc231830055</vt:lpwstr>
      </vt:variant>
      <vt:variant>
        <vt:i4>1638448</vt:i4>
      </vt:variant>
      <vt:variant>
        <vt:i4>32</vt:i4>
      </vt:variant>
      <vt:variant>
        <vt:i4>0</vt:i4>
      </vt:variant>
      <vt:variant>
        <vt:i4>5</vt:i4>
      </vt:variant>
      <vt:variant>
        <vt:lpwstr/>
      </vt:variant>
      <vt:variant>
        <vt:lpwstr>_Toc231830054</vt:lpwstr>
      </vt:variant>
      <vt:variant>
        <vt:i4>1638448</vt:i4>
      </vt:variant>
      <vt:variant>
        <vt:i4>26</vt:i4>
      </vt:variant>
      <vt:variant>
        <vt:i4>0</vt:i4>
      </vt:variant>
      <vt:variant>
        <vt:i4>5</vt:i4>
      </vt:variant>
      <vt:variant>
        <vt:lpwstr/>
      </vt:variant>
      <vt:variant>
        <vt:lpwstr>_Toc231830053</vt:lpwstr>
      </vt:variant>
      <vt:variant>
        <vt:i4>1638448</vt:i4>
      </vt:variant>
      <vt:variant>
        <vt:i4>20</vt:i4>
      </vt:variant>
      <vt:variant>
        <vt:i4>0</vt:i4>
      </vt:variant>
      <vt:variant>
        <vt:i4>5</vt:i4>
      </vt:variant>
      <vt:variant>
        <vt:lpwstr/>
      </vt:variant>
      <vt:variant>
        <vt:lpwstr>_Toc231830052</vt:lpwstr>
      </vt:variant>
      <vt:variant>
        <vt:i4>1638448</vt:i4>
      </vt:variant>
      <vt:variant>
        <vt:i4>14</vt:i4>
      </vt:variant>
      <vt:variant>
        <vt:i4>0</vt:i4>
      </vt:variant>
      <vt:variant>
        <vt:i4>5</vt:i4>
      </vt:variant>
      <vt:variant>
        <vt:lpwstr/>
      </vt:variant>
      <vt:variant>
        <vt:lpwstr>_Toc231830051</vt:lpwstr>
      </vt:variant>
      <vt:variant>
        <vt:i4>1638448</vt:i4>
      </vt:variant>
      <vt:variant>
        <vt:i4>8</vt:i4>
      </vt:variant>
      <vt:variant>
        <vt:i4>0</vt:i4>
      </vt:variant>
      <vt:variant>
        <vt:i4>5</vt:i4>
      </vt:variant>
      <vt:variant>
        <vt:lpwstr/>
      </vt:variant>
      <vt:variant>
        <vt:lpwstr>_Toc231830050</vt:lpwstr>
      </vt:variant>
      <vt:variant>
        <vt:i4>1572912</vt:i4>
      </vt:variant>
      <vt:variant>
        <vt:i4>2</vt:i4>
      </vt:variant>
      <vt:variant>
        <vt:i4>0</vt:i4>
      </vt:variant>
      <vt:variant>
        <vt:i4>5</vt:i4>
      </vt:variant>
      <vt:variant>
        <vt:lpwstr/>
      </vt:variant>
      <vt:variant>
        <vt:lpwstr>_Toc231830049</vt:lpwstr>
      </vt:variant>
      <vt:variant>
        <vt:i4>1245197</vt:i4>
      </vt:variant>
      <vt:variant>
        <vt:i4>303</vt:i4>
      </vt:variant>
      <vt:variant>
        <vt:i4>0</vt:i4>
      </vt:variant>
      <vt:variant>
        <vt:i4>5</vt:i4>
      </vt:variant>
      <vt:variant>
        <vt:lpwstr>https://eur-lex.europa.eu/legal-content/EN/TXT/?uri=CELEX%3A52025PC0543&amp;qid=1753802854776</vt:lpwstr>
      </vt:variant>
      <vt:variant>
        <vt:lpwstr/>
      </vt:variant>
      <vt:variant>
        <vt:i4>1114132</vt:i4>
      </vt:variant>
      <vt:variant>
        <vt:i4>300</vt:i4>
      </vt:variant>
      <vt:variant>
        <vt:i4>0</vt:i4>
      </vt:variant>
      <vt:variant>
        <vt:i4>5</vt:i4>
      </vt:variant>
      <vt:variant>
        <vt:lpwstr>https://eur-lex.europa.eu/legal-content/EN/TXT/?uri=celex:52025PC0555</vt:lpwstr>
      </vt:variant>
      <vt:variant>
        <vt:lpwstr/>
      </vt:variant>
      <vt:variant>
        <vt:i4>7602263</vt:i4>
      </vt:variant>
      <vt:variant>
        <vt:i4>297</vt:i4>
      </vt:variant>
      <vt:variant>
        <vt:i4>0</vt:i4>
      </vt:variant>
      <vt:variant>
        <vt:i4>5</vt:i4>
      </vt:variant>
      <vt:variant>
        <vt:lpwstr>https://commission.europa.eu/about/departments-and-executive-agencies/economic-and-financial-affairs/evaluation-reports-economic-and-financial-affairs-policies-and-spending-activities/interim-evaluation-investeu-programme_en</vt:lpwstr>
      </vt:variant>
      <vt:variant>
        <vt:lpwstr/>
      </vt:variant>
      <vt:variant>
        <vt:i4>1048689</vt:i4>
      </vt:variant>
      <vt:variant>
        <vt:i4>294</vt:i4>
      </vt:variant>
      <vt:variant>
        <vt:i4>0</vt:i4>
      </vt:variant>
      <vt:variant>
        <vt:i4>5</vt:i4>
      </vt:variant>
      <vt:variant>
        <vt:lpwstr>https://commission.europa.eu/strategy-and-policy/eu-budget/performance-and-reporting/horizontal-priorities/digital-tracking_en</vt:lpwstr>
      </vt:variant>
      <vt:variant>
        <vt:lpwstr/>
      </vt:variant>
      <vt:variant>
        <vt:i4>3145800</vt:i4>
      </vt:variant>
      <vt:variant>
        <vt:i4>291</vt:i4>
      </vt:variant>
      <vt:variant>
        <vt:i4>0</vt:i4>
      </vt:variant>
      <vt:variant>
        <vt:i4>5</vt:i4>
      </vt:variant>
      <vt:variant>
        <vt:lpwstr>https://economy-finance.ec.europa.eu/publications/digital-measures-under-recovery-and-resilience-facility-economic-impacts-macro-sectoral-and-country_en</vt:lpwstr>
      </vt:variant>
      <vt:variant>
        <vt:lpwstr/>
      </vt:variant>
      <vt:variant>
        <vt:i4>1704062</vt:i4>
      </vt:variant>
      <vt:variant>
        <vt:i4>288</vt:i4>
      </vt:variant>
      <vt:variant>
        <vt:i4>0</vt:i4>
      </vt:variant>
      <vt:variant>
        <vt:i4>5</vt:i4>
      </vt:variant>
      <vt:variant>
        <vt:lpwstr>https://reforms-investments.ec.europa.eu/publications-0/recovery-and-resilience-facility-annual-report-2025_en</vt:lpwstr>
      </vt:variant>
      <vt:variant>
        <vt:lpwstr/>
      </vt:variant>
      <vt:variant>
        <vt:i4>1048689</vt:i4>
      </vt:variant>
      <vt:variant>
        <vt:i4>285</vt:i4>
      </vt:variant>
      <vt:variant>
        <vt:i4>0</vt:i4>
      </vt:variant>
      <vt:variant>
        <vt:i4>5</vt:i4>
      </vt:variant>
      <vt:variant>
        <vt:lpwstr>https://commission.europa.eu/strategy-and-policy/eu-budget/performance-and-reporting/horizontal-priorities/digital-tracking_en</vt:lpwstr>
      </vt:variant>
      <vt:variant>
        <vt:lpwstr/>
      </vt:variant>
      <vt:variant>
        <vt:i4>6094850</vt:i4>
      </vt:variant>
      <vt:variant>
        <vt:i4>282</vt:i4>
      </vt:variant>
      <vt:variant>
        <vt:i4>0</vt:i4>
      </vt:variant>
      <vt:variant>
        <vt:i4>5</vt:i4>
      </vt:variant>
      <vt:variant>
        <vt:lpwstr>https://ecoresponsable.numerique.gouv.fr/publications/strategie-numerique-responsable-des-collectivites/</vt:lpwstr>
      </vt:variant>
      <vt:variant>
        <vt:lpwstr/>
      </vt:variant>
      <vt:variant>
        <vt:i4>5701688</vt:i4>
      </vt:variant>
      <vt:variant>
        <vt:i4>279</vt:i4>
      </vt:variant>
      <vt:variant>
        <vt:i4>0</vt:i4>
      </vt:variant>
      <vt:variant>
        <vt:i4>5</vt:i4>
      </vt:variant>
      <vt:variant>
        <vt:lpwstr>https://energy.ec.europa.eu/news/strategic-roadmap-digitalisation-and-ai-energy-sector-consultations-opened-2025-08-06_en</vt:lpwstr>
      </vt:variant>
      <vt:variant>
        <vt:lpwstr/>
      </vt:variant>
      <vt:variant>
        <vt:i4>2621512</vt:i4>
      </vt:variant>
      <vt:variant>
        <vt:i4>276</vt:i4>
      </vt:variant>
      <vt:variant>
        <vt:i4>0</vt:i4>
      </vt:variant>
      <vt:variant>
        <vt:i4>5</vt:i4>
      </vt:variant>
      <vt:variant>
        <vt:lpwstr>https://energy.ec.europa.eu/topics/eus-energy-system/digitalisation-energy-system_en</vt:lpwstr>
      </vt:variant>
      <vt:variant>
        <vt:lpwstr/>
      </vt:variant>
      <vt:variant>
        <vt:i4>7340150</vt:i4>
      </vt:variant>
      <vt:variant>
        <vt:i4>273</vt:i4>
      </vt:variant>
      <vt:variant>
        <vt:i4>0</vt:i4>
      </vt:variant>
      <vt:variant>
        <vt:i4>5</vt:i4>
      </vt:variant>
      <vt:variant>
        <vt:lpwstr>https://theshiftproject.org/en/publications/al-data-and-computing-shaping-infrastructures-for-a-decarbonised-world/</vt:lpwstr>
      </vt:variant>
      <vt:variant>
        <vt:lpwstr/>
      </vt:variant>
      <vt:variant>
        <vt:i4>2621496</vt:i4>
      </vt:variant>
      <vt:variant>
        <vt:i4>270</vt:i4>
      </vt:variant>
      <vt:variant>
        <vt:i4>0</vt:i4>
      </vt:variant>
      <vt:variant>
        <vt:i4>5</vt:i4>
      </vt:variant>
      <vt:variant>
        <vt:lpwstr>https://eur-lex.europa.eu/legal-content/AUTO/?uri=COM%3A2026%3A16%3AFIN</vt:lpwstr>
      </vt:variant>
      <vt:variant>
        <vt:lpwstr/>
      </vt:variant>
      <vt:variant>
        <vt:i4>327699</vt:i4>
      </vt:variant>
      <vt:variant>
        <vt:i4>267</vt:i4>
      </vt:variant>
      <vt:variant>
        <vt:i4>0</vt:i4>
      </vt:variant>
      <vt:variant>
        <vt:i4>5</vt:i4>
      </vt:variant>
      <vt:variant>
        <vt:lpwstr>https://eur-lex.europa.eu/legal-content/EN/TXT/?uri=CELEX:52022DC0552</vt:lpwstr>
      </vt:variant>
      <vt:variant>
        <vt:lpwstr/>
      </vt:variant>
      <vt:variant>
        <vt:i4>262242</vt:i4>
      </vt:variant>
      <vt:variant>
        <vt:i4>264</vt:i4>
      </vt:variant>
      <vt:variant>
        <vt:i4>0</vt:i4>
      </vt:variant>
      <vt:variant>
        <vt:i4>5</vt:i4>
      </vt:variant>
      <vt:variant>
        <vt:lpwstr>https://joint-research-centre.ec.europa.eu/projects-and-activities/environmentally-sustainable-telecommunications-networks_en</vt:lpwstr>
      </vt:variant>
      <vt:variant>
        <vt:lpwstr/>
      </vt:variant>
      <vt:variant>
        <vt:i4>1704008</vt:i4>
      </vt:variant>
      <vt:variant>
        <vt:i4>261</vt:i4>
      </vt:variant>
      <vt:variant>
        <vt:i4>0</vt:i4>
      </vt:variant>
      <vt:variant>
        <vt:i4>5</vt:i4>
      </vt:variant>
      <vt:variant>
        <vt:lpwstr>https://www.iea.org/commentaries/overcoming-energy-constraints-is-key-to-delivering-on-europe-s-data-centre-goals</vt:lpwstr>
      </vt:variant>
      <vt:variant>
        <vt:lpwstr/>
      </vt:variant>
      <vt:variant>
        <vt:i4>8323109</vt:i4>
      </vt:variant>
      <vt:variant>
        <vt:i4>258</vt:i4>
      </vt:variant>
      <vt:variant>
        <vt:i4>0</vt:i4>
      </vt:variant>
      <vt:variant>
        <vt:i4>5</vt:i4>
      </vt:variant>
      <vt:variant>
        <vt:lpwstr>https://www.iea.org/reports/energy-and-ai/executive-summary</vt:lpwstr>
      </vt:variant>
      <vt:variant>
        <vt:lpwstr/>
      </vt:variant>
      <vt:variant>
        <vt:i4>4587588</vt:i4>
      </vt:variant>
      <vt:variant>
        <vt:i4>255</vt:i4>
      </vt:variant>
      <vt:variant>
        <vt:i4>0</vt:i4>
      </vt:variant>
      <vt:variant>
        <vt:i4>5</vt:i4>
      </vt:variant>
      <vt:variant>
        <vt:lpwstr>https://ec.europa.eu/eurostat/web/products-eurostat-news/w/ddn-20250409-1</vt:lpwstr>
      </vt:variant>
      <vt:variant>
        <vt:lpwstr/>
      </vt:variant>
      <vt:variant>
        <vt:i4>2162726</vt:i4>
      </vt:variant>
      <vt:variant>
        <vt:i4>252</vt:i4>
      </vt:variant>
      <vt:variant>
        <vt:i4>0</vt:i4>
      </vt:variant>
      <vt:variant>
        <vt:i4>5</vt:i4>
      </vt:variant>
      <vt:variant>
        <vt:lpwstr>https://www.euronews.com/my-europe/2026/01/20/is-europe-losing-the-race-to-secure-rare-earth-materials</vt:lpwstr>
      </vt:variant>
      <vt:variant>
        <vt:lpwstr/>
      </vt:variant>
      <vt:variant>
        <vt:i4>6619246</vt:i4>
      </vt:variant>
      <vt:variant>
        <vt:i4>249</vt:i4>
      </vt:variant>
      <vt:variant>
        <vt:i4>0</vt:i4>
      </vt:variant>
      <vt:variant>
        <vt:i4>5</vt:i4>
      </vt:variant>
      <vt:variant>
        <vt:lpwstr>https://www.iea.org/reports/key-questions-on-energy-and-ai</vt:lpwstr>
      </vt:variant>
      <vt:variant>
        <vt:lpwstr/>
      </vt:variant>
      <vt:variant>
        <vt:i4>8323109</vt:i4>
      </vt:variant>
      <vt:variant>
        <vt:i4>246</vt:i4>
      </vt:variant>
      <vt:variant>
        <vt:i4>0</vt:i4>
      </vt:variant>
      <vt:variant>
        <vt:i4>5</vt:i4>
      </vt:variant>
      <vt:variant>
        <vt:lpwstr>https://www.iea.org/reports/energy-and-ai/executive-summary</vt:lpwstr>
      </vt:variant>
      <vt:variant>
        <vt:lpwstr/>
      </vt:variant>
      <vt:variant>
        <vt:i4>1310791</vt:i4>
      </vt:variant>
      <vt:variant>
        <vt:i4>243</vt:i4>
      </vt:variant>
      <vt:variant>
        <vt:i4>0</vt:i4>
      </vt:variant>
      <vt:variant>
        <vt:i4>5</vt:i4>
      </vt:variant>
      <vt:variant>
        <vt:lpwstr>https://eur-lex.europa.eu/legal-content/EN/TXT/?uri=CELEX:32024R1735</vt:lpwstr>
      </vt:variant>
      <vt:variant>
        <vt:lpwstr/>
      </vt:variant>
      <vt:variant>
        <vt:i4>65643</vt:i4>
      </vt:variant>
      <vt:variant>
        <vt:i4>240</vt:i4>
      </vt:variant>
      <vt:variant>
        <vt:i4>0</vt:i4>
      </vt:variant>
      <vt:variant>
        <vt:i4>5</vt:i4>
      </vt:variant>
      <vt:variant>
        <vt:lpwstr>https://finance.ec.europa.eu/sustainable-finance/tools-and-standards/eu-taxonomy-sustainable-activities_en</vt:lpwstr>
      </vt:variant>
      <vt:variant>
        <vt:lpwstr/>
      </vt:variant>
      <vt:variant>
        <vt:i4>1179667</vt:i4>
      </vt:variant>
      <vt:variant>
        <vt:i4>237</vt:i4>
      </vt:variant>
      <vt:variant>
        <vt:i4>0</vt:i4>
      </vt:variant>
      <vt:variant>
        <vt:i4>5</vt:i4>
      </vt:variant>
      <vt:variant>
        <vt:lpwstr>https://op.europa.eu/en/publication-detail/-/publication/9ddf7bf8-62bf-11f0-bf4e-01aa75ed71a1/language-en</vt:lpwstr>
      </vt:variant>
      <vt:variant>
        <vt:lpwstr/>
      </vt:variant>
      <vt:variant>
        <vt:i4>7667730</vt:i4>
      </vt:variant>
      <vt:variant>
        <vt:i4>234</vt:i4>
      </vt:variant>
      <vt:variant>
        <vt:i4>0</vt:i4>
      </vt:variant>
      <vt:variant>
        <vt:i4>5</vt:i4>
      </vt:variant>
      <vt:variant>
        <vt:lpwstr>https://commission.europa.eu/topics/competitiveness/draghi-report_en</vt:lpwstr>
      </vt:variant>
      <vt:variant>
        <vt:lpwstr/>
      </vt:variant>
      <vt:variant>
        <vt:i4>6946861</vt:i4>
      </vt:variant>
      <vt:variant>
        <vt:i4>231</vt:i4>
      </vt:variant>
      <vt:variant>
        <vt:i4>0</vt:i4>
      </vt:variant>
      <vt:variant>
        <vt:i4>5</vt:i4>
      </vt:variant>
      <vt:variant>
        <vt:lpwstr>https://www.espon.eu/projects/digireg-territorial-perspectives-digital-transition-european-regions</vt:lpwstr>
      </vt:variant>
      <vt:variant>
        <vt:lpwstr/>
      </vt:variant>
      <vt:variant>
        <vt:i4>1507398</vt:i4>
      </vt:variant>
      <vt:variant>
        <vt:i4>228</vt:i4>
      </vt:variant>
      <vt:variant>
        <vt:i4>0</vt:i4>
      </vt:variant>
      <vt:variant>
        <vt:i4>5</vt:i4>
      </vt:variant>
      <vt:variant>
        <vt:lpwstr>https://ec.europa.eu/eurostat/cache/dashboard/digitalisation/</vt:lpwstr>
      </vt:variant>
      <vt:variant>
        <vt:lpwstr/>
      </vt:variant>
      <vt:variant>
        <vt:i4>8192057</vt:i4>
      </vt:variant>
      <vt:variant>
        <vt:i4>225</vt:i4>
      </vt:variant>
      <vt:variant>
        <vt:i4>0</vt:i4>
      </vt:variant>
      <vt:variant>
        <vt:i4>5</vt:i4>
      </vt:variant>
      <vt:variant>
        <vt:lpwstr>https://digital-strategy.ec.europa.eu/en/library/action-plan-against-cyberbullying</vt:lpwstr>
      </vt:variant>
      <vt:variant>
        <vt:lpwstr/>
      </vt:variant>
      <vt:variant>
        <vt:i4>1179715</vt:i4>
      </vt:variant>
      <vt:variant>
        <vt:i4>222</vt:i4>
      </vt:variant>
      <vt:variant>
        <vt:i4>0</vt:i4>
      </vt:variant>
      <vt:variant>
        <vt:i4>5</vt:i4>
      </vt:variant>
      <vt:variant>
        <vt:lpwstr>https://op.europa.eu/en/publication-detail/-/publication/9c7c2370-cb3d-11f0-8da2-01aa75ed71a1/language-en</vt:lpwstr>
      </vt:variant>
      <vt:variant>
        <vt:lpwstr/>
      </vt:variant>
      <vt:variant>
        <vt:i4>3211302</vt:i4>
      </vt:variant>
      <vt:variant>
        <vt:i4>219</vt:i4>
      </vt:variant>
      <vt:variant>
        <vt:i4>0</vt:i4>
      </vt:variant>
      <vt:variant>
        <vt:i4>5</vt:i4>
      </vt:variant>
      <vt:variant>
        <vt:lpwstr>https://www.acm.nl/en/publications/acm-launches-investigation-roblox-connection-risks-minors-are-facing</vt:lpwstr>
      </vt:variant>
      <vt:variant>
        <vt:lpwstr/>
      </vt:variant>
      <vt:variant>
        <vt:i4>2031623</vt:i4>
      </vt:variant>
      <vt:variant>
        <vt:i4>216</vt:i4>
      </vt:variant>
      <vt:variant>
        <vt:i4>0</vt:i4>
      </vt:variant>
      <vt:variant>
        <vt:i4>5</vt:i4>
      </vt:variant>
      <vt:variant>
        <vt:lpwstr>https://www.acm.nl/en/publications/acm-launces-dsa-investigation-snapchat-connection-illegal-sale-vaping-products-minors</vt:lpwstr>
      </vt:variant>
      <vt:variant>
        <vt:lpwstr/>
      </vt:variant>
      <vt:variant>
        <vt:i4>7077951</vt:i4>
      </vt:variant>
      <vt:variant>
        <vt:i4>213</vt:i4>
      </vt:variant>
      <vt:variant>
        <vt:i4>0</vt:i4>
      </vt:variant>
      <vt:variant>
        <vt:i4>5</vt:i4>
      </vt:variant>
      <vt:variant>
        <vt:lpwstr>https://zenodo.org/records/17592362</vt:lpwstr>
      </vt:variant>
      <vt:variant>
        <vt:lpwstr/>
      </vt:variant>
      <vt:variant>
        <vt:i4>7274610</vt:i4>
      </vt:variant>
      <vt:variant>
        <vt:i4>210</vt:i4>
      </vt:variant>
      <vt:variant>
        <vt:i4>0</vt:i4>
      </vt:variant>
      <vt:variant>
        <vt:i4>5</vt:i4>
      </vt:variant>
      <vt:variant>
        <vt:lpwstr>https://eur-lex.europa.eu/legal-content/EN/TXT/?uri=CELEX%3A32022R0720</vt:lpwstr>
      </vt:variant>
      <vt:variant>
        <vt:lpwstr/>
      </vt:variant>
      <vt:variant>
        <vt:i4>7340107</vt:i4>
      </vt:variant>
      <vt:variant>
        <vt:i4>207</vt:i4>
      </vt:variant>
      <vt:variant>
        <vt:i4>0</vt:i4>
      </vt:variant>
      <vt:variant>
        <vt:i4>5</vt:i4>
      </vt:variant>
      <vt:variant>
        <vt:lpwstr>https://eur-lex.europa.eu/legal-content/EN/TXT/PDF/?uri=OJ:C_202601687</vt:lpwstr>
      </vt:variant>
      <vt:variant>
        <vt:lpwstr/>
      </vt:variant>
      <vt:variant>
        <vt:i4>524305</vt:i4>
      </vt:variant>
      <vt:variant>
        <vt:i4>204</vt:i4>
      </vt:variant>
      <vt:variant>
        <vt:i4>0</vt:i4>
      </vt:variant>
      <vt:variant>
        <vt:i4>5</vt:i4>
      </vt:variant>
      <vt:variant>
        <vt:lpwstr>https://eur-lex.europa.eu/legal-content/EN/TXT/?uri=celex:52025DC0089</vt:lpwstr>
      </vt:variant>
      <vt:variant>
        <vt:lpwstr/>
      </vt:variant>
      <vt:variant>
        <vt:i4>2097250</vt:i4>
      </vt:variant>
      <vt:variant>
        <vt:i4>201</vt:i4>
      </vt:variant>
      <vt:variant>
        <vt:i4>0</vt:i4>
      </vt:variant>
      <vt:variant>
        <vt:i4>5</vt:i4>
      </vt:variant>
      <vt:variant>
        <vt:lpwstr>https://europa.eu/eurobarometer/surveys/detail/3352</vt:lpwstr>
      </vt:variant>
      <vt:variant>
        <vt:lpwstr/>
      </vt:variant>
      <vt:variant>
        <vt:i4>5570625</vt:i4>
      </vt:variant>
      <vt:variant>
        <vt:i4>198</vt:i4>
      </vt:variant>
      <vt:variant>
        <vt:i4>0</vt:i4>
      </vt:variant>
      <vt:variant>
        <vt:i4>5</vt:i4>
      </vt:variant>
      <vt:variant>
        <vt:lpwstr>https://digital-strategy.ec.europa.eu/en/library/coordinated-implementation-roadmap-transition-post-quantum-cryptography</vt:lpwstr>
      </vt:variant>
      <vt:variant>
        <vt:lpwstr/>
      </vt:variant>
      <vt:variant>
        <vt:i4>5373969</vt:i4>
      </vt:variant>
      <vt:variant>
        <vt:i4>195</vt:i4>
      </vt:variant>
      <vt:variant>
        <vt:i4>0</vt:i4>
      </vt:variant>
      <vt:variant>
        <vt:i4>5</vt:i4>
      </vt:variant>
      <vt:variant>
        <vt:lpwstr>https://www.hbs.edu/faculty/Pages/item.aspx?num=65230</vt:lpwstr>
      </vt:variant>
      <vt:variant>
        <vt:lpwstr/>
      </vt:variant>
      <vt:variant>
        <vt:i4>851977</vt:i4>
      </vt:variant>
      <vt:variant>
        <vt:i4>192</vt:i4>
      </vt:variant>
      <vt:variant>
        <vt:i4>0</vt:i4>
      </vt:variant>
      <vt:variant>
        <vt:i4>5</vt:i4>
      </vt:variant>
      <vt:variant>
        <vt:lpwstr>https://www.synopsys.com/software-integrity/resources/analyst-reports/open-source-security-risk-analysis.html</vt:lpwstr>
      </vt:variant>
      <vt:variant>
        <vt:lpwstr/>
      </vt:variant>
      <vt:variant>
        <vt:i4>2097198</vt:i4>
      </vt:variant>
      <vt:variant>
        <vt:i4>189</vt:i4>
      </vt:variant>
      <vt:variant>
        <vt:i4>0</vt:i4>
      </vt:variant>
      <vt:variant>
        <vt:i4>5</vt:i4>
      </vt:variant>
      <vt:variant>
        <vt:lpwstr>https://ec.europa.eu/eurostat/statistics-explained/index.php/Cloud_computing_-_statistics_on_the_use_by_enterprises</vt:lpwstr>
      </vt:variant>
      <vt:variant>
        <vt:lpwstr/>
      </vt:variant>
      <vt:variant>
        <vt:i4>7209075</vt:i4>
      </vt:variant>
      <vt:variant>
        <vt:i4>186</vt:i4>
      </vt:variant>
      <vt:variant>
        <vt:i4>0</vt:i4>
      </vt:variant>
      <vt:variant>
        <vt:i4>5</vt:i4>
      </vt:variant>
      <vt:variant>
        <vt:lpwstr>https://digital-strategy.ec.europa.eu/en/library/submarine-cable-security-toolbox-and-cable-projects-european-interest</vt:lpwstr>
      </vt:variant>
      <vt:variant>
        <vt:lpwstr/>
      </vt:variant>
      <vt:variant>
        <vt:i4>327763</vt:i4>
      </vt:variant>
      <vt:variant>
        <vt:i4>183</vt:i4>
      </vt:variant>
      <vt:variant>
        <vt:i4>0</vt:i4>
      </vt:variant>
      <vt:variant>
        <vt:i4>5</vt:i4>
      </vt:variant>
      <vt:variant>
        <vt:lpwstr>https://eur-lex.europa.eu/legal-content/EN/TXT/?uri=COM:2025:516:FIN</vt:lpwstr>
      </vt:variant>
      <vt:variant>
        <vt:lpwstr/>
      </vt:variant>
      <vt:variant>
        <vt:i4>1310796</vt:i4>
      </vt:variant>
      <vt:variant>
        <vt:i4>180</vt:i4>
      </vt:variant>
      <vt:variant>
        <vt:i4>0</vt:i4>
      </vt:variant>
      <vt:variant>
        <vt:i4>5</vt:i4>
      </vt:variant>
      <vt:variant>
        <vt:lpwstr>https://digital-strategy.ec.europa.eu/en/news/commission-increases-submarine-cable-security-eu347-million-investment-and-new-toolbox</vt:lpwstr>
      </vt:variant>
      <vt:variant>
        <vt:lpwstr/>
      </vt:variant>
      <vt:variant>
        <vt:i4>7209075</vt:i4>
      </vt:variant>
      <vt:variant>
        <vt:i4>177</vt:i4>
      </vt:variant>
      <vt:variant>
        <vt:i4>0</vt:i4>
      </vt:variant>
      <vt:variant>
        <vt:i4>5</vt:i4>
      </vt:variant>
      <vt:variant>
        <vt:lpwstr>https://digital-strategy.ec.europa.eu/en/library/submarine-cable-security-toolbox-and-cable-projects-european-interest</vt:lpwstr>
      </vt:variant>
      <vt:variant>
        <vt:lpwstr/>
      </vt:variant>
      <vt:variant>
        <vt:i4>655427</vt:i4>
      </vt:variant>
      <vt:variant>
        <vt:i4>174</vt:i4>
      </vt:variant>
      <vt:variant>
        <vt:i4>0</vt:i4>
      </vt:variant>
      <vt:variant>
        <vt:i4>5</vt:i4>
      </vt:variant>
      <vt:variant>
        <vt:lpwstr>https://digital-strategy.ec.europa.eu/en/news/security-cables-commission-publishes-landmark-report-and-funding-cable-hubs</vt:lpwstr>
      </vt:variant>
      <vt:variant>
        <vt:lpwstr/>
      </vt:variant>
      <vt:variant>
        <vt:i4>6684684</vt:i4>
      </vt:variant>
      <vt:variant>
        <vt:i4>171</vt:i4>
      </vt:variant>
      <vt:variant>
        <vt:i4>0</vt:i4>
      </vt:variant>
      <vt:variant>
        <vt:i4>5</vt:i4>
      </vt:variant>
      <vt:variant>
        <vt:lpwstr>https://eur-lex.europa.eu/legal-content/EN/TXT/?uri=OJ:L_202400779</vt:lpwstr>
      </vt:variant>
      <vt:variant>
        <vt:lpwstr/>
      </vt:variant>
      <vt:variant>
        <vt:i4>3539046</vt:i4>
      </vt:variant>
      <vt:variant>
        <vt:i4>168</vt:i4>
      </vt:variant>
      <vt:variant>
        <vt:i4>0</vt:i4>
      </vt:variant>
      <vt:variant>
        <vt:i4>5</vt:i4>
      </vt:variant>
      <vt:variant>
        <vt:lpwstr>https://eur-lex.europa.eu/legal-content/EN/TXT/?uri=JOIN:2025:9:FIN</vt:lpwstr>
      </vt:variant>
      <vt:variant>
        <vt:lpwstr/>
      </vt:variant>
      <vt:variant>
        <vt:i4>655427</vt:i4>
      </vt:variant>
      <vt:variant>
        <vt:i4>165</vt:i4>
      </vt:variant>
      <vt:variant>
        <vt:i4>0</vt:i4>
      </vt:variant>
      <vt:variant>
        <vt:i4>5</vt:i4>
      </vt:variant>
      <vt:variant>
        <vt:lpwstr>https://digital-strategy.ec.europa.eu/en/news/security-cables-commission-publishes-landmark-report-and-funding-cable-hubs</vt:lpwstr>
      </vt:variant>
      <vt:variant>
        <vt:lpwstr/>
      </vt:variant>
      <vt:variant>
        <vt:i4>8192120</vt:i4>
      </vt:variant>
      <vt:variant>
        <vt:i4>162</vt:i4>
      </vt:variant>
      <vt:variant>
        <vt:i4>0</vt:i4>
      </vt:variant>
      <vt:variant>
        <vt:i4>5</vt:i4>
      </vt:variant>
      <vt:variant>
        <vt:lpwstr>https://www.futuremarketinsights.com/reports/submarine-communication-cables-market</vt:lpwstr>
      </vt:variant>
      <vt:variant>
        <vt:lpwstr/>
      </vt:variant>
      <vt:variant>
        <vt:i4>655440</vt:i4>
      </vt:variant>
      <vt:variant>
        <vt:i4>159</vt:i4>
      </vt:variant>
      <vt:variant>
        <vt:i4>0</vt:i4>
      </vt:variant>
      <vt:variant>
        <vt:i4>5</vt:i4>
      </vt:variant>
      <vt:variant>
        <vt:lpwstr>https://statics.teams.cdn.office.net/evergreen-assets/safelinks/2/atp-safelinks.html</vt:lpwstr>
      </vt:variant>
      <vt:variant>
        <vt:lpwstr/>
      </vt:variant>
      <vt:variant>
        <vt:i4>4522058</vt:i4>
      </vt:variant>
      <vt:variant>
        <vt:i4>156</vt:i4>
      </vt:variant>
      <vt:variant>
        <vt:i4>0</vt:i4>
      </vt:variant>
      <vt:variant>
        <vt:i4>5</vt:i4>
      </vt:variant>
      <vt:variant>
        <vt:lpwstr>https://op.europa.eu/en/publication-detail/-/publication/4c769094-41b5-11f0-b9f2-01aa75ed71a1/language-en</vt:lpwstr>
      </vt:variant>
      <vt:variant>
        <vt:lpwstr/>
      </vt:variant>
      <vt:variant>
        <vt:i4>3670033</vt:i4>
      </vt:variant>
      <vt:variant>
        <vt:i4>153</vt:i4>
      </vt:variant>
      <vt:variant>
        <vt:i4>0</vt:i4>
      </vt:variant>
      <vt:variant>
        <vt:i4>5</vt:i4>
      </vt:variant>
      <vt:variant>
        <vt:lpwstr>https://www.analysysmason.com/contentassets/0073eb3b7b00483e95dfbf2331707371/analysys_mason_mnos_oems_satellite_d2d_jun2025_nsi139.pdf</vt:lpwstr>
      </vt:variant>
      <vt:variant>
        <vt:lpwstr/>
      </vt:variant>
      <vt:variant>
        <vt:i4>5570584</vt:i4>
      </vt:variant>
      <vt:variant>
        <vt:i4>150</vt:i4>
      </vt:variant>
      <vt:variant>
        <vt:i4>0</vt:i4>
      </vt:variant>
      <vt:variant>
        <vt:i4>5</vt:i4>
      </vt:variant>
      <vt:variant>
        <vt:lpwstr>https://smart-networks.europa.eu/wp-content/uploads/2026/03/overview_of_national_-initiatives_2004_2025_srg-edition.pdf</vt:lpwstr>
      </vt:variant>
      <vt:variant>
        <vt:lpwstr/>
      </vt:variant>
      <vt:variant>
        <vt:i4>720897</vt:i4>
      </vt:variant>
      <vt:variant>
        <vt:i4>147</vt:i4>
      </vt:variant>
      <vt:variant>
        <vt:i4>0</vt:i4>
      </vt:variant>
      <vt:variant>
        <vt:i4>5</vt:i4>
      </vt:variant>
      <vt:variant>
        <vt:lpwstr>https://digital-strategy.ec.europa.eu/en/policies/5g-observatory</vt:lpwstr>
      </vt:variant>
      <vt:variant>
        <vt:lpwstr/>
      </vt:variant>
      <vt:variant>
        <vt:i4>3539052</vt:i4>
      </vt:variant>
      <vt:variant>
        <vt:i4>144</vt:i4>
      </vt:variant>
      <vt:variant>
        <vt:i4>0</vt:i4>
      </vt:variant>
      <vt:variant>
        <vt:i4>5</vt:i4>
      </vt:variant>
      <vt:variant>
        <vt:lpwstr>https://digital-strategy.ec.europa.eu/en/news/commission-announces-eu75-million-euro-3c-project-build-federated-telco-edge-cloud-infrastructure</vt:lpwstr>
      </vt:variant>
      <vt:variant>
        <vt:lpwstr/>
      </vt:variant>
      <vt:variant>
        <vt:i4>4521996</vt:i4>
      </vt:variant>
      <vt:variant>
        <vt:i4>141</vt:i4>
      </vt:variant>
      <vt:variant>
        <vt:i4>0</vt:i4>
      </vt:variant>
      <vt:variant>
        <vt:i4>5</vt:i4>
      </vt:variant>
      <vt:variant>
        <vt:lpwstr>https://digital-strategy.ec.europa.eu/en/library/investment-and-funding-needs-digital-decade-connectivity-targets</vt:lpwstr>
      </vt:variant>
      <vt:variant>
        <vt:lpwstr/>
      </vt:variant>
      <vt:variant>
        <vt:i4>720897</vt:i4>
      </vt:variant>
      <vt:variant>
        <vt:i4>138</vt:i4>
      </vt:variant>
      <vt:variant>
        <vt:i4>0</vt:i4>
      </vt:variant>
      <vt:variant>
        <vt:i4>5</vt:i4>
      </vt:variant>
      <vt:variant>
        <vt:lpwstr>https://digital-strategy.ec.europa.eu/en/policies/5g-observatory</vt:lpwstr>
      </vt:variant>
      <vt:variant>
        <vt:lpwstr/>
      </vt:variant>
      <vt:variant>
        <vt:i4>589905</vt:i4>
      </vt:variant>
      <vt:variant>
        <vt:i4>135</vt:i4>
      </vt:variant>
      <vt:variant>
        <vt:i4>0</vt:i4>
      </vt:variant>
      <vt:variant>
        <vt:i4>5</vt:i4>
      </vt:variant>
      <vt:variant>
        <vt:lpwstr>https://gsacom.com/paper/private-mobile-networks-september-2024/</vt:lpwstr>
      </vt:variant>
      <vt:variant>
        <vt:lpwstr/>
      </vt:variant>
      <vt:variant>
        <vt:i4>3801183</vt:i4>
      </vt:variant>
      <vt:variant>
        <vt:i4>132</vt:i4>
      </vt:variant>
      <vt:variant>
        <vt:i4>0</vt:i4>
      </vt:variant>
      <vt:variant>
        <vt:i4>5</vt:i4>
      </vt:variant>
      <vt:variant>
        <vt:lpwstr>https://www.oxfordeconomics.com/wp-content/uploads/2023/03/GlobalEconomicPotential5G_290323.pdf</vt:lpwstr>
      </vt:variant>
      <vt:variant>
        <vt:lpwstr/>
      </vt:variant>
      <vt:variant>
        <vt:i4>3801183</vt:i4>
      </vt:variant>
      <vt:variant>
        <vt:i4>129</vt:i4>
      </vt:variant>
      <vt:variant>
        <vt:i4>0</vt:i4>
      </vt:variant>
      <vt:variant>
        <vt:i4>5</vt:i4>
      </vt:variant>
      <vt:variant>
        <vt:lpwstr>https://www.oxfordeconomics.com/wp-content/uploads/2023/03/GlobalEconomicPotential5G_290323.pdf</vt:lpwstr>
      </vt:variant>
      <vt:variant>
        <vt:lpwstr/>
      </vt:variant>
      <vt:variant>
        <vt:i4>1310792</vt:i4>
      </vt:variant>
      <vt:variant>
        <vt:i4>126</vt:i4>
      </vt:variant>
      <vt:variant>
        <vt:i4>0</vt:i4>
      </vt:variant>
      <vt:variant>
        <vt:i4>5</vt:i4>
      </vt:variant>
      <vt:variant>
        <vt:lpwstr>https://www.econstor.eu/bitstream/10419/238018/1/Edquist.pdf</vt:lpwstr>
      </vt:variant>
      <vt:variant>
        <vt:lpwstr/>
      </vt:variant>
      <vt:variant>
        <vt:i4>786523</vt:i4>
      </vt:variant>
      <vt:variant>
        <vt:i4>123</vt:i4>
      </vt:variant>
      <vt:variant>
        <vt:i4>0</vt:i4>
      </vt:variant>
      <vt:variant>
        <vt:i4>5</vt:i4>
      </vt:variant>
      <vt:variant>
        <vt:lpwstr>https://academic.oup.com/icc/article/34/4/696/7965758</vt:lpwstr>
      </vt:variant>
      <vt:variant>
        <vt:lpwstr/>
      </vt:variant>
      <vt:variant>
        <vt:i4>6619179</vt:i4>
      </vt:variant>
      <vt:variant>
        <vt:i4>120</vt:i4>
      </vt:variant>
      <vt:variant>
        <vt:i4>0</vt:i4>
      </vt:variant>
      <vt:variant>
        <vt:i4>5</vt:i4>
      </vt:variant>
      <vt:variant>
        <vt:lpwstr>https://medux.net/</vt:lpwstr>
      </vt:variant>
      <vt:variant>
        <vt:lpwstr/>
      </vt:variant>
      <vt:variant>
        <vt:i4>2424875</vt:i4>
      </vt:variant>
      <vt:variant>
        <vt:i4>117</vt:i4>
      </vt:variant>
      <vt:variant>
        <vt:i4>0</vt:i4>
      </vt:variant>
      <vt:variant>
        <vt:i4>5</vt:i4>
      </vt:variant>
      <vt:variant>
        <vt:lpwstr>https://www.ookla.com/</vt:lpwstr>
      </vt:variant>
      <vt:variant>
        <vt:lpwstr/>
      </vt:variant>
      <vt:variant>
        <vt:i4>720897</vt:i4>
      </vt:variant>
      <vt:variant>
        <vt:i4>114</vt:i4>
      </vt:variant>
      <vt:variant>
        <vt:i4>0</vt:i4>
      </vt:variant>
      <vt:variant>
        <vt:i4>5</vt:i4>
      </vt:variant>
      <vt:variant>
        <vt:lpwstr>https://digital-strategy.ec.europa.eu/en/policies/5g-observatory</vt:lpwstr>
      </vt:variant>
      <vt:variant>
        <vt:lpwstr/>
      </vt:variant>
      <vt:variant>
        <vt:i4>720897</vt:i4>
      </vt:variant>
      <vt:variant>
        <vt:i4>111</vt:i4>
      </vt:variant>
      <vt:variant>
        <vt:i4>0</vt:i4>
      </vt:variant>
      <vt:variant>
        <vt:i4>5</vt:i4>
      </vt:variant>
      <vt:variant>
        <vt:lpwstr>https://digital-strategy.ec.europa.eu/en/policies/5g-observatory</vt:lpwstr>
      </vt:variant>
      <vt:variant>
        <vt:lpwstr/>
      </vt:variant>
      <vt:variant>
        <vt:i4>3080241</vt:i4>
      </vt:variant>
      <vt:variant>
        <vt:i4>108</vt:i4>
      </vt:variant>
      <vt:variant>
        <vt:i4>0</vt:i4>
      </vt:variant>
      <vt:variant>
        <vt:i4>5</vt:i4>
      </vt:variant>
      <vt:variant>
        <vt:lpwstr>https://www.gsma.com/solutions-and-impact/connectivity-for-good/mobile-economy/wp-content/uploads/2025/01/0125-Mobile-Economy-Europe-2025-web.pdf?</vt:lpwstr>
      </vt:variant>
      <vt:variant>
        <vt:lpwstr/>
      </vt:variant>
      <vt:variant>
        <vt:i4>4128805</vt:i4>
      </vt:variant>
      <vt:variant>
        <vt:i4>105</vt:i4>
      </vt:variant>
      <vt:variant>
        <vt:i4>0</vt:i4>
      </vt:variant>
      <vt:variant>
        <vt:i4>5</vt:i4>
      </vt:variant>
      <vt:variant>
        <vt:lpwstr>https://digital-strategy.ec.europa.eu/en/policies/digital-networks-act</vt:lpwstr>
      </vt:variant>
      <vt:variant>
        <vt:lpwstr/>
      </vt:variant>
      <vt:variant>
        <vt:i4>6946861</vt:i4>
      </vt:variant>
      <vt:variant>
        <vt:i4>102</vt:i4>
      </vt:variant>
      <vt:variant>
        <vt:i4>0</vt:i4>
      </vt:variant>
      <vt:variant>
        <vt:i4>5</vt:i4>
      </vt:variant>
      <vt:variant>
        <vt:lpwstr>https://www.espon.eu/projects/digireg-territorial-perspectives-digital-transition-european-regions</vt:lpwstr>
      </vt:variant>
      <vt:variant>
        <vt:lpwstr/>
      </vt:variant>
      <vt:variant>
        <vt:i4>1179665</vt:i4>
      </vt:variant>
      <vt:variant>
        <vt:i4>99</vt:i4>
      </vt:variant>
      <vt:variant>
        <vt:i4>0</vt:i4>
      </vt:variant>
      <vt:variant>
        <vt:i4>5</vt:i4>
      </vt:variant>
      <vt:variant>
        <vt:lpwstr>https://www.consilium.europa.eu/en/meetings/tte/2025/06/06/</vt:lpwstr>
      </vt:variant>
      <vt:variant>
        <vt:lpwstr>:~:text=Transport%2C%20Telecommunications%20and%20Energy%20Council%20(Telecommunications)%2C%206%20June%202025</vt:lpwstr>
      </vt:variant>
      <vt:variant>
        <vt:i4>6619233</vt:i4>
      </vt:variant>
      <vt:variant>
        <vt:i4>96</vt:i4>
      </vt:variant>
      <vt:variant>
        <vt:i4>0</vt:i4>
      </vt:variant>
      <vt:variant>
        <vt:i4>5</vt:i4>
      </vt:variant>
      <vt:variant>
        <vt:lpwstr>https://www.fsisac.com/newsroom/fsisac-releases-critical-guidance-on-subsea-cable-risks-for-financial-firms</vt:lpwstr>
      </vt:variant>
      <vt:variant>
        <vt:lpwstr>:~:text=FS%2DISAC's%20guidance%20underscores%20thestrategy%20 and%20disaster%20recovery%20plans.</vt:lpwstr>
      </vt:variant>
      <vt:variant>
        <vt:i4>4521999</vt:i4>
      </vt:variant>
      <vt:variant>
        <vt:i4>93</vt:i4>
      </vt:variant>
      <vt:variant>
        <vt:i4>0</vt:i4>
      </vt:variant>
      <vt:variant>
        <vt:i4>5</vt:i4>
      </vt:variant>
      <vt:variant>
        <vt:lpwstr>https://www.statista.com/statistics/871513/worldwide-data-created/</vt:lpwstr>
      </vt:variant>
      <vt:variant>
        <vt:lpwstr>statisticContainer</vt:lpwstr>
      </vt:variant>
      <vt:variant>
        <vt:i4>5832774</vt:i4>
      </vt:variant>
      <vt:variant>
        <vt:i4>90</vt:i4>
      </vt:variant>
      <vt:variant>
        <vt:i4>0</vt:i4>
      </vt:variant>
      <vt:variant>
        <vt:i4>5</vt:i4>
      </vt:variant>
      <vt:variant>
        <vt:lpwstr>https://irelandbusiness.ie/why-so-many-data-centres-built-in-ireland/</vt:lpwstr>
      </vt:variant>
      <vt:variant>
        <vt:lpwstr/>
      </vt:variant>
      <vt:variant>
        <vt:i4>7471163</vt:i4>
      </vt:variant>
      <vt:variant>
        <vt:i4>87</vt:i4>
      </vt:variant>
      <vt:variant>
        <vt:i4>0</vt:i4>
      </vt:variant>
      <vt:variant>
        <vt:i4>5</vt:i4>
      </vt:variant>
      <vt:variant>
        <vt:lpwstr>https://www.startcampus.pt/microsoft-makes-one-of-its-largest-investments-in-europe-at-start-campus-in-portugal</vt:lpwstr>
      </vt:variant>
      <vt:variant>
        <vt:lpwstr/>
      </vt:variant>
      <vt:variant>
        <vt:i4>5505037</vt:i4>
      </vt:variant>
      <vt:variant>
        <vt:i4>84</vt:i4>
      </vt:variant>
      <vt:variant>
        <vt:i4>0</vt:i4>
      </vt:variant>
      <vt:variant>
        <vt:i4>5</vt:i4>
      </vt:variant>
      <vt:variant>
        <vt:lpwstr>https://myartemida.gr/en/article/microsofts-1-billion-data-center-investment-in-spata-greece-a-digital-transformation-with-local-impact/</vt:lpwstr>
      </vt:variant>
      <vt:variant>
        <vt:lpwstr/>
      </vt:variant>
      <vt:variant>
        <vt:i4>4456455</vt:i4>
      </vt:variant>
      <vt:variant>
        <vt:i4>81</vt:i4>
      </vt:variant>
      <vt:variant>
        <vt:i4>0</vt:i4>
      </vt:variant>
      <vt:variant>
        <vt:i4>5</vt:i4>
      </vt:variant>
      <vt:variant>
        <vt:lpwstr>https://ec.europa.eu/newsroom/dae/redirection/document/129113</vt:lpwstr>
      </vt:variant>
      <vt:variant>
        <vt:lpwstr/>
      </vt:variant>
      <vt:variant>
        <vt:i4>7864326</vt:i4>
      </vt:variant>
      <vt:variant>
        <vt:i4>78</vt:i4>
      </vt:variant>
      <vt:variant>
        <vt:i4>0</vt:i4>
      </vt:variant>
      <vt:variant>
        <vt:i4>5</vt:i4>
      </vt:variant>
      <vt:variant>
        <vt:lpwstr>https://cerre.eu/wp-content/uploads/2025/09/CERRE_Report_DCs_FinalPDF.pdf</vt:lpwstr>
      </vt:variant>
      <vt:variant>
        <vt:lpwstr/>
      </vt:variant>
      <vt:variant>
        <vt:i4>3473504</vt:i4>
      </vt:variant>
      <vt:variant>
        <vt:i4>75</vt:i4>
      </vt:variant>
      <vt:variant>
        <vt:i4>0</vt:i4>
      </vt:variant>
      <vt:variant>
        <vt:i4>5</vt:i4>
      </vt:variant>
      <vt:variant>
        <vt:lpwstr>https://my.idc.com/getdoc.jsp?containerId=prUS52611224</vt:lpwstr>
      </vt:variant>
      <vt:variant>
        <vt:lpwstr/>
      </vt:variant>
      <vt:variant>
        <vt:i4>4390981</vt:i4>
      </vt:variant>
      <vt:variant>
        <vt:i4>72</vt:i4>
      </vt:variant>
      <vt:variant>
        <vt:i4>0</vt:i4>
      </vt:variant>
      <vt:variant>
        <vt:i4>5</vt:i4>
      </vt:variant>
      <vt:variant>
        <vt:lpwstr>https://learn.microsoft.com/en-us/azure/networking/azure-network-latency?tabs=Europe%2CWesternEurope</vt:lpwstr>
      </vt:variant>
      <vt:variant>
        <vt:lpwstr/>
      </vt:variant>
      <vt:variant>
        <vt:i4>3670072</vt:i4>
      </vt:variant>
      <vt:variant>
        <vt:i4>69</vt:i4>
      </vt:variant>
      <vt:variant>
        <vt:i4>0</vt:i4>
      </vt:variant>
      <vt:variant>
        <vt:i4>5</vt:i4>
      </vt:variant>
      <vt:variant>
        <vt:lpwstr>https://www.servermania.com/kb/articles/cloud-server-prices</vt:lpwstr>
      </vt:variant>
      <vt:variant>
        <vt:lpwstr/>
      </vt:variant>
      <vt:variant>
        <vt:i4>3604486</vt:i4>
      </vt:variant>
      <vt:variant>
        <vt:i4>66</vt:i4>
      </vt:variant>
      <vt:variant>
        <vt:i4>0</vt:i4>
      </vt:variant>
      <vt:variant>
        <vt:i4>5</vt:i4>
      </vt:variant>
      <vt:variant>
        <vt:lpwstr>https://www.savills.co.uk/research_articles/229130/362695-0</vt:lpwstr>
      </vt:variant>
      <vt:variant>
        <vt:lpwstr/>
      </vt:variant>
      <vt:variant>
        <vt:i4>983051</vt:i4>
      </vt:variant>
      <vt:variant>
        <vt:i4>63</vt:i4>
      </vt:variant>
      <vt:variant>
        <vt:i4>0</vt:i4>
      </vt:variant>
      <vt:variant>
        <vt:i4>5</vt:i4>
      </vt:variant>
      <vt:variant>
        <vt:lpwstr>https://www.cbre.com/insights/books/european-real-estate-market-outlook-mid-year-review-2025/data-centres</vt:lpwstr>
      </vt:variant>
      <vt:variant>
        <vt:lpwstr>:~:text=Rents%20will%20continue%20to%20increase,charge%20a%20premium%20rental%20rate.</vt:lpwstr>
      </vt:variant>
      <vt:variant>
        <vt:i4>6357107</vt:i4>
      </vt:variant>
      <vt:variant>
        <vt:i4>60</vt:i4>
      </vt:variant>
      <vt:variant>
        <vt:i4>0</vt:i4>
      </vt:variant>
      <vt:variant>
        <vt:i4>5</vt:i4>
      </vt:variant>
      <vt:variant>
        <vt:lpwstr>https://geopolitique.eu/en/2025/02/10/financing-infrastructure-for-a-competitive-european-ai/</vt:lpwstr>
      </vt:variant>
      <vt:variant>
        <vt:lpwstr>:~:text=A%20European%20AI%20infrastructure%20and%20insufficient%20funding&amp;text=As%20far%20as%20data%20centers,US%2012%20%2C%20a%20comparable%20economy.</vt:lpwstr>
      </vt:variant>
      <vt:variant>
        <vt:i4>7798848</vt:i4>
      </vt:variant>
      <vt:variant>
        <vt:i4>57</vt:i4>
      </vt:variant>
      <vt:variant>
        <vt:i4>0</vt:i4>
      </vt:variant>
      <vt:variant>
        <vt:i4>5</vt:i4>
      </vt:variant>
      <vt:variant>
        <vt:lpwstr>https://digital-markets-act.ec.europa.eu/commission-launches-market-investigations-cloud-computing-services-under-digital-markets-act-2025-11-18_en</vt:lpwstr>
      </vt:variant>
      <vt:variant>
        <vt:lpwstr/>
      </vt:variant>
      <vt:variant>
        <vt:i4>2359335</vt:i4>
      </vt:variant>
      <vt:variant>
        <vt:i4>54</vt:i4>
      </vt:variant>
      <vt:variant>
        <vt:i4>0</vt:i4>
      </vt:variant>
      <vt:variant>
        <vt:i4>5</vt:i4>
      </vt:variant>
      <vt:variant>
        <vt:lpwstr>https://www.mckinsey.com/industries/technology-media-and-telecommunications/our-insights/the-cost-of-compute-a-7-trillion-dollar-race-to-scale-data-centers</vt:lpwstr>
      </vt:variant>
      <vt:variant>
        <vt:lpwstr/>
      </vt:variant>
      <vt:variant>
        <vt:i4>6553644</vt:i4>
      </vt:variant>
      <vt:variant>
        <vt:i4>51</vt:i4>
      </vt:variant>
      <vt:variant>
        <vt:i4>0</vt:i4>
      </vt:variant>
      <vt:variant>
        <vt:i4>5</vt:i4>
      </vt:variant>
      <vt:variant>
        <vt:lpwstr>https://www.goldmansachs.com/insights/articles/ai-to-drive-165-increase-in-data-center-power-demand-by-2030</vt:lpwstr>
      </vt:variant>
      <vt:variant>
        <vt:lpwstr/>
      </vt:variant>
      <vt:variant>
        <vt:i4>4259842</vt:i4>
      </vt:variant>
      <vt:variant>
        <vt:i4>48</vt:i4>
      </vt:variant>
      <vt:variant>
        <vt:i4>0</vt:i4>
      </vt:variant>
      <vt:variant>
        <vt:i4>5</vt:i4>
      </vt:variant>
      <vt:variant>
        <vt:lpwstr>https://www.bain.com/insights/how-can-we-meet-ais-insatiable-demand-for-compute-power-technology-report-2025/</vt:lpwstr>
      </vt:variant>
      <vt:variant>
        <vt:lpwstr/>
      </vt:variant>
      <vt:variant>
        <vt:i4>2359335</vt:i4>
      </vt:variant>
      <vt:variant>
        <vt:i4>45</vt:i4>
      </vt:variant>
      <vt:variant>
        <vt:i4>0</vt:i4>
      </vt:variant>
      <vt:variant>
        <vt:i4>5</vt:i4>
      </vt:variant>
      <vt:variant>
        <vt:lpwstr>https://www.mckinsey.com/industries/technology-media-and-telecommunications/our-insights/the-cost-of-compute-a-7-trillion-dollar-race-to-scale-data-centers</vt:lpwstr>
      </vt:variant>
      <vt:variant>
        <vt:lpwstr/>
      </vt:variant>
      <vt:variant>
        <vt:i4>3473498</vt:i4>
      </vt:variant>
      <vt:variant>
        <vt:i4>42</vt:i4>
      </vt:variant>
      <vt:variant>
        <vt:i4>0</vt:i4>
      </vt:variant>
      <vt:variant>
        <vt:i4>5</vt:i4>
      </vt:variant>
      <vt:variant>
        <vt:lpwstr>https://cset.georgetown.edu/wp-content/uploads/AI-and-Compute-How-Much-Longer-Can-Computing-Power-Drive-Artificial-Intelligence-Progress_v2.pdf</vt:lpwstr>
      </vt:variant>
      <vt:variant>
        <vt:lpwstr/>
      </vt:variant>
      <vt:variant>
        <vt:i4>5111810</vt:i4>
      </vt:variant>
      <vt:variant>
        <vt:i4>39</vt:i4>
      </vt:variant>
      <vt:variant>
        <vt:i4>0</vt:i4>
      </vt:variant>
      <vt:variant>
        <vt:i4>5</vt:i4>
      </vt:variant>
      <vt:variant>
        <vt:lpwstr>https://ec.europa.eu/newsroom/dae/redirection/document/122401</vt:lpwstr>
      </vt:variant>
      <vt:variant>
        <vt:lpwstr/>
      </vt:variant>
      <vt:variant>
        <vt:i4>4325390</vt:i4>
      </vt:variant>
      <vt:variant>
        <vt:i4>36</vt:i4>
      </vt:variant>
      <vt:variant>
        <vt:i4>0</vt:i4>
      </vt:variant>
      <vt:variant>
        <vt:i4>5</vt:i4>
      </vt:variant>
      <vt:variant>
        <vt:lpwstr>https://ec.europa.eu/newsroom/dae/redirection/document/126886</vt:lpwstr>
      </vt:variant>
      <vt:variant>
        <vt:lpwstr/>
      </vt:variant>
      <vt:variant>
        <vt:i4>5111809</vt:i4>
      </vt:variant>
      <vt:variant>
        <vt:i4>33</vt:i4>
      </vt:variant>
      <vt:variant>
        <vt:i4>0</vt:i4>
      </vt:variant>
      <vt:variant>
        <vt:i4>5</vt:i4>
      </vt:variant>
      <vt:variant>
        <vt:lpwstr>https://ec.europa.eu/newsroom/dae/redirection/document/127759</vt:lpwstr>
      </vt:variant>
      <vt:variant>
        <vt:lpwstr/>
      </vt:variant>
      <vt:variant>
        <vt:i4>5111810</vt:i4>
      </vt:variant>
      <vt:variant>
        <vt:i4>30</vt:i4>
      </vt:variant>
      <vt:variant>
        <vt:i4>0</vt:i4>
      </vt:variant>
      <vt:variant>
        <vt:i4>5</vt:i4>
      </vt:variant>
      <vt:variant>
        <vt:lpwstr>https://ec.europa.eu/newsroom/dae/redirection/document/122401</vt:lpwstr>
      </vt:variant>
      <vt:variant>
        <vt:lpwstr/>
      </vt:variant>
      <vt:variant>
        <vt:i4>2359339</vt:i4>
      </vt:variant>
      <vt:variant>
        <vt:i4>27</vt:i4>
      </vt:variant>
      <vt:variant>
        <vt:i4>0</vt:i4>
      </vt:variant>
      <vt:variant>
        <vt:i4>5</vt:i4>
      </vt:variant>
      <vt:variant>
        <vt:lpwstr>https://www.datacentermap.com/</vt:lpwstr>
      </vt:variant>
      <vt:variant>
        <vt:lpwstr/>
      </vt:variant>
      <vt:variant>
        <vt:i4>2359351</vt:i4>
      </vt:variant>
      <vt:variant>
        <vt:i4>24</vt:i4>
      </vt:variant>
      <vt:variant>
        <vt:i4>0</vt:i4>
      </vt:variant>
      <vt:variant>
        <vt:i4>5</vt:i4>
      </vt:variant>
      <vt:variant>
        <vt:lpwstr>https://digital-strategy.ec.europa.eu/en/policies/european-quantum-communication-infrastructure-euroqci</vt:lpwstr>
      </vt:variant>
      <vt:variant>
        <vt:lpwstr/>
      </vt:variant>
      <vt:variant>
        <vt:i4>458821</vt:i4>
      </vt:variant>
      <vt:variant>
        <vt:i4>21</vt:i4>
      </vt:variant>
      <vt:variant>
        <vt:i4>0</vt:i4>
      </vt:variant>
      <vt:variant>
        <vt:i4>5</vt:i4>
      </vt:variant>
      <vt:variant>
        <vt:lpwstr>https://publications.jrc.ec.europa.eu/repository/handle/JRC141050</vt:lpwstr>
      </vt:variant>
      <vt:variant>
        <vt:lpwstr/>
      </vt:variant>
      <vt:variant>
        <vt:i4>6422585</vt:i4>
      </vt:variant>
      <vt:variant>
        <vt:i4>18</vt:i4>
      </vt:variant>
      <vt:variant>
        <vt:i4>0</vt:i4>
      </vt:variant>
      <vt:variant>
        <vt:i4>5</vt:i4>
      </vt:variant>
      <vt:variant>
        <vt:lpwstr>https://zenodo.org/records/18873447</vt:lpwstr>
      </vt:variant>
      <vt:variant>
        <vt:lpwstr/>
      </vt:variant>
      <vt:variant>
        <vt:i4>1835034</vt:i4>
      </vt:variant>
      <vt:variant>
        <vt:i4>15</vt:i4>
      </vt:variant>
      <vt:variant>
        <vt:i4>0</vt:i4>
      </vt:variant>
      <vt:variant>
        <vt:i4>5</vt:i4>
      </vt:variant>
      <vt:variant>
        <vt:lpwstr>https://digital-strategy.ec.europa.eu/en/library/quantum-europe-strategy</vt:lpwstr>
      </vt:variant>
      <vt:variant>
        <vt:lpwstr/>
      </vt:variant>
      <vt:variant>
        <vt:i4>3866667</vt:i4>
      </vt:variant>
      <vt:variant>
        <vt:i4>12</vt:i4>
      </vt:variant>
      <vt:variant>
        <vt:i4>0</vt:i4>
      </vt:variant>
      <vt:variant>
        <vt:i4>5</vt:i4>
      </vt:variant>
      <vt:variant>
        <vt:lpwstr>https://www.darpa.mil/research/programs/quantum-benchmarking-initiative</vt:lpwstr>
      </vt:variant>
      <vt:variant>
        <vt:lpwstr/>
      </vt:variant>
      <vt:variant>
        <vt:i4>327745</vt:i4>
      </vt:variant>
      <vt:variant>
        <vt:i4>9</vt:i4>
      </vt:variant>
      <vt:variant>
        <vt:i4>0</vt:i4>
      </vt:variant>
      <vt:variant>
        <vt:i4>5</vt:i4>
      </vt:variant>
      <vt:variant>
        <vt:lpwstr>https://patentpc.com/blog/the-cost-of-quantum-computing-how-expensive-is-it-to-run-a-quantum-system-stats-inside</vt:lpwstr>
      </vt:variant>
      <vt:variant>
        <vt:lpwstr/>
      </vt:variant>
      <vt:variant>
        <vt:i4>3407982</vt:i4>
      </vt:variant>
      <vt:variant>
        <vt:i4>6</vt:i4>
      </vt:variant>
      <vt:variant>
        <vt:i4>0</vt:i4>
      </vt:variant>
      <vt:variant>
        <vt:i4>5</vt:i4>
      </vt:variant>
      <vt:variant>
        <vt:lpwstr>https://quantumzeitgeist.com/how-many-quantum-computers-are-there/</vt:lpwstr>
      </vt:variant>
      <vt:variant>
        <vt:lpwstr/>
      </vt:variant>
      <vt:variant>
        <vt:i4>1704013</vt:i4>
      </vt:variant>
      <vt:variant>
        <vt:i4>3</vt:i4>
      </vt:variant>
      <vt:variant>
        <vt:i4>0</vt:i4>
      </vt:variant>
      <vt:variant>
        <vt:i4>5</vt:i4>
      </vt:variant>
      <vt:variant>
        <vt:lpwstr>https://techtracker.aspi.org.au/</vt:lpwstr>
      </vt:variant>
      <vt:variant>
        <vt:lpwstr/>
      </vt:variant>
      <vt:variant>
        <vt:i4>327753</vt:i4>
      </vt:variant>
      <vt:variant>
        <vt:i4>0</vt:i4>
      </vt:variant>
      <vt:variant>
        <vt:i4>0</vt:i4>
      </vt:variant>
      <vt:variant>
        <vt:i4>5</vt:i4>
      </vt:variant>
      <vt:variant>
        <vt:lpwstr>https://eur-lex.europa.eu/legal-content/EN/TXT/?uri=CELEX:32022D2481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2026-06-11T14:23:00Z</dcterms:created>
  <dcterms:modified xsi:type="dcterms:W3CDTF">2026-06-15T10:44:00Z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0x010100263B1F5D7841074CBE2E963D24797DAD</vt:lpwstr>
  </property>
  <property fmtid="{D5CDD505-2E9C-101B-9397-08002B2CF9AE}" pid="3" name="MSIP_Label_6bd9ddd1-4d20-43f6-abfa-fc3c07406f94_Enabled">
    <vt:lpwstr>true</vt:lpwstr>
  </property>
  <property fmtid="{D5CDD505-2E9C-101B-9397-08002B2CF9AE}" pid="4" name="MSIP_Label_6bd9ddd1-4d20-43f6-abfa-fc3c07406f94_SetDate">
    <vt:lpwstr>2026-01-26T13:46:35Z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7c23d114-5b11-49d5-a623-36f647d8cd86</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CP-039</vt:lpwstr>
  </property>
  <property fmtid="{D5CDD505-2E9C-101B-9397-08002B2CF9AE}" pid="20" name="Last edited using">
    <vt:lpwstr>LW 9.2, Build 20250828</vt:lpwstr>
  </property>
  <property fmtid="{D5CDD505-2E9C-101B-9397-08002B2CF9AE}" pid="21" name="Created using">
    <vt:lpwstr>LW 9.2, Build 20250828</vt:lpwstr>
  </property>
</Properties>
</file>