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544EA420" w:rsidR="00717869" w:rsidRPr="007C0C4B" w:rsidRDefault="00DF6B05" w:rsidP="00DF6B05">
      <w:pPr>
        <w:pStyle w:val="Pagedecouverture"/>
        <w:rPr>
          <w:noProof/>
        </w:rPr>
      </w:pPr>
      <w:bookmarkStart w:id="0" w:name="LW_BM_COVERPAGE"/>
      <w:r>
        <w:rPr>
          <w:noProof/>
        </w:rPr>
        <w:pict w14:anchorId="11E502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C1CFCCD-5DFF-4A2C-866F-3099E5DE1B39" style="width:455.25pt;height:399.75pt">
            <v:imagedata r:id="rId11" o:title=""/>
          </v:shape>
        </w:pict>
      </w:r>
    </w:p>
    <w:bookmarkEnd w:id="0"/>
    <w:p w14:paraId="1B2FF135" w14:textId="77777777" w:rsidR="00D52DC0" w:rsidRDefault="00D52DC0" w:rsidP="00D52DC0">
      <w:pPr>
        <w:rPr>
          <w:noProof/>
        </w:rPr>
        <w:sectPr w:rsidR="00D52DC0" w:rsidSect="00DF6B0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4E3569DA">
                <wp:simplePos x="0" y="0"/>
                <wp:positionH relativeFrom="column">
                  <wp:posOffset>554845</wp:posOffset>
                </wp:positionH>
                <wp:positionV relativeFrom="paragraph">
                  <wp:posOffset>36195</wp:posOffset>
                </wp:positionV>
                <wp:extent cx="4062714"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062714"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31549AD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7pt;margin-top:2.85pt;width:319.9pt;height:160.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31549AD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5C150EDB">
                <wp:simplePos x="0" y="0"/>
                <wp:positionH relativeFrom="column">
                  <wp:posOffset>1092200</wp:posOffset>
                </wp:positionH>
                <wp:positionV relativeFrom="paragraph">
                  <wp:posOffset>213360</wp:posOffset>
                </wp:positionV>
                <wp:extent cx="2273300" cy="550545"/>
                <wp:effectExtent l="0" t="0" r="0" b="1905"/>
                <wp:wrapNone/>
                <wp:docPr id="1327156838" name="Text Box 2"/>
                <wp:cNvGraphicFramePr/>
                <a:graphic xmlns:a="http://schemas.openxmlformats.org/drawingml/2006/main">
                  <a:graphicData uri="http://schemas.microsoft.com/office/word/2010/wordprocessingShape">
                    <wps:wsp>
                      <wps:cNvSpPr txBox="1"/>
                      <wps:spPr>
                        <a:xfrm>
                          <a:off x="0" y="0"/>
                          <a:ext cx="2273300" cy="550545"/>
                        </a:xfrm>
                        <a:prstGeom prst="rect">
                          <a:avLst/>
                        </a:prstGeom>
                        <a:noFill/>
                        <a:ln w="6350">
                          <a:noFill/>
                        </a:ln>
                      </wps:spPr>
                      <wps:txbx>
                        <w:txbxContent>
                          <w:p w14:paraId="2E200B4F" w14:textId="6C677409" w:rsidR="0092635F" w:rsidRPr="00CB0AF6" w:rsidRDefault="00CB593B"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Lithuania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86pt;margin-top:16.8pt;width:179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" filled="f" stroked="f" strokeweight=".5pt">
                <v:textbox>
                  <w:txbxContent>
                    <w:p w14:paraId="2E200B4F" w14:textId="6C677409" w:rsidR="0092635F" w:rsidRPr="00CB0AF6" w:rsidRDefault="00CB593B"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Lithuania</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4BE7B9">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" arcsize=".5" w14:anchorId="20EC6D0F">
                <v:stroke joinstyle="miter"/>
              </v:roundrect>
            </w:pict>
          </mc:Fallback>
        </mc:AlternateContent>
      </w:r>
      <w:r w:rsidR="00717869" w:rsidRPr="007C0C4B">
        <w:rPr>
          <w:b/>
          <w:bCs/>
          <w:noProof/>
        </w:rPr>
        <w:br/>
      </w:r>
      <w:r w:rsidR="00717869" w:rsidRPr="007C0C4B">
        <w:rPr>
          <w:b/>
          <w:bCs/>
          <w:noProof/>
        </w:rPr>
        <w:br/>
      </w:r>
    </w:p>
    <w:p w14:paraId="4CA24DDA" w14:textId="43B7E2B5" w:rsidR="006E5BE9" w:rsidRDefault="006E5BE9">
      <w:pPr>
        <w:spacing w:after="0" w:line="240" w:lineRule="auto"/>
        <w:rPr>
          <w:noProof/>
        </w:rPr>
        <w:sectPr w:rsidR="006E5BE9" w:rsidSect="00D52DC0">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p>
    <w:p w14:paraId="03210576" w14:textId="0B291FDC" w:rsidR="000B3B99" w:rsidRPr="003725C1" w:rsidRDefault="000B3B99" w:rsidP="003725C1">
      <w:pPr>
        <w:pStyle w:val="TOCHeading"/>
        <w:rPr>
          <w:noProof/>
          <w:color w:val="0046FF"/>
        </w:rPr>
      </w:pPr>
      <w:bookmarkStart w:id="2" w:name="_Toc220422726"/>
    </w:p>
    <w:p w14:paraId="75718203" w14:textId="77777777" w:rsidR="003725C1" w:rsidRDefault="003725C1">
      <w:pPr>
        <w:spacing w:after="0" w:line="240" w:lineRule="auto"/>
        <w:rPr>
          <w:b/>
          <w:bCs/>
          <w:noProof/>
          <w:color w:val="0046FF"/>
          <w:sz w:val="52"/>
          <w:szCs w:val="52"/>
          <w:lang w:val="en-GB"/>
        </w:rPr>
      </w:pPr>
      <w:bookmarkStart w:id="3" w:name="_Toc220422727"/>
      <w:bookmarkStart w:id="4" w:name="_Toc229045820"/>
      <w:bookmarkEnd w:id="2"/>
      <w:r>
        <w:rPr>
          <w:noProof/>
          <w:lang w:val="en-GB"/>
        </w:rPr>
        <w:br w:type="page"/>
      </w:r>
    </w:p>
    <w:p w14:paraId="1A46BA76" w14:textId="008124E8" w:rsidR="00B828AE" w:rsidRPr="0003532D" w:rsidRDefault="3EB44ECF" w:rsidP="00B828AE">
      <w:pPr>
        <w:pStyle w:val="Heading1"/>
        <w:jc w:val="both"/>
        <w:rPr>
          <w:noProof/>
          <w:lang w:val="en-GB"/>
        </w:rPr>
      </w:pPr>
      <w:r w:rsidRPr="7DF0BC4D">
        <w:rPr>
          <w:noProof/>
          <w:lang w:val="en-GB"/>
        </w:rPr>
        <w:t>Executive summary</w:t>
      </w:r>
      <w:bookmarkEnd w:id="3"/>
      <w:bookmarkEnd w:id="4"/>
    </w:p>
    <w:p w14:paraId="4FFF90D0" w14:textId="7EADAD78" w:rsidR="0098200B" w:rsidRDefault="0098200B" w:rsidP="79A071FE">
      <w:pPr>
        <w:jc w:val="both"/>
        <w:rPr>
          <w:noProof/>
        </w:rPr>
      </w:pPr>
      <w:r>
        <w:rPr>
          <w:noProof/>
        </w:rPr>
        <w:t xml:space="preserve">Overall, Lithuania has strong assets in digitalisation: near-universal 5G coverage, rapidly growing SME digital intensity that now exceeds the EU average, a world-class cybersecurity framework and a globally recognised laser and photonics industry that provides a natural entry point into quantum technologies. However, Lithuania is not yet fully reaping the benefits of this transformation. Basic digital skills remain significantly below the EU average, with especially wide gaps among older adults and rural populations. In rural areas, rollout of very high capacity networks (VHCN) is falling behind the national trajectory due to a lack of public financing for last-mile connections. </w:t>
      </w:r>
      <w:r w:rsidR="6729FD64" w:rsidRPr="79A071FE">
        <w:rPr>
          <w:rFonts w:ascii="Calibri" w:eastAsia="Calibri" w:hAnsi="Calibri" w:cs="Calibri"/>
          <w:noProof/>
          <w:color w:val="000000" w:themeColor="text1"/>
        </w:rPr>
        <w:t>Female participation in ICT fell sharply in 2024, dropping below the EU average, but recovered strongly in 2025, returning above the EU average; this progress has not yet been underpinned by dedicated policy measures.</w:t>
      </w:r>
      <w:r w:rsidR="6729FD64" w:rsidRPr="79A071FE">
        <w:rPr>
          <w:rFonts w:ascii="Calibri" w:eastAsia="Calibri" w:hAnsi="Calibri" w:cs="Calibri"/>
          <w:noProof/>
        </w:rPr>
        <w:t xml:space="preserve"> </w:t>
      </w:r>
      <w:r>
        <w:rPr>
          <w:noProof/>
        </w:rPr>
        <w:t>On the green-digital dimension, no integrated strategy or monitoring framework has been established, despite the twin transition being a core EU strategic priority.</w:t>
      </w:r>
    </w:p>
    <w:p w14:paraId="1A63607E" w14:textId="77777777" w:rsidR="0098200B" w:rsidRDefault="0098200B" w:rsidP="0098200B">
      <w:pPr>
        <w:jc w:val="both"/>
        <w:rPr>
          <w:noProof/>
        </w:rPr>
      </w:pPr>
      <w:r>
        <w:rPr>
          <w:noProof/>
        </w:rPr>
        <w:t xml:space="preserve">The weaknesses identified have direct implications for Lithuania's </w:t>
      </w:r>
      <w:r w:rsidRPr="7E9E39FA">
        <w:rPr>
          <w:b/>
          <w:bCs/>
          <w:noProof/>
        </w:rPr>
        <w:t>digital competitiveness.</w:t>
      </w:r>
      <w:r>
        <w:rPr>
          <w:noProof/>
        </w:rPr>
        <w:t xml:space="preserve"> As a small, open economy, Lithuania’s future productivity growth will depend on how widely digital technologies spread beyond the ICT-intensive core. Weak digital skills – particularly among older and rural populations – are constraining labour market participation and limiting returns on Lithuania's digital infrastructure investment.</w:t>
      </w:r>
    </w:p>
    <w:p w14:paraId="71798EF2" w14:textId="790E83D9" w:rsidR="0098200B" w:rsidRDefault="0098200B" w:rsidP="79A071FE">
      <w:pPr>
        <w:jc w:val="both"/>
        <w:rPr>
          <w:rFonts w:ascii="Calibri" w:eastAsia="Calibri" w:hAnsi="Calibri" w:cs="Calibri"/>
          <w:noProof/>
        </w:rPr>
      </w:pPr>
      <w:r>
        <w:rPr>
          <w:noProof/>
        </w:rPr>
        <w:t xml:space="preserve">Lithuania can also count on several </w:t>
      </w:r>
      <w:r w:rsidRPr="79A071FE">
        <w:rPr>
          <w:b/>
          <w:bCs/>
          <w:noProof/>
        </w:rPr>
        <w:t>digital leadership</w:t>
      </w:r>
      <w:r>
        <w:rPr>
          <w:noProof/>
        </w:rPr>
        <w:t xml:space="preserve"> assets. Its laser and photonics industry remains a globally recognised strength and offers a natural entry point into quantum photonics, with the country already embedded in European quantum communication networks. The start-up ecosystem is the fastest-growing in Central and Eastern Europe, supported by the newly launched Baltic Innovation Fund 3 and a planned EUR 250 million Scale-Up Fund. Looking ahead, the </w:t>
      </w:r>
      <w:hyperlink r:id="rId24">
        <w:r w:rsidRPr="79A071FE">
          <w:rPr>
            <w:rStyle w:val="Hyperlink"/>
            <w:noProof/>
          </w:rPr>
          <w:t>LitAI</w:t>
        </w:r>
      </w:hyperlink>
      <w:r>
        <w:rPr>
          <w:noProof/>
        </w:rPr>
        <w:t xml:space="preserve"> AI Factory is set to provide sovereign AI infrastructure </w:t>
      </w:r>
      <w:r w:rsidR="67435062" w:rsidRPr="79A071FE">
        <w:rPr>
          <w:rFonts w:ascii="Calibri" w:eastAsia="Calibri" w:hAnsi="Calibri" w:cs="Calibri"/>
          <w:noProof/>
          <w:color w:val="000000" w:themeColor="text1"/>
        </w:rPr>
        <w:t>from 2027, with full sectoral services expected by late 2027 to early 2028.</w:t>
      </w:r>
      <w:r>
        <w:rPr>
          <w:noProof/>
        </w:rPr>
        <w:t xml:space="preserve"> Lithuania's leadership of the EU Permanent Structured Cooperation (PESCO) Cyber Rapid Response Teams – coordinating multinational teams that respond to cyber incidents, assess vulnerabilities and support affected states – makes it a key contributor to European digital security. </w:t>
      </w:r>
      <w:r w:rsidRPr="79A071FE">
        <w:rPr>
          <w:rFonts w:ascii="Calibri" w:eastAsia="Calibri" w:hAnsi="Calibri" w:cs="Calibri"/>
          <w:noProof/>
        </w:rPr>
        <w:t>Lithuania significantly scaled up its cyber awareness efforts in 2025, including targeted training for seniors and small and medium-sized enterprises, but sustaining and extending this outreach to vulnerable groups and smaller enterprises remains crucial.</w:t>
      </w:r>
    </w:p>
    <w:p w14:paraId="65354D8C" w14:textId="044F4D5A" w:rsidR="00910C7F" w:rsidRPr="0003532D" w:rsidRDefault="00330A1C" w:rsidP="00B828AE">
      <w:pPr>
        <w:jc w:val="both"/>
        <w:rPr>
          <w:rFonts w:asciiTheme="majorHAnsi" w:hAnsiTheme="majorHAnsi" w:cstheme="majorHAnsi"/>
          <w:b/>
          <w:iCs/>
          <w:noProof/>
          <w:color w:val="0046FF"/>
          <w:sz w:val="30"/>
          <w:szCs w:val="30"/>
        </w:rPr>
      </w:pPr>
      <w:r w:rsidRPr="0E45CDD0">
        <w:rPr>
          <w:rFonts w:asciiTheme="majorHAnsi" w:hAnsiTheme="majorHAnsi" w:cstheme="majorBidi"/>
          <w:b/>
          <w:bCs/>
          <w:noProof/>
          <w:color w:val="0046FF"/>
          <w:sz w:val="30"/>
          <w:szCs w:val="30"/>
        </w:rPr>
        <w:t>Lithuania</w:t>
      </w:r>
      <w:r w:rsidR="0003532D" w:rsidRPr="0E45CDD0">
        <w:rPr>
          <w:rFonts w:asciiTheme="majorHAnsi" w:hAnsiTheme="majorHAnsi" w:cstheme="majorBidi"/>
          <w:b/>
          <w:bCs/>
          <w:noProof/>
          <w:color w:val="0046FF"/>
          <w:sz w:val="30"/>
          <w:szCs w:val="30"/>
        </w:rPr>
        <w:t xml:space="preserve"> in the Digital Decade </w:t>
      </w:r>
    </w:p>
    <w:p w14:paraId="179F252F" w14:textId="657503CB" w:rsidR="008A300D" w:rsidRPr="002976A4" w:rsidRDefault="008A300D" w:rsidP="008A300D">
      <w:pPr>
        <w:jc w:val="both"/>
        <w:rPr>
          <w:rFonts w:ascii="Calibri" w:eastAsia="Calibri" w:hAnsi="Calibri" w:cs="Calibri"/>
          <w:noProof/>
        </w:rPr>
      </w:pPr>
      <w:r w:rsidRPr="4BC53DBC">
        <w:rPr>
          <w:rFonts w:ascii="Calibri" w:eastAsia="Calibri" w:hAnsi="Calibri" w:cs="Calibri"/>
          <w:noProof/>
          <w:color w:val="000000" w:themeColor="text1"/>
        </w:rPr>
        <w:t>Lithuania shows a high level of ambition in its contribution to the Digital Decade, having set 12 national targets (out of 14 possible), 92% of which are aligned with the EU 2030 targets. In its national roadmap, Lithuania provided 12 trajectory points for 2025 (out of 13 analysed). The country is following them well, with 75% considered on track. Lithuania addressed 83% of the 6 recommendations issued by the Commission in 2025, by implementing significant policy changes (50%) or making some changes (3</w:t>
      </w:r>
      <w:r w:rsidR="30CCB752" w:rsidRPr="4BC53DBC">
        <w:rPr>
          <w:rFonts w:ascii="Calibri" w:eastAsia="Calibri" w:hAnsi="Calibri" w:cs="Calibri"/>
          <w:noProof/>
          <w:color w:val="000000" w:themeColor="text1"/>
        </w:rPr>
        <w:t>3</w:t>
      </w:r>
      <w:r w:rsidRPr="4BC53DBC">
        <w:rPr>
          <w:rFonts w:ascii="Calibri" w:eastAsia="Calibri" w:hAnsi="Calibri" w:cs="Calibri"/>
          <w:noProof/>
          <w:color w:val="000000" w:themeColor="text1"/>
        </w:rPr>
        <w:t>%) through new measures. According to the national roadmap, by the end of 2026, 42% of the measures will come to an end. The total public budget for these measures is EUR 468 million, representing 32% of the total public budget outlined in the roadmap.</w:t>
      </w:r>
    </w:p>
    <w:p w14:paraId="4F624401" w14:textId="77777777" w:rsidR="008A300D" w:rsidRDefault="008A300D" w:rsidP="008A300D">
      <w:pPr>
        <w:spacing w:before="240" w:after="240"/>
        <w:jc w:val="both"/>
        <w:rPr>
          <w:noProof/>
        </w:rPr>
      </w:pPr>
      <w:r w:rsidRPr="71FAB49F">
        <w:rPr>
          <w:rFonts w:ascii="Calibri" w:eastAsia="Calibri" w:hAnsi="Calibri" w:cs="Calibri"/>
          <w:noProof/>
        </w:rPr>
        <w:t xml:space="preserve">According to the special Eurobarometer on the Digital Decade 2026, 80% of Lithuanian people consider that digital policy should </w:t>
      </w:r>
      <w:r>
        <w:rPr>
          <w:rFonts w:ascii="Calibri" w:eastAsia="Calibri" w:hAnsi="Calibri" w:cs="Calibri"/>
          <w:noProof/>
        </w:rPr>
        <w:t>be</w:t>
      </w:r>
      <w:r w:rsidRPr="71FAB49F">
        <w:rPr>
          <w:rFonts w:ascii="Calibri" w:eastAsia="Calibri" w:hAnsi="Calibri" w:cs="Calibri"/>
          <w:noProof/>
        </w:rPr>
        <w:t xml:space="preserve"> a very high/high priority for the EU in shaping Europe</w:t>
      </w:r>
      <w:r>
        <w:rPr>
          <w:rFonts w:ascii="Calibri" w:eastAsia="Calibri" w:hAnsi="Calibri" w:cs="Calibri"/>
          <w:noProof/>
        </w:rPr>
        <w:t xml:space="preserve">’s </w:t>
      </w:r>
      <w:r w:rsidRPr="71FAB49F">
        <w:rPr>
          <w:rFonts w:ascii="Calibri" w:eastAsia="Calibri" w:hAnsi="Calibri" w:cs="Calibri"/>
          <w:noProof/>
        </w:rPr>
        <w:t xml:space="preserve">future. They also think that, in the next </w:t>
      </w:r>
      <w:r>
        <w:rPr>
          <w:rFonts w:ascii="Calibri" w:eastAsia="Calibri" w:hAnsi="Calibri" w:cs="Calibri"/>
          <w:noProof/>
        </w:rPr>
        <w:t>10</w:t>
      </w:r>
      <w:r w:rsidRPr="71FAB49F">
        <w:rPr>
          <w:rFonts w:ascii="Calibri" w:eastAsia="Calibri" w:hAnsi="Calibri" w:cs="Calibri"/>
          <w:noProof/>
        </w:rPr>
        <w:t xml:space="preserve"> years, the EU should cooperate with </w:t>
      </w:r>
      <w:r>
        <w:rPr>
          <w:rFonts w:ascii="Calibri" w:eastAsia="Calibri" w:hAnsi="Calibri" w:cs="Calibri"/>
          <w:noProof/>
        </w:rPr>
        <w:t>EU countries</w:t>
      </w:r>
      <w:r w:rsidRPr="71FAB49F">
        <w:rPr>
          <w:rFonts w:ascii="Calibri" w:eastAsia="Calibri" w:hAnsi="Calibri" w:cs="Calibri"/>
          <w:noProof/>
        </w:rPr>
        <w:t xml:space="preserve"> to protect privacy and security online (94%), make digital tools more accessible for everyone, especially vulnerable groups, older ones,</w:t>
      </w:r>
      <w:r>
        <w:rPr>
          <w:rFonts w:ascii="Calibri" w:eastAsia="Calibri" w:hAnsi="Calibri" w:cs="Calibri"/>
          <w:noProof/>
        </w:rPr>
        <w:t xml:space="preserve"> and</w:t>
      </w:r>
      <w:r w:rsidRPr="71FAB49F">
        <w:rPr>
          <w:rFonts w:ascii="Calibri" w:eastAsia="Calibri" w:hAnsi="Calibri" w:cs="Calibri"/>
          <w:noProof/>
        </w:rPr>
        <w:t xml:space="preserve"> people with disabilities (91%), and use digital tools and technologies to make life simpler for people and businesses (89%).</w:t>
      </w:r>
    </w:p>
    <w:p w14:paraId="07D7C298" w14:textId="77777777" w:rsidR="008A300D" w:rsidRPr="00224DD8" w:rsidRDefault="008A300D" w:rsidP="008A300D">
      <w:pPr>
        <w:spacing w:before="240" w:after="240"/>
        <w:jc w:val="both"/>
        <w:rPr>
          <w:noProof/>
        </w:rPr>
      </w:pPr>
      <w:r w:rsidRPr="71FAB49F">
        <w:rPr>
          <w:rFonts w:ascii="Calibri" w:eastAsia="Calibri" w:hAnsi="Calibri" w:cs="Calibri"/>
          <w:noProof/>
        </w:rPr>
        <w:t xml:space="preserve">In addition, 74% of Lithuanian respondents think that the EU should reduce its dependencies on digital from </w:t>
      </w:r>
      <w:r>
        <w:rPr>
          <w:rFonts w:ascii="Calibri" w:eastAsia="Calibri" w:hAnsi="Calibri" w:cs="Calibri"/>
          <w:noProof/>
        </w:rPr>
        <w:t>non-EU</w:t>
      </w:r>
      <w:r w:rsidRPr="71FAB49F">
        <w:rPr>
          <w:rFonts w:ascii="Calibri" w:eastAsia="Calibri" w:hAnsi="Calibri" w:cs="Calibri"/>
          <w:noProof/>
        </w:rPr>
        <w:t xml:space="preserve"> countries, </w:t>
      </w:r>
      <w:r>
        <w:rPr>
          <w:rFonts w:ascii="Calibri" w:eastAsia="Calibri" w:hAnsi="Calibri" w:cs="Calibri"/>
          <w:noProof/>
        </w:rPr>
        <w:t>while</w:t>
      </w:r>
      <w:r w:rsidRPr="71FAB49F">
        <w:rPr>
          <w:rFonts w:ascii="Calibri" w:eastAsia="Calibri" w:hAnsi="Calibri" w:cs="Calibri"/>
          <w:noProof/>
        </w:rPr>
        <w:t xml:space="preserve"> 80% </w:t>
      </w:r>
      <w:r>
        <w:rPr>
          <w:rFonts w:ascii="Calibri" w:eastAsia="Calibri" w:hAnsi="Calibri" w:cs="Calibri"/>
          <w:noProof/>
        </w:rPr>
        <w:t xml:space="preserve">think </w:t>
      </w:r>
      <w:r w:rsidRPr="71FAB49F">
        <w:rPr>
          <w:rFonts w:ascii="Calibri" w:eastAsia="Calibri" w:hAnsi="Calibri" w:cs="Calibri"/>
          <w:noProof/>
        </w:rPr>
        <w:t>that the EU should prioritise investments in digital infrastructure and services developed and controlled in Europe. Meanwhile, 53% would be willing to switch to an EU-based digital service provider even if it means slightly higher costs.</w:t>
      </w:r>
    </w:p>
    <w:p w14:paraId="7A1AF8F9" w14:textId="460A9707" w:rsidR="00264561" w:rsidRDefault="705D313E" w:rsidP="7E9E39FA">
      <w:pPr>
        <w:rPr>
          <w:rFonts w:asciiTheme="majorHAnsi" w:hAnsiTheme="majorHAnsi" w:cstheme="majorBidi"/>
          <w:b/>
          <w:bCs/>
          <w:noProof/>
          <w:color w:val="0046FF"/>
          <w:sz w:val="30"/>
          <w:szCs w:val="30"/>
        </w:rPr>
      </w:pPr>
      <w:r w:rsidRPr="7E9E39FA">
        <w:rPr>
          <w:rFonts w:asciiTheme="majorHAnsi" w:hAnsiTheme="majorHAnsi" w:cstheme="majorBidi"/>
          <w:b/>
          <w:bCs/>
          <w:noProof/>
          <w:color w:val="0046FF"/>
          <w:sz w:val="30"/>
          <w:szCs w:val="30"/>
        </w:rPr>
        <w:t>Funding for digital and multi-country projects  </w:t>
      </w:r>
    </w:p>
    <w:p w14:paraId="027A6839" w14:textId="77777777" w:rsidR="005B2BF6" w:rsidRPr="00330A1C" w:rsidRDefault="005B2BF6" w:rsidP="003107E1">
      <w:pPr>
        <w:jc w:val="both"/>
        <w:rPr>
          <w:rFonts w:asciiTheme="majorHAnsi" w:hAnsiTheme="majorHAnsi" w:cstheme="majorBidi"/>
          <w:b/>
          <w:bCs/>
          <w:noProof/>
          <w:color w:val="0046FF"/>
          <w:sz w:val="30"/>
          <w:szCs w:val="30"/>
        </w:rPr>
      </w:pPr>
      <w:r>
        <w:rPr>
          <w:noProof/>
        </w:rPr>
        <w:t>Lithuania allocates 23% of its total recovery and resilience plan to digital (EUR 0.7 billion). Under cohesion policy, EUR 0.3 billion, representing 5% of the country’s total cohesion policy funding, is also dedicated to advancing Lithuania’s digital transformation.</w:t>
      </w:r>
    </w:p>
    <w:p w14:paraId="2CFCF1CE" w14:textId="77777777" w:rsidR="005B2BF6" w:rsidRPr="009D1366" w:rsidRDefault="005B2BF6" w:rsidP="005B2BF6">
      <w:pPr>
        <w:jc w:val="both"/>
        <w:rPr>
          <w:rFonts w:ascii="Calibri" w:eastAsia="Calibri" w:hAnsi="Calibri" w:cs="Calibri"/>
          <w:noProof/>
        </w:rPr>
      </w:pPr>
      <w:r w:rsidRPr="13BD0C96">
        <w:rPr>
          <w:rFonts w:ascii="Calibri" w:eastAsia="Calibri" w:hAnsi="Calibri" w:cs="Calibri"/>
          <w:noProof/>
          <w:lang w:val="en-US"/>
        </w:rPr>
        <w:t xml:space="preserve">Lithuania is a member of the Alliance for Language Technologies European Digital Infrastructure Consortium (EDIC). </w:t>
      </w:r>
      <w:r>
        <w:rPr>
          <w:rFonts w:ascii="Calibri" w:eastAsia="Calibri" w:hAnsi="Calibri" w:cs="Calibri"/>
          <w:noProof/>
          <w:lang w:val="en-US"/>
        </w:rPr>
        <w:t>It</w:t>
      </w:r>
      <w:r w:rsidRPr="13BD0C96">
        <w:rPr>
          <w:rFonts w:ascii="Calibri" w:eastAsia="Calibri" w:hAnsi="Calibri" w:cs="Calibri"/>
          <w:noProof/>
          <w:lang w:val="en-US"/>
        </w:rPr>
        <w:t xml:space="preserve"> is also a participating state of the Euro</w:t>
      </w:r>
      <w:r>
        <w:rPr>
          <w:rFonts w:ascii="Calibri" w:eastAsia="Calibri" w:hAnsi="Calibri" w:cs="Calibri"/>
          <w:noProof/>
          <w:lang w:val="en-US"/>
        </w:rPr>
        <w:t xml:space="preserve"> High-Performance Computing (</w:t>
      </w:r>
      <w:r w:rsidRPr="13BD0C96">
        <w:rPr>
          <w:rFonts w:ascii="Calibri" w:eastAsia="Calibri" w:hAnsi="Calibri" w:cs="Calibri"/>
          <w:noProof/>
          <w:lang w:val="en-US"/>
        </w:rPr>
        <w:t>HPC</w:t>
      </w:r>
      <w:r>
        <w:rPr>
          <w:rFonts w:ascii="Calibri" w:eastAsia="Calibri" w:hAnsi="Calibri" w:cs="Calibri"/>
          <w:noProof/>
          <w:lang w:val="en-US"/>
        </w:rPr>
        <w:t>)</w:t>
      </w:r>
      <w:r w:rsidRPr="13BD0C96">
        <w:rPr>
          <w:rFonts w:ascii="Calibri" w:eastAsia="Calibri" w:hAnsi="Calibri" w:cs="Calibri"/>
          <w:noProof/>
          <w:lang w:val="en-US"/>
        </w:rPr>
        <w:t xml:space="preserve"> Joint Undertaking (JU) and of the Chips JU.</w:t>
      </w:r>
    </w:p>
    <w:tbl>
      <w:tblPr>
        <w:tblStyle w:val="TableGrid"/>
        <w:tblW w:w="9261"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2396"/>
        <w:gridCol w:w="813"/>
        <w:gridCol w:w="1106"/>
        <w:gridCol w:w="786"/>
        <w:gridCol w:w="870"/>
        <w:gridCol w:w="172"/>
        <w:gridCol w:w="750"/>
        <w:gridCol w:w="786"/>
        <w:gridCol w:w="172"/>
        <w:gridCol w:w="723"/>
        <w:gridCol w:w="677"/>
        <w:gridCol w:w="10"/>
      </w:tblGrid>
      <w:tr w:rsidR="007F0E5A" w:rsidRPr="007C0C4B" w14:paraId="70353062" w14:textId="77777777" w:rsidTr="006C1A96">
        <w:trPr>
          <w:trHeight w:hRule="exact" w:val="454"/>
        </w:trPr>
        <w:tc>
          <w:tcPr>
            <w:tcW w:w="2396"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093DA137" w14:textId="77777777" w:rsidR="007F0E5A" w:rsidRPr="00A5309E" w:rsidRDefault="007F0E5A">
            <w:pPr>
              <w:rPr>
                <w:noProof/>
                <w:color w:val="FFFFFF" w:themeColor="background1"/>
              </w:rPr>
            </w:pPr>
            <w:r w:rsidRPr="00A5309E">
              <w:rPr>
                <w:rFonts w:ascii="Calibri" w:eastAsia="Times New Roman" w:hAnsi="Calibri" w:cs="Calibri"/>
                <w:noProof/>
                <w:color w:val="FFFFFF" w:themeColor="background1"/>
                <w:sz w:val="28"/>
                <w:szCs w:val="28"/>
                <w:lang w:eastAsia="en-IE"/>
              </w:rPr>
              <w:t>Digital Decade KPI</w:t>
            </w:r>
            <w:r w:rsidRPr="00A5309E">
              <w:rPr>
                <w:rFonts w:ascii="Calibri" w:eastAsia="Times New Roman" w:hAnsi="Calibri" w:cs="Calibri"/>
                <w:noProof/>
                <w:color w:val="FFFFFF" w:themeColor="background1"/>
                <w:sz w:val="24"/>
                <w:szCs w:val="24"/>
                <w:lang w:eastAsia="en-IE"/>
              </w:rPr>
              <w:t xml:space="preserve"> </w:t>
            </w:r>
            <w:r w:rsidRPr="00A5309E">
              <w:rPr>
                <w:rFonts w:ascii="Calibri" w:eastAsia="Times New Roman" w:hAnsi="Calibri" w:cs="Calibri"/>
                <w:noProof/>
                <w:color w:val="FFFFFF" w:themeColor="background1"/>
                <w:sz w:val="24"/>
                <w:szCs w:val="24"/>
                <w:vertAlign w:val="superscript"/>
                <w:lang w:eastAsia="en-IE"/>
              </w:rPr>
              <w:t>(1)</w:t>
            </w:r>
          </w:p>
        </w:tc>
        <w:tc>
          <w:tcPr>
            <w:tcW w:w="3747" w:type="dxa"/>
            <w:gridSpan w:val="5"/>
            <w:tcBorders>
              <w:top w:val="single" w:sz="4" w:space="0" w:color="8B73FF"/>
              <w:left w:val="single" w:sz="4" w:space="0" w:color="8B73FF"/>
              <w:bottom w:val="single" w:sz="4" w:space="0" w:color="8B73FF"/>
              <w:right w:val="single" w:sz="4" w:space="0" w:color="8B73FF"/>
            </w:tcBorders>
            <w:shd w:val="clear" w:color="auto" w:fill="8B73FF"/>
            <w:vAlign w:val="center"/>
          </w:tcPr>
          <w:p w14:paraId="1C5E6445" w14:textId="61F26AB1" w:rsidR="007F0E5A" w:rsidRPr="00A5309E" w:rsidRDefault="00F709B8">
            <w:pPr>
              <w:jc w:val="center"/>
              <w:rPr>
                <w:rFonts w:ascii="Calibri" w:eastAsia="Times New Roman" w:hAnsi="Calibri" w:cs="Calibri"/>
                <w:noProof/>
                <w:color w:val="FFFFFF" w:themeColor="background1"/>
                <w:sz w:val="24"/>
                <w:szCs w:val="24"/>
                <w:lang w:eastAsia="en-IE"/>
              </w:rPr>
            </w:pPr>
            <w:r>
              <w:rPr>
                <w:rFonts w:ascii="Calibri" w:eastAsia="Times New Roman" w:hAnsi="Calibri" w:cs="Calibri"/>
                <w:noProof/>
                <w:color w:val="FFFFFF" w:themeColor="background1"/>
                <w:lang w:eastAsia="en-IE"/>
              </w:rPr>
              <w:t>Lithuania</w:t>
            </w:r>
          </w:p>
        </w:tc>
        <w:tc>
          <w:tcPr>
            <w:tcW w:w="1708"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6C3961C3"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24"/>
                <w:szCs w:val="24"/>
                <w:lang w:eastAsia="en-IE"/>
              </w:rPr>
              <w:t>EU</w:t>
            </w:r>
          </w:p>
        </w:tc>
        <w:tc>
          <w:tcPr>
            <w:tcW w:w="1410" w:type="dxa"/>
            <w:gridSpan w:val="3"/>
            <w:tcBorders>
              <w:top w:val="single" w:sz="4" w:space="0" w:color="8B73FF"/>
              <w:left w:val="single" w:sz="4" w:space="0" w:color="8B73FF"/>
              <w:bottom w:val="single" w:sz="4" w:space="0" w:color="8B73FF"/>
              <w:right w:val="single" w:sz="4" w:space="0" w:color="8B73FF"/>
            </w:tcBorders>
            <w:shd w:val="clear" w:color="auto" w:fill="8B73FF"/>
            <w:vAlign w:val="center"/>
          </w:tcPr>
          <w:p w14:paraId="7068669B" w14:textId="77777777" w:rsidR="007F0E5A" w:rsidRPr="00A5309E" w:rsidRDefault="007F0E5A">
            <w:pPr>
              <w:jc w:val="center"/>
              <w:rPr>
                <w:noProof/>
                <w:color w:val="FFFFFF" w:themeColor="background1"/>
              </w:rPr>
            </w:pPr>
            <w:r w:rsidRPr="00A5309E">
              <w:rPr>
                <w:rFonts w:ascii="Calibri" w:eastAsia="Times New Roman" w:hAnsi="Calibri" w:cs="Calibri"/>
                <w:noProof/>
                <w:color w:val="FFFFFF" w:themeColor="background1"/>
                <w:sz w:val="16"/>
                <w:szCs w:val="16"/>
                <w:lang w:eastAsia="en-IE"/>
              </w:rPr>
              <w:t>Digital Decade target by 2030</w:t>
            </w:r>
          </w:p>
        </w:tc>
      </w:tr>
      <w:tr w:rsidR="007F0E5A" w:rsidRPr="007C0C4B" w14:paraId="16BD1FDE" w14:textId="77777777" w:rsidTr="006C1A96">
        <w:trPr>
          <w:gridAfter w:val="1"/>
          <w:wAfter w:w="10" w:type="dxa"/>
          <w:cantSplit/>
          <w:trHeight w:hRule="exact" w:val="429"/>
        </w:trPr>
        <w:tc>
          <w:tcPr>
            <w:tcW w:w="2396" w:type="dxa"/>
            <w:vMerge/>
          </w:tcPr>
          <w:p w14:paraId="438E04FB" w14:textId="77777777" w:rsidR="007F0E5A" w:rsidRPr="007C0C4B" w:rsidRDefault="007F0E5A">
            <w:pPr>
              <w:rPr>
                <w:noProof/>
              </w:rPr>
            </w:pPr>
          </w:p>
        </w:tc>
        <w:tc>
          <w:tcPr>
            <w:tcW w:w="81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A61E1E2"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Last available data (2)</w:t>
            </w:r>
          </w:p>
        </w:tc>
        <w:tc>
          <w:tcPr>
            <w:tcW w:w="110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82366A1"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 (year 2025)</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1250BEC"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87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54749FA" w14:textId="77777777" w:rsidR="007F0E5A" w:rsidRPr="007C0C4B" w:rsidRDefault="007F0E5A">
            <w:pPr>
              <w:jc w:val="center"/>
              <w:rPr>
                <w:rFonts w:ascii="Calibri" w:eastAsia="Times New Roman" w:hAnsi="Calibri" w:cs="Calibri"/>
                <w:bCs/>
                <w:noProof/>
                <w:color w:val="000000" w:themeColor="text1"/>
                <w:sz w:val="16"/>
                <w:szCs w:val="16"/>
                <w:lang w:eastAsia="en-IE"/>
              </w:rPr>
            </w:pPr>
            <w:r w:rsidRPr="009939AA">
              <w:rPr>
                <w:rFonts w:ascii="Calibri" w:eastAsia="Times New Roman" w:hAnsi="Calibri" w:cs="Calibri"/>
                <w:b/>
                <w:bCs/>
                <w:noProof/>
                <w:color w:val="000000"/>
                <w:kern w:val="0"/>
                <w:sz w:val="16"/>
                <w:szCs w:val="16"/>
                <w:lang w:eastAsia="en-IE"/>
                <w14:ligatures w14:val="none"/>
              </w:rPr>
              <w:t>National trajectory 2025 (3)</w:t>
            </w:r>
          </w:p>
        </w:tc>
        <w:tc>
          <w:tcPr>
            <w:tcW w:w="922"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AEDF593"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DESI 2026</w:t>
            </w:r>
          </w:p>
        </w:tc>
        <w:tc>
          <w:tcPr>
            <w:tcW w:w="78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5F30EFA"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Annual progress</w:t>
            </w:r>
          </w:p>
        </w:tc>
        <w:tc>
          <w:tcPr>
            <w:tcW w:w="895" w:type="dxa"/>
            <w:gridSpan w:val="2"/>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89248FD" w14:textId="0F3975CD" w:rsidR="007F0E5A" w:rsidRPr="007C0C4B" w:rsidRDefault="00F709B8">
            <w:pPr>
              <w:jc w:val="center"/>
              <w:rPr>
                <w:noProof/>
                <w:color w:val="000000" w:themeColor="text1"/>
              </w:rPr>
            </w:pPr>
            <w:r>
              <w:rPr>
                <w:rFonts w:ascii="Calibri" w:eastAsia="Times New Roman" w:hAnsi="Calibri" w:cs="Calibri"/>
                <w:b/>
                <w:bCs/>
                <w:noProof/>
                <w:color w:val="000000"/>
                <w:kern w:val="0"/>
                <w:sz w:val="16"/>
                <w:szCs w:val="16"/>
                <w:lang w:eastAsia="en-IE"/>
                <w14:ligatures w14:val="none"/>
              </w:rPr>
              <w:t>LT</w:t>
            </w:r>
          </w:p>
        </w:tc>
        <w:tc>
          <w:tcPr>
            <w:tcW w:w="677"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F06E648" w14:textId="77777777" w:rsidR="007F0E5A" w:rsidRPr="007C0C4B" w:rsidRDefault="007F0E5A">
            <w:pPr>
              <w:jc w:val="center"/>
              <w:rPr>
                <w:noProof/>
                <w:color w:val="000000" w:themeColor="text1"/>
              </w:rPr>
            </w:pPr>
            <w:r w:rsidRPr="009939AA">
              <w:rPr>
                <w:rFonts w:ascii="Calibri" w:eastAsia="Times New Roman" w:hAnsi="Calibri" w:cs="Calibri"/>
                <w:b/>
                <w:bCs/>
                <w:noProof/>
                <w:color w:val="000000"/>
                <w:kern w:val="0"/>
                <w:sz w:val="16"/>
                <w:szCs w:val="16"/>
                <w:lang w:eastAsia="en-IE"/>
                <w14:ligatures w14:val="none"/>
              </w:rPr>
              <w:t>EU</w:t>
            </w:r>
          </w:p>
        </w:tc>
      </w:tr>
      <w:tr w:rsidR="00C25098" w:rsidRPr="007C0C4B" w14:paraId="69E5E3C1" w14:textId="77777777" w:rsidTr="00C01A55">
        <w:trPr>
          <w:gridAfter w:val="1"/>
          <w:wAfter w:w="10" w:type="dxa"/>
          <w:cantSplit/>
          <w:trHeight w:hRule="exact" w:val="405"/>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07C349A" w14:textId="77777777" w:rsidR="00C25098" w:rsidRPr="007C0C4B" w:rsidRDefault="00C25098" w:rsidP="00C25098">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Fixed Very High Capacity Network coverage</w:t>
            </w:r>
          </w:p>
        </w:tc>
        <w:tc>
          <w:tcPr>
            <w:tcW w:w="813" w:type="dxa"/>
            <w:tcBorders>
              <w:top w:val="single" w:sz="4" w:space="0" w:color="8B73FF"/>
              <w:left w:val="single" w:sz="4" w:space="0" w:color="8B73FF"/>
              <w:bottom w:val="single" w:sz="4" w:space="0" w:color="8B73FF"/>
              <w:right w:val="single" w:sz="4" w:space="0" w:color="8B73FF"/>
            </w:tcBorders>
            <w:vAlign w:val="center"/>
          </w:tcPr>
          <w:p w14:paraId="67FAF78C" w14:textId="6AAF949F" w:rsidR="00C25098" w:rsidRPr="00F709B8" w:rsidRDefault="00C25098" w:rsidP="00C25098">
            <w:pPr>
              <w:jc w:val="center"/>
              <w:rPr>
                <w:noProof/>
                <w:sz w:val="18"/>
                <w:szCs w:val="18"/>
              </w:rPr>
            </w:pPr>
            <w:r>
              <w:rPr>
                <w:rFonts w:ascii="Calibri" w:hAnsi="Calibri" w:cs="Calibri"/>
                <w:noProof/>
                <w:color w:val="000000"/>
                <w:sz w:val="16"/>
                <w:szCs w:val="16"/>
              </w:rPr>
              <w:t>78.3%</w:t>
            </w:r>
          </w:p>
        </w:tc>
        <w:tc>
          <w:tcPr>
            <w:tcW w:w="1106" w:type="dxa"/>
            <w:tcBorders>
              <w:top w:val="single" w:sz="4" w:space="0" w:color="8B73FF"/>
              <w:left w:val="single" w:sz="4" w:space="0" w:color="8B73FF"/>
              <w:bottom w:val="single" w:sz="4" w:space="0" w:color="8B73FF"/>
              <w:right w:val="single" w:sz="4" w:space="0" w:color="8B73FF"/>
            </w:tcBorders>
            <w:vAlign w:val="center"/>
          </w:tcPr>
          <w:p w14:paraId="21F79C97" w14:textId="3EBEB382" w:rsidR="00C25098" w:rsidRPr="00F709B8" w:rsidRDefault="00C25098" w:rsidP="00C25098">
            <w:pPr>
              <w:jc w:val="center"/>
              <w:rPr>
                <w:noProof/>
                <w:sz w:val="18"/>
                <w:szCs w:val="18"/>
              </w:rPr>
            </w:pPr>
            <w:r>
              <w:rPr>
                <w:rFonts w:ascii="Calibri" w:hAnsi="Calibri" w:cs="Calibri"/>
                <w:noProof/>
                <w:color w:val="000000"/>
                <w:sz w:val="16"/>
                <w:szCs w:val="16"/>
              </w:rPr>
              <w:t>79.0%</w:t>
            </w:r>
          </w:p>
        </w:tc>
        <w:tc>
          <w:tcPr>
            <w:tcW w:w="786" w:type="dxa"/>
            <w:tcBorders>
              <w:top w:val="single" w:sz="4" w:space="0" w:color="8B73FF"/>
              <w:left w:val="single" w:sz="4" w:space="0" w:color="8B73FF"/>
              <w:bottom w:val="single" w:sz="4" w:space="0" w:color="8B73FF"/>
              <w:right w:val="single" w:sz="4" w:space="0" w:color="8B73FF"/>
            </w:tcBorders>
            <w:vAlign w:val="center"/>
          </w:tcPr>
          <w:p w14:paraId="333F0175" w14:textId="5AD5664C" w:rsidR="00C25098" w:rsidRPr="00F709B8" w:rsidRDefault="00C25098" w:rsidP="00C25098">
            <w:pPr>
              <w:jc w:val="center"/>
              <w:rPr>
                <w:noProof/>
                <w:sz w:val="18"/>
                <w:szCs w:val="18"/>
              </w:rPr>
            </w:pPr>
            <w:r>
              <w:rPr>
                <w:rFonts w:ascii="Calibri" w:hAnsi="Calibri" w:cs="Calibri"/>
                <w:noProof/>
                <w:color w:val="000000"/>
                <w:sz w:val="16"/>
                <w:szCs w:val="16"/>
              </w:rPr>
              <w:t>0.9%</w:t>
            </w:r>
          </w:p>
        </w:tc>
        <w:tc>
          <w:tcPr>
            <w:tcW w:w="870" w:type="dxa"/>
            <w:tcBorders>
              <w:top w:val="single" w:sz="4" w:space="0" w:color="8B73FF"/>
              <w:left w:val="single" w:sz="4" w:space="0" w:color="8B73FF"/>
              <w:bottom w:val="single" w:sz="4" w:space="0" w:color="8B73FF"/>
              <w:right w:val="single" w:sz="4" w:space="0" w:color="8B73FF"/>
            </w:tcBorders>
            <w:vAlign w:val="center"/>
          </w:tcPr>
          <w:p w14:paraId="1327AC9D" w14:textId="07676354" w:rsidR="00C25098" w:rsidRPr="00F709B8" w:rsidRDefault="00C25098" w:rsidP="00C25098">
            <w:pPr>
              <w:jc w:val="center"/>
              <w:rPr>
                <w:rFonts w:eastAsia="Times New Roman"/>
                <w:noProof/>
                <w:color w:val="000000"/>
                <w:kern w:val="0"/>
                <w:sz w:val="18"/>
                <w:szCs w:val="18"/>
                <w:lang w:eastAsia="en-IE"/>
                <w14:ligatures w14:val="none"/>
              </w:rPr>
            </w:pPr>
            <w:r>
              <w:rPr>
                <w:rFonts w:ascii="Calibri" w:hAnsi="Calibri" w:cs="Calibri"/>
                <w:noProof/>
                <w:color w:val="000000"/>
                <w:sz w:val="16"/>
                <w:szCs w:val="16"/>
              </w:rPr>
              <w:t xml:space="preserve"> 86.0% </w:t>
            </w:r>
          </w:p>
        </w:tc>
        <w:tc>
          <w:tcPr>
            <w:tcW w:w="922" w:type="dxa"/>
            <w:gridSpan w:val="2"/>
            <w:tcBorders>
              <w:top w:val="single" w:sz="4" w:space="0" w:color="8B73FF"/>
              <w:left w:val="single" w:sz="4" w:space="0" w:color="8B73FF"/>
              <w:bottom w:val="single" w:sz="4" w:space="0" w:color="8B73FF"/>
              <w:right w:val="single" w:sz="4" w:space="0" w:color="8B73FF"/>
            </w:tcBorders>
            <w:vAlign w:val="center"/>
          </w:tcPr>
          <w:p w14:paraId="7415C4F8" w14:textId="347F2D54" w:rsidR="00C25098" w:rsidRPr="00F709B8" w:rsidRDefault="00C25098" w:rsidP="00C25098">
            <w:pPr>
              <w:jc w:val="center"/>
              <w:rPr>
                <w:noProof/>
                <w:sz w:val="18"/>
                <w:szCs w:val="18"/>
              </w:rPr>
            </w:pPr>
            <w:r>
              <w:rPr>
                <w:rFonts w:ascii="Calibri" w:hAnsi="Calibri" w:cs="Calibri"/>
                <w:noProof/>
                <w:color w:val="000000"/>
                <w:sz w:val="16"/>
                <w:szCs w:val="16"/>
              </w:rPr>
              <w:t>85.5%</w:t>
            </w:r>
          </w:p>
        </w:tc>
        <w:tc>
          <w:tcPr>
            <w:tcW w:w="786" w:type="dxa"/>
            <w:tcBorders>
              <w:top w:val="single" w:sz="4" w:space="0" w:color="8B73FF"/>
              <w:left w:val="single" w:sz="4" w:space="0" w:color="8B73FF"/>
              <w:bottom w:val="single" w:sz="4" w:space="0" w:color="8B73FF"/>
              <w:right w:val="single" w:sz="4" w:space="0" w:color="8B73FF"/>
            </w:tcBorders>
            <w:vAlign w:val="center"/>
          </w:tcPr>
          <w:p w14:paraId="0232584E" w14:textId="0DFAB3EE" w:rsidR="00C25098" w:rsidRPr="00F709B8" w:rsidRDefault="00C25098" w:rsidP="00C25098">
            <w:pPr>
              <w:jc w:val="center"/>
              <w:rPr>
                <w:noProof/>
                <w:sz w:val="18"/>
                <w:szCs w:val="18"/>
              </w:rPr>
            </w:pPr>
            <w:r>
              <w:rPr>
                <w:rFonts w:ascii="Calibri" w:hAnsi="Calibri" w:cs="Calibri"/>
                <w:noProof/>
                <w:color w:val="000000"/>
                <w:sz w:val="16"/>
                <w:szCs w:val="16"/>
              </w:rPr>
              <w:t>3.7%</w:t>
            </w:r>
          </w:p>
        </w:tc>
        <w:tc>
          <w:tcPr>
            <w:tcW w:w="895" w:type="dxa"/>
            <w:gridSpan w:val="2"/>
            <w:tcBorders>
              <w:top w:val="single" w:sz="4" w:space="0" w:color="8B73FF"/>
              <w:left w:val="single" w:sz="4" w:space="0" w:color="8B73FF"/>
              <w:bottom w:val="single" w:sz="4" w:space="0" w:color="8B73FF"/>
              <w:right w:val="single" w:sz="4" w:space="0" w:color="8B73FF"/>
            </w:tcBorders>
          </w:tcPr>
          <w:p w14:paraId="607265B3" w14:textId="10B8C012" w:rsidR="00C25098" w:rsidRPr="00F709B8" w:rsidRDefault="00C25098" w:rsidP="00C25098">
            <w:pPr>
              <w:jc w:val="center"/>
              <w:rPr>
                <w:noProof/>
                <w:sz w:val="18"/>
                <w:szCs w:val="18"/>
              </w:rPr>
            </w:pPr>
            <w:r w:rsidRPr="6A9D9E40">
              <w:rPr>
                <w:noProof/>
                <w:sz w:val="18"/>
                <w:szCs w:val="18"/>
              </w:rPr>
              <w:t>98.0%</w:t>
            </w:r>
          </w:p>
        </w:tc>
        <w:tc>
          <w:tcPr>
            <w:tcW w:w="677" w:type="dxa"/>
            <w:tcBorders>
              <w:top w:val="single" w:sz="4" w:space="0" w:color="8B73FF"/>
              <w:left w:val="single" w:sz="4" w:space="0" w:color="8B73FF"/>
              <w:bottom w:val="single" w:sz="4" w:space="0" w:color="8B73FF"/>
              <w:right w:val="single" w:sz="4" w:space="0" w:color="8B73FF"/>
            </w:tcBorders>
          </w:tcPr>
          <w:p w14:paraId="1FB47B2B" w14:textId="024A1A17" w:rsidR="00C25098" w:rsidRPr="00F709B8" w:rsidRDefault="00C25098" w:rsidP="00C25098">
            <w:pPr>
              <w:jc w:val="center"/>
              <w:rPr>
                <w:noProof/>
                <w:sz w:val="18"/>
                <w:szCs w:val="18"/>
              </w:rPr>
            </w:pPr>
            <w:r w:rsidRPr="6A9D9E40">
              <w:rPr>
                <w:noProof/>
                <w:sz w:val="18"/>
                <w:szCs w:val="18"/>
              </w:rPr>
              <w:t>100%</w:t>
            </w:r>
          </w:p>
        </w:tc>
      </w:tr>
      <w:tr w:rsidR="00F709B8" w:rsidRPr="007C0C4B" w14:paraId="3E136E87"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35F59BA"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Fibre to the Premises (FTTP) coverage</w:t>
            </w:r>
          </w:p>
        </w:tc>
        <w:tc>
          <w:tcPr>
            <w:tcW w:w="813" w:type="dxa"/>
            <w:tcBorders>
              <w:top w:val="single" w:sz="4" w:space="0" w:color="8B73FF"/>
              <w:left w:val="single" w:sz="4" w:space="0" w:color="8B73FF"/>
              <w:bottom w:val="single" w:sz="4" w:space="0" w:color="8B73FF"/>
              <w:right w:val="single" w:sz="4" w:space="0" w:color="8B73FF"/>
            </w:tcBorders>
          </w:tcPr>
          <w:p w14:paraId="6C01FCA6" w14:textId="3E194A58" w:rsidR="00F709B8" w:rsidRPr="00F709B8" w:rsidRDefault="00F709B8" w:rsidP="6A9D9E40">
            <w:pPr>
              <w:jc w:val="center"/>
              <w:rPr>
                <w:noProof/>
                <w:sz w:val="18"/>
                <w:szCs w:val="18"/>
              </w:rPr>
            </w:pPr>
            <w:r w:rsidRPr="6A9D9E40">
              <w:rPr>
                <w:noProof/>
                <w:sz w:val="18"/>
                <w:szCs w:val="18"/>
              </w:rPr>
              <w:t>78.3%</w:t>
            </w:r>
          </w:p>
        </w:tc>
        <w:tc>
          <w:tcPr>
            <w:tcW w:w="1106" w:type="dxa"/>
            <w:tcBorders>
              <w:top w:val="single" w:sz="4" w:space="0" w:color="8B73FF"/>
              <w:left w:val="single" w:sz="4" w:space="0" w:color="8B73FF"/>
              <w:bottom w:val="single" w:sz="4" w:space="0" w:color="8B73FF"/>
              <w:right w:val="single" w:sz="4" w:space="0" w:color="8B73FF"/>
            </w:tcBorders>
          </w:tcPr>
          <w:p w14:paraId="23466278" w14:textId="23773601" w:rsidR="00F709B8" w:rsidRPr="00F709B8" w:rsidRDefault="4298E699" w:rsidP="53541A9F">
            <w:pPr>
              <w:jc w:val="center"/>
              <w:rPr>
                <w:noProof/>
                <w:sz w:val="18"/>
                <w:szCs w:val="18"/>
              </w:rPr>
            </w:pPr>
            <w:r w:rsidRPr="6A9D9E40">
              <w:rPr>
                <w:noProof/>
                <w:sz w:val="18"/>
                <w:szCs w:val="18"/>
              </w:rPr>
              <w:t>79.0%</w:t>
            </w:r>
          </w:p>
        </w:tc>
        <w:tc>
          <w:tcPr>
            <w:tcW w:w="786" w:type="dxa"/>
            <w:tcBorders>
              <w:top w:val="single" w:sz="4" w:space="0" w:color="8B73FF"/>
              <w:left w:val="single" w:sz="4" w:space="0" w:color="8B73FF"/>
              <w:bottom w:val="single" w:sz="4" w:space="0" w:color="8B73FF"/>
              <w:right w:val="single" w:sz="4" w:space="0" w:color="8B73FF"/>
            </w:tcBorders>
          </w:tcPr>
          <w:p w14:paraId="5E3C5A4D" w14:textId="1D1BACAD" w:rsidR="00F709B8" w:rsidRPr="00F709B8" w:rsidRDefault="4298E699" w:rsidP="53541A9F">
            <w:pPr>
              <w:jc w:val="center"/>
              <w:rPr>
                <w:noProof/>
                <w:sz w:val="18"/>
                <w:szCs w:val="18"/>
              </w:rPr>
            </w:pPr>
            <w:r w:rsidRPr="6A9D9E40">
              <w:rPr>
                <w:noProof/>
                <w:sz w:val="18"/>
                <w:szCs w:val="18"/>
              </w:rPr>
              <w:t>0.9%</w:t>
            </w:r>
          </w:p>
        </w:tc>
        <w:tc>
          <w:tcPr>
            <w:tcW w:w="870" w:type="dxa"/>
            <w:tcBorders>
              <w:top w:val="single" w:sz="4" w:space="0" w:color="8B73FF"/>
              <w:left w:val="single" w:sz="4" w:space="0" w:color="8B73FF"/>
              <w:bottom w:val="single" w:sz="4" w:space="0" w:color="8B73FF"/>
              <w:right w:val="single" w:sz="4" w:space="0" w:color="8B73FF"/>
            </w:tcBorders>
          </w:tcPr>
          <w:p w14:paraId="4C612B77" w14:textId="7567E38B"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 </w:t>
            </w:r>
          </w:p>
        </w:tc>
        <w:tc>
          <w:tcPr>
            <w:tcW w:w="922" w:type="dxa"/>
            <w:gridSpan w:val="2"/>
            <w:tcBorders>
              <w:top w:val="single" w:sz="4" w:space="0" w:color="8B73FF"/>
              <w:left w:val="single" w:sz="4" w:space="0" w:color="8B73FF"/>
              <w:bottom w:val="single" w:sz="4" w:space="0" w:color="8B73FF"/>
              <w:right w:val="single" w:sz="4" w:space="0" w:color="8B73FF"/>
            </w:tcBorders>
          </w:tcPr>
          <w:p w14:paraId="46CD58DC" w14:textId="517745B5" w:rsidR="00F709B8" w:rsidRPr="00F709B8" w:rsidRDefault="331DBAC5" w:rsidP="53541A9F">
            <w:pPr>
              <w:jc w:val="center"/>
              <w:rPr>
                <w:noProof/>
                <w:sz w:val="18"/>
                <w:szCs w:val="18"/>
              </w:rPr>
            </w:pPr>
            <w:r w:rsidRPr="6A9D9E40">
              <w:rPr>
                <w:noProof/>
                <w:sz w:val="18"/>
                <w:szCs w:val="18"/>
              </w:rPr>
              <w:t>74.1%</w:t>
            </w:r>
          </w:p>
        </w:tc>
        <w:tc>
          <w:tcPr>
            <w:tcW w:w="786" w:type="dxa"/>
            <w:tcBorders>
              <w:top w:val="single" w:sz="4" w:space="0" w:color="8B73FF"/>
              <w:left w:val="single" w:sz="4" w:space="0" w:color="8B73FF"/>
              <w:bottom w:val="single" w:sz="4" w:space="0" w:color="8B73FF"/>
              <w:right w:val="single" w:sz="4" w:space="0" w:color="8B73FF"/>
            </w:tcBorders>
          </w:tcPr>
          <w:p w14:paraId="4ED6C796" w14:textId="05BD652D" w:rsidR="00F709B8" w:rsidRPr="00F709B8" w:rsidRDefault="61DF5714" w:rsidP="6A9D9E40">
            <w:pPr>
              <w:jc w:val="center"/>
              <w:rPr>
                <w:noProof/>
                <w:sz w:val="18"/>
                <w:szCs w:val="18"/>
              </w:rPr>
            </w:pPr>
            <w:r w:rsidRPr="6A9D9E40">
              <w:rPr>
                <w:noProof/>
                <w:sz w:val="18"/>
                <w:szCs w:val="18"/>
              </w:rPr>
              <w:t>7.1%</w:t>
            </w:r>
          </w:p>
        </w:tc>
        <w:tc>
          <w:tcPr>
            <w:tcW w:w="895" w:type="dxa"/>
            <w:gridSpan w:val="2"/>
            <w:tcBorders>
              <w:top w:val="single" w:sz="4" w:space="0" w:color="8B73FF"/>
              <w:left w:val="single" w:sz="4" w:space="0" w:color="8B73FF"/>
              <w:bottom w:val="single" w:sz="4" w:space="0" w:color="8B73FF"/>
              <w:right w:val="single" w:sz="4" w:space="0" w:color="8B73FF"/>
            </w:tcBorders>
          </w:tcPr>
          <w:p w14:paraId="20B3B344" w14:textId="504FBDAA" w:rsidR="00F709B8" w:rsidRPr="00F709B8" w:rsidRDefault="00F709B8" w:rsidP="6A9D9E40">
            <w:pPr>
              <w:jc w:val="center"/>
              <w:rPr>
                <w:noProof/>
                <w:sz w:val="18"/>
                <w:szCs w:val="18"/>
              </w:rPr>
            </w:pPr>
            <w:r w:rsidRPr="6A9D9E40">
              <w:rPr>
                <w:noProof/>
                <w:sz w:val="18"/>
                <w:szCs w:val="18"/>
              </w:rPr>
              <w:t>-</w:t>
            </w:r>
          </w:p>
        </w:tc>
        <w:tc>
          <w:tcPr>
            <w:tcW w:w="677" w:type="dxa"/>
            <w:tcBorders>
              <w:top w:val="single" w:sz="4" w:space="0" w:color="8B73FF"/>
              <w:left w:val="single" w:sz="4" w:space="0" w:color="8B73FF"/>
              <w:bottom w:val="single" w:sz="4" w:space="0" w:color="8B73FF"/>
              <w:right w:val="single" w:sz="4" w:space="0" w:color="8B73FF"/>
            </w:tcBorders>
          </w:tcPr>
          <w:p w14:paraId="28F0EF27" w14:textId="18F38658" w:rsidR="00F709B8" w:rsidRPr="00F709B8" w:rsidRDefault="00F709B8" w:rsidP="6A9D9E40">
            <w:pPr>
              <w:jc w:val="center"/>
              <w:rPr>
                <w:noProof/>
                <w:sz w:val="18"/>
                <w:szCs w:val="18"/>
              </w:rPr>
            </w:pPr>
            <w:r w:rsidRPr="6A9D9E40">
              <w:rPr>
                <w:noProof/>
                <w:sz w:val="18"/>
                <w:szCs w:val="18"/>
              </w:rPr>
              <w:t>-</w:t>
            </w:r>
          </w:p>
        </w:tc>
      </w:tr>
      <w:tr w:rsidR="00F709B8" w:rsidRPr="007C0C4B" w14:paraId="50E970D0"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A841633" w14:textId="440D51FA" w:rsidR="00F709B8" w:rsidRPr="007C0C4B" w:rsidRDefault="005148BE" w:rsidP="0E45CDD0">
            <w:pPr>
              <w:rPr>
                <w:b/>
                <w:bCs/>
                <w:noProof/>
                <w:color w:val="000000" w:themeColor="text1"/>
                <w:sz w:val="16"/>
                <w:szCs w:val="16"/>
              </w:rPr>
            </w:pPr>
            <w:r>
              <w:rPr>
                <w:rFonts w:ascii="Calibri" w:eastAsia="Times New Roman" w:hAnsi="Calibri" w:cs="Calibri"/>
                <w:b/>
                <w:bCs/>
                <w:noProof/>
                <w:color w:val="000000" w:themeColor="text1"/>
                <w:sz w:val="16"/>
                <w:szCs w:val="16"/>
                <w:lang w:eastAsia="en-IE"/>
              </w:rPr>
              <w:t xml:space="preserve">Basic </w:t>
            </w:r>
            <w:r w:rsidR="0C6BC83F" w:rsidRPr="0E45CDD0">
              <w:rPr>
                <w:rFonts w:ascii="Calibri" w:eastAsia="Times New Roman" w:hAnsi="Calibri" w:cs="Calibri"/>
                <w:b/>
                <w:bCs/>
                <w:noProof/>
                <w:color w:val="000000" w:themeColor="text1"/>
                <w:sz w:val="16"/>
                <w:szCs w:val="16"/>
                <w:lang w:eastAsia="en-IE"/>
              </w:rPr>
              <w:t>5G coverage</w:t>
            </w:r>
          </w:p>
        </w:tc>
        <w:tc>
          <w:tcPr>
            <w:tcW w:w="813" w:type="dxa"/>
            <w:tcBorders>
              <w:top w:val="single" w:sz="4" w:space="0" w:color="8B73FF"/>
              <w:left w:val="single" w:sz="4" w:space="0" w:color="8B73FF"/>
              <w:bottom w:val="single" w:sz="4" w:space="0" w:color="8B73FF"/>
              <w:right w:val="single" w:sz="4" w:space="0" w:color="8B73FF"/>
            </w:tcBorders>
          </w:tcPr>
          <w:p w14:paraId="08545E40" w14:textId="25CF9A4C" w:rsidR="00F709B8" w:rsidRPr="00F709B8" w:rsidRDefault="00F709B8" w:rsidP="6A9D9E40">
            <w:pPr>
              <w:jc w:val="center"/>
              <w:rPr>
                <w:noProof/>
                <w:sz w:val="18"/>
                <w:szCs w:val="18"/>
              </w:rPr>
            </w:pPr>
            <w:r w:rsidRPr="6A9D9E40">
              <w:rPr>
                <w:noProof/>
                <w:sz w:val="18"/>
                <w:szCs w:val="18"/>
              </w:rPr>
              <w:t>99.7%</w:t>
            </w:r>
          </w:p>
        </w:tc>
        <w:tc>
          <w:tcPr>
            <w:tcW w:w="1106" w:type="dxa"/>
            <w:tcBorders>
              <w:top w:val="single" w:sz="4" w:space="0" w:color="8B73FF"/>
              <w:left w:val="single" w:sz="4" w:space="0" w:color="8B73FF"/>
              <w:bottom w:val="single" w:sz="4" w:space="0" w:color="8B73FF"/>
              <w:right w:val="single" w:sz="4" w:space="0" w:color="8B73FF"/>
            </w:tcBorders>
          </w:tcPr>
          <w:p w14:paraId="27B067D0" w14:textId="118C1BCA" w:rsidR="00F709B8" w:rsidRPr="00F709B8" w:rsidRDefault="4CBB5EFE" w:rsidP="53541A9F">
            <w:pPr>
              <w:jc w:val="center"/>
              <w:rPr>
                <w:noProof/>
                <w:sz w:val="18"/>
                <w:szCs w:val="18"/>
              </w:rPr>
            </w:pPr>
            <w:r w:rsidRPr="6A9D9E40">
              <w:rPr>
                <w:noProof/>
                <w:sz w:val="18"/>
                <w:szCs w:val="18"/>
              </w:rPr>
              <w:t>99.7%</w:t>
            </w:r>
          </w:p>
        </w:tc>
        <w:tc>
          <w:tcPr>
            <w:tcW w:w="786" w:type="dxa"/>
            <w:tcBorders>
              <w:top w:val="single" w:sz="4" w:space="0" w:color="8B73FF"/>
              <w:left w:val="single" w:sz="4" w:space="0" w:color="8B73FF"/>
              <w:bottom w:val="single" w:sz="4" w:space="0" w:color="8B73FF"/>
              <w:right w:val="single" w:sz="4" w:space="0" w:color="8B73FF"/>
            </w:tcBorders>
          </w:tcPr>
          <w:p w14:paraId="358B50A2" w14:textId="2F5BD71C" w:rsidR="00F709B8" w:rsidRPr="00F709B8" w:rsidRDefault="4CBB5EFE" w:rsidP="53541A9F">
            <w:pPr>
              <w:jc w:val="center"/>
              <w:rPr>
                <w:noProof/>
                <w:sz w:val="18"/>
                <w:szCs w:val="18"/>
              </w:rPr>
            </w:pPr>
            <w:r w:rsidRPr="6A9D9E40">
              <w:rPr>
                <w:noProof/>
                <w:sz w:val="18"/>
                <w:szCs w:val="18"/>
              </w:rPr>
              <w:t>0.0%</w:t>
            </w:r>
          </w:p>
        </w:tc>
        <w:tc>
          <w:tcPr>
            <w:tcW w:w="870" w:type="dxa"/>
            <w:tcBorders>
              <w:top w:val="single" w:sz="4" w:space="0" w:color="8B73FF"/>
              <w:left w:val="single" w:sz="4" w:space="0" w:color="8B73FF"/>
              <w:bottom w:val="single" w:sz="4" w:space="0" w:color="8B73FF"/>
              <w:right w:val="single" w:sz="4" w:space="0" w:color="8B73FF"/>
            </w:tcBorders>
          </w:tcPr>
          <w:p w14:paraId="3CA127ED" w14:textId="5852C809"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95.0% </w:t>
            </w:r>
          </w:p>
        </w:tc>
        <w:tc>
          <w:tcPr>
            <w:tcW w:w="922" w:type="dxa"/>
            <w:gridSpan w:val="2"/>
            <w:tcBorders>
              <w:top w:val="single" w:sz="4" w:space="0" w:color="8B73FF"/>
              <w:left w:val="single" w:sz="4" w:space="0" w:color="8B73FF"/>
              <w:bottom w:val="single" w:sz="4" w:space="0" w:color="8B73FF"/>
              <w:right w:val="single" w:sz="4" w:space="0" w:color="8B73FF"/>
            </w:tcBorders>
          </w:tcPr>
          <w:p w14:paraId="0D85771B" w14:textId="5BB476B1" w:rsidR="00F709B8" w:rsidRPr="00F709B8" w:rsidRDefault="1341CD99" w:rsidP="53541A9F">
            <w:pPr>
              <w:jc w:val="center"/>
              <w:rPr>
                <w:noProof/>
                <w:sz w:val="18"/>
                <w:szCs w:val="18"/>
              </w:rPr>
            </w:pPr>
            <w:r w:rsidRPr="6A9D9E40">
              <w:rPr>
                <w:noProof/>
                <w:sz w:val="18"/>
                <w:szCs w:val="18"/>
              </w:rPr>
              <w:t>96.</w:t>
            </w:r>
            <w:r w:rsidR="6085A390" w:rsidRPr="6A9D9E40">
              <w:rPr>
                <w:noProof/>
                <w:sz w:val="18"/>
                <w:szCs w:val="18"/>
              </w:rPr>
              <w:t>8</w:t>
            </w:r>
            <w:r w:rsidRPr="6A9D9E40">
              <w:rPr>
                <w:noProof/>
                <w:sz w:val="18"/>
                <w:szCs w:val="18"/>
              </w:rPr>
              <w:t>%</w:t>
            </w:r>
          </w:p>
        </w:tc>
        <w:tc>
          <w:tcPr>
            <w:tcW w:w="786" w:type="dxa"/>
            <w:tcBorders>
              <w:top w:val="single" w:sz="4" w:space="0" w:color="8B73FF"/>
              <w:left w:val="single" w:sz="4" w:space="0" w:color="8B73FF"/>
              <w:bottom w:val="single" w:sz="4" w:space="0" w:color="8B73FF"/>
              <w:right w:val="single" w:sz="4" w:space="0" w:color="8B73FF"/>
            </w:tcBorders>
          </w:tcPr>
          <w:p w14:paraId="54370FA3" w14:textId="7676E75A" w:rsidR="00F709B8" w:rsidRPr="00F709B8" w:rsidRDefault="3ABCAFD7" w:rsidP="6A9D9E40">
            <w:pPr>
              <w:jc w:val="center"/>
              <w:rPr>
                <w:noProof/>
                <w:sz w:val="18"/>
                <w:szCs w:val="18"/>
              </w:rPr>
            </w:pPr>
            <w:r w:rsidRPr="6A9D9E40">
              <w:rPr>
                <w:noProof/>
                <w:sz w:val="18"/>
                <w:szCs w:val="18"/>
              </w:rPr>
              <w:t>2.6%</w:t>
            </w:r>
          </w:p>
        </w:tc>
        <w:tc>
          <w:tcPr>
            <w:tcW w:w="895" w:type="dxa"/>
            <w:gridSpan w:val="2"/>
            <w:tcBorders>
              <w:top w:val="single" w:sz="4" w:space="0" w:color="8B73FF"/>
              <w:left w:val="single" w:sz="4" w:space="0" w:color="8B73FF"/>
              <w:bottom w:val="single" w:sz="4" w:space="0" w:color="8B73FF"/>
              <w:right w:val="single" w:sz="4" w:space="0" w:color="8B73FF"/>
            </w:tcBorders>
          </w:tcPr>
          <w:p w14:paraId="5F5FCF55" w14:textId="4111B285" w:rsidR="00F709B8" w:rsidRPr="00F709B8" w:rsidRDefault="00F709B8" w:rsidP="6A9D9E40">
            <w:pPr>
              <w:jc w:val="center"/>
              <w:rPr>
                <w:noProof/>
                <w:sz w:val="18"/>
                <w:szCs w:val="18"/>
              </w:rPr>
            </w:pPr>
            <w:r w:rsidRPr="6A9D9E40">
              <w:rPr>
                <w:noProof/>
                <w:sz w:val="18"/>
                <w:szCs w:val="18"/>
              </w:rPr>
              <w:t>100.0%</w:t>
            </w:r>
          </w:p>
        </w:tc>
        <w:tc>
          <w:tcPr>
            <w:tcW w:w="677" w:type="dxa"/>
            <w:tcBorders>
              <w:top w:val="single" w:sz="4" w:space="0" w:color="8B73FF"/>
              <w:left w:val="single" w:sz="4" w:space="0" w:color="8B73FF"/>
              <w:bottom w:val="single" w:sz="4" w:space="0" w:color="8B73FF"/>
              <w:right w:val="single" w:sz="4" w:space="0" w:color="8B73FF"/>
            </w:tcBorders>
          </w:tcPr>
          <w:p w14:paraId="79A1D807" w14:textId="49E5EF99" w:rsidR="00F709B8" w:rsidRPr="00F709B8" w:rsidRDefault="00F709B8" w:rsidP="6A9D9E40">
            <w:pPr>
              <w:jc w:val="center"/>
              <w:rPr>
                <w:noProof/>
                <w:sz w:val="18"/>
                <w:szCs w:val="18"/>
              </w:rPr>
            </w:pPr>
            <w:r w:rsidRPr="6A9D9E40">
              <w:rPr>
                <w:noProof/>
                <w:sz w:val="18"/>
                <w:szCs w:val="18"/>
              </w:rPr>
              <w:t>100%</w:t>
            </w:r>
          </w:p>
        </w:tc>
      </w:tr>
      <w:tr w:rsidR="00F709B8" w:rsidRPr="007C0C4B" w14:paraId="736A1B2B" w14:textId="77777777" w:rsidTr="006C1A96">
        <w:trPr>
          <w:gridAfter w:val="1"/>
          <w:wAfter w:w="10" w:type="dxa"/>
          <w:cantSplit/>
          <w:trHeight w:hRule="exact" w:val="497"/>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699C789" w14:textId="39400C78"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Edge Nodes (estimate</w:t>
            </w:r>
            <w:r w:rsidR="381DBCC0" w:rsidRPr="0E45CDD0">
              <w:rPr>
                <w:rFonts w:ascii="Calibri" w:eastAsia="Times New Roman" w:hAnsi="Calibri" w:cs="Calibri"/>
                <w:b/>
                <w:bCs/>
                <w:noProof/>
                <w:color w:val="000000" w:themeColor="text1"/>
                <w:sz w:val="16"/>
                <w:szCs w:val="16"/>
                <w:lang w:eastAsia="en-IE"/>
              </w:rPr>
              <w:t>, new methodology</w:t>
            </w:r>
            <w:r w:rsidRPr="0E45CDD0">
              <w:rPr>
                <w:rFonts w:ascii="Calibri" w:eastAsia="Times New Roman" w:hAnsi="Calibri" w:cs="Calibri"/>
                <w:b/>
                <w:bCs/>
                <w:noProof/>
                <w:color w:val="000000" w:themeColor="text1"/>
                <w:sz w:val="16"/>
                <w:szCs w:val="16"/>
                <w:lang w:eastAsia="en-IE"/>
              </w:rPr>
              <w:t>)</w:t>
            </w:r>
          </w:p>
        </w:tc>
        <w:tc>
          <w:tcPr>
            <w:tcW w:w="813" w:type="dxa"/>
            <w:tcBorders>
              <w:top w:val="single" w:sz="4" w:space="0" w:color="8B73FF"/>
              <w:left w:val="single" w:sz="4" w:space="0" w:color="8B73FF"/>
              <w:bottom w:val="single" w:sz="4" w:space="0" w:color="8B73FF"/>
              <w:right w:val="single" w:sz="4" w:space="0" w:color="8B73FF"/>
            </w:tcBorders>
          </w:tcPr>
          <w:p w14:paraId="7488A2CA" w14:textId="1D64146C" w:rsidR="00F709B8" w:rsidRPr="00F709B8" w:rsidRDefault="12F66793" w:rsidP="6A9D9E40">
            <w:pPr>
              <w:jc w:val="center"/>
              <w:rPr>
                <w:rFonts w:eastAsia="Times New Roman"/>
                <w:noProof/>
                <w:color w:val="000000" w:themeColor="text1"/>
                <w:sz w:val="18"/>
                <w:szCs w:val="18"/>
                <w:lang w:eastAsia="en-IE"/>
              </w:rPr>
            </w:pPr>
            <w:r w:rsidRPr="6A9D9E40">
              <w:rPr>
                <w:noProof/>
                <w:sz w:val="18"/>
                <w:szCs w:val="18"/>
              </w:rPr>
              <w:t>-</w:t>
            </w:r>
          </w:p>
        </w:tc>
        <w:tc>
          <w:tcPr>
            <w:tcW w:w="1106" w:type="dxa"/>
            <w:tcBorders>
              <w:top w:val="single" w:sz="4" w:space="0" w:color="8B73FF"/>
              <w:left w:val="single" w:sz="4" w:space="0" w:color="8B73FF"/>
              <w:bottom w:val="single" w:sz="4" w:space="0" w:color="8B73FF"/>
              <w:right w:val="single" w:sz="4" w:space="0" w:color="8B73FF"/>
            </w:tcBorders>
          </w:tcPr>
          <w:p w14:paraId="38DA1F49" w14:textId="31A4A958" w:rsidR="00F709B8" w:rsidRPr="00F709B8" w:rsidRDefault="00FE6DCD" w:rsidP="6A9D9E40">
            <w:pPr>
              <w:jc w:val="center"/>
              <w:rPr>
                <w:noProof/>
                <w:sz w:val="18"/>
                <w:szCs w:val="18"/>
              </w:rPr>
            </w:pPr>
            <w:r w:rsidRPr="6A9D9E40">
              <w:rPr>
                <w:noProof/>
                <w:sz w:val="18"/>
                <w:szCs w:val="18"/>
              </w:rPr>
              <w:t>75</w:t>
            </w:r>
          </w:p>
        </w:tc>
        <w:tc>
          <w:tcPr>
            <w:tcW w:w="786" w:type="dxa"/>
            <w:tcBorders>
              <w:top w:val="single" w:sz="4" w:space="0" w:color="8B73FF"/>
              <w:left w:val="single" w:sz="4" w:space="0" w:color="8B73FF"/>
              <w:bottom w:val="single" w:sz="4" w:space="0" w:color="8B73FF"/>
              <w:right w:val="single" w:sz="4" w:space="0" w:color="8B73FF"/>
            </w:tcBorders>
          </w:tcPr>
          <w:p w14:paraId="22EF0FC2" w14:textId="5009D9BF" w:rsidR="00F709B8" w:rsidRPr="00F709B8" w:rsidRDefault="15A88F01" w:rsidP="6A9D9E40">
            <w:pPr>
              <w:jc w:val="center"/>
              <w:rPr>
                <w:rFonts w:eastAsia="Times New Roman"/>
                <w:noProof/>
                <w:color w:val="000000" w:themeColor="text1"/>
                <w:sz w:val="18"/>
                <w:szCs w:val="18"/>
                <w:lang w:eastAsia="en-IE"/>
              </w:rPr>
            </w:pPr>
            <w:r w:rsidRPr="6A9D9E40">
              <w:rPr>
                <w:noProof/>
                <w:sz w:val="18"/>
                <w:szCs w:val="18"/>
              </w:rPr>
              <w:t>-</w:t>
            </w:r>
          </w:p>
        </w:tc>
        <w:tc>
          <w:tcPr>
            <w:tcW w:w="870" w:type="dxa"/>
            <w:tcBorders>
              <w:top w:val="single" w:sz="4" w:space="0" w:color="8B73FF"/>
              <w:left w:val="single" w:sz="4" w:space="0" w:color="8B73FF"/>
              <w:bottom w:val="single" w:sz="4" w:space="0" w:color="8B73FF"/>
              <w:right w:val="single" w:sz="4" w:space="0" w:color="8B73FF"/>
            </w:tcBorders>
          </w:tcPr>
          <w:p w14:paraId="483C4FF5" w14:textId="74BB4661"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 </w:t>
            </w:r>
          </w:p>
        </w:tc>
        <w:tc>
          <w:tcPr>
            <w:tcW w:w="922" w:type="dxa"/>
            <w:gridSpan w:val="2"/>
            <w:tcBorders>
              <w:top w:val="single" w:sz="4" w:space="0" w:color="8B73FF"/>
              <w:left w:val="single" w:sz="4" w:space="0" w:color="8B73FF"/>
              <w:bottom w:val="single" w:sz="4" w:space="0" w:color="8B73FF"/>
              <w:right w:val="single" w:sz="4" w:space="0" w:color="8B73FF"/>
            </w:tcBorders>
          </w:tcPr>
          <w:p w14:paraId="4CD4329C" w14:textId="3C588188" w:rsidR="00F709B8" w:rsidRPr="00F709B8" w:rsidRDefault="14751314" w:rsidP="6A9D9E40">
            <w:pPr>
              <w:jc w:val="center"/>
              <w:rPr>
                <w:noProof/>
                <w:sz w:val="18"/>
                <w:szCs w:val="18"/>
              </w:rPr>
            </w:pPr>
            <w:r w:rsidRPr="6A9D9E40">
              <w:rPr>
                <w:noProof/>
                <w:sz w:val="18"/>
                <w:szCs w:val="18"/>
              </w:rPr>
              <w:t>7451</w:t>
            </w:r>
          </w:p>
        </w:tc>
        <w:tc>
          <w:tcPr>
            <w:tcW w:w="786" w:type="dxa"/>
            <w:tcBorders>
              <w:top w:val="single" w:sz="4" w:space="0" w:color="8B73FF"/>
              <w:left w:val="single" w:sz="4" w:space="0" w:color="8B73FF"/>
              <w:bottom w:val="single" w:sz="4" w:space="0" w:color="8B73FF"/>
              <w:right w:val="single" w:sz="4" w:space="0" w:color="8B73FF"/>
            </w:tcBorders>
          </w:tcPr>
          <w:p w14:paraId="03A664E4" w14:textId="27F59EF8" w:rsidR="00F709B8" w:rsidRPr="00F709B8" w:rsidRDefault="14751314" w:rsidP="6A9D9E40">
            <w:pPr>
              <w:jc w:val="center"/>
              <w:rPr>
                <w:rFonts w:eastAsia="Times New Roman"/>
                <w:noProof/>
                <w:color w:val="000000" w:themeColor="text1"/>
                <w:sz w:val="18"/>
                <w:szCs w:val="18"/>
                <w:lang w:eastAsia="en-IE"/>
              </w:rPr>
            </w:pPr>
            <w:r w:rsidRPr="6A9D9E40">
              <w:rPr>
                <w:noProof/>
                <w:sz w:val="18"/>
                <w:szCs w:val="18"/>
              </w:rPr>
              <w:t>-</w:t>
            </w:r>
          </w:p>
        </w:tc>
        <w:tc>
          <w:tcPr>
            <w:tcW w:w="895" w:type="dxa"/>
            <w:gridSpan w:val="2"/>
            <w:tcBorders>
              <w:top w:val="single" w:sz="4" w:space="0" w:color="8B73FF"/>
              <w:left w:val="single" w:sz="4" w:space="0" w:color="8B73FF"/>
              <w:bottom w:val="single" w:sz="4" w:space="0" w:color="8B73FF"/>
              <w:right w:val="single" w:sz="4" w:space="0" w:color="8B73FF"/>
            </w:tcBorders>
          </w:tcPr>
          <w:p w14:paraId="2179269E" w14:textId="2612C10A" w:rsidR="00F709B8" w:rsidRPr="00F709B8" w:rsidRDefault="00F709B8" w:rsidP="6A9D9E40">
            <w:pPr>
              <w:jc w:val="center"/>
              <w:rPr>
                <w:noProof/>
                <w:sz w:val="18"/>
                <w:szCs w:val="18"/>
              </w:rPr>
            </w:pPr>
            <w:r w:rsidRPr="6A9D9E40">
              <w:rPr>
                <w:noProof/>
                <w:sz w:val="18"/>
                <w:szCs w:val="18"/>
              </w:rPr>
              <w:t>-</w:t>
            </w:r>
          </w:p>
        </w:tc>
        <w:tc>
          <w:tcPr>
            <w:tcW w:w="677" w:type="dxa"/>
            <w:tcBorders>
              <w:top w:val="single" w:sz="4" w:space="0" w:color="8B73FF"/>
              <w:left w:val="single" w:sz="4" w:space="0" w:color="8B73FF"/>
              <w:bottom w:val="single" w:sz="4" w:space="0" w:color="8B73FF"/>
              <w:right w:val="single" w:sz="4" w:space="0" w:color="8B73FF"/>
            </w:tcBorders>
          </w:tcPr>
          <w:p w14:paraId="3FCB402F" w14:textId="4C155963" w:rsidR="00F709B8" w:rsidRPr="00F709B8" w:rsidRDefault="00F709B8" w:rsidP="6A9D9E40">
            <w:pPr>
              <w:jc w:val="center"/>
              <w:rPr>
                <w:noProof/>
                <w:sz w:val="18"/>
                <w:szCs w:val="18"/>
              </w:rPr>
            </w:pPr>
            <w:r w:rsidRPr="6A9D9E40">
              <w:rPr>
                <w:noProof/>
                <w:sz w:val="18"/>
                <w:szCs w:val="18"/>
              </w:rPr>
              <w:t>10000</w:t>
            </w:r>
          </w:p>
        </w:tc>
      </w:tr>
      <w:tr w:rsidR="00F709B8" w:rsidRPr="007C0C4B" w14:paraId="333CDA79" w14:textId="77777777" w:rsidTr="006C1A96">
        <w:trPr>
          <w:gridAfter w:val="1"/>
          <w:wAfter w:w="10" w:type="dxa"/>
          <w:cantSplit/>
          <w:trHeight w:hRule="exact" w:val="516"/>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8A1477E"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SMEs with at least a basic level of digital intensity *</w:t>
            </w:r>
          </w:p>
        </w:tc>
        <w:tc>
          <w:tcPr>
            <w:tcW w:w="813" w:type="dxa"/>
            <w:tcBorders>
              <w:top w:val="single" w:sz="4" w:space="0" w:color="8B73FF"/>
              <w:left w:val="single" w:sz="4" w:space="0" w:color="8B73FF"/>
              <w:bottom w:val="single" w:sz="4" w:space="0" w:color="8B73FF"/>
              <w:right w:val="single" w:sz="4" w:space="0" w:color="8B73FF"/>
            </w:tcBorders>
          </w:tcPr>
          <w:p w14:paraId="6E4084D0" w14:textId="792A47CB" w:rsidR="00F709B8" w:rsidRPr="00F709B8" w:rsidRDefault="00F709B8" w:rsidP="6A9D9E40">
            <w:pPr>
              <w:jc w:val="center"/>
              <w:rPr>
                <w:noProof/>
                <w:sz w:val="18"/>
                <w:szCs w:val="18"/>
              </w:rPr>
            </w:pPr>
            <w:r w:rsidRPr="6A9D9E40">
              <w:rPr>
                <w:noProof/>
                <w:sz w:val="18"/>
                <w:szCs w:val="18"/>
              </w:rPr>
              <w:t>60.0%</w:t>
            </w:r>
          </w:p>
        </w:tc>
        <w:tc>
          <w:tcPr>
            <w:tcW w:w="1106" w:type="dxa"/>
            <w:tcBorders>
              <w:top w:val="single" w:sz="4" w:space="0" w:color="8B73FF"/>
              <w:left w:val="single" w:sz="4" w:space="0" w:color="8B73FF"/>
              <w:bottom w:val="single" w:sz="4" w:space="0" w:color="8B73FF"/>
              <w:right w:val="single" w:sz="4" w:space="0" w:color="8B73FF"/>
            </w:tcBorders>
          </w:tcPr>
          <w:p w14:paraId="3C3409D0" w14:textId="3E44D0B7" w:rsidR="00F709B8" w:rsidRPr="00F709B8" w:rsidRDefault="00F709B8" w:rsidP="6A9D9E40">
            <w:pPr>
              <w:jc w:val="center"/>
              <w:rPr>
                <w:noProof/>
                <w:sz w:val="18"/>
                <w:szCs w:val="18"/>
              </w:rPr>
            </w:pPr>
            <w:r w:rsidRPr="6A9D9E40">
              <w:rPr>
                <w:noProof/>
                <w:sz w:val="18"/>
                <w:szCs w:val="18"/>
              </w:rPr>
              <w:t>73.5%</w:t>
            </w:r>
          </w:p>
        </w:tc>
        <w:tc>
          <w:tcPr>
            <w:tcW w:w="786" w:type="dxa"/>
            <w:tcBorders>
              <w:top w:val="single" w:sz="4" w:space="0" w:color="8B73FF"/>
              <w:left w:val="single" w:sz="4" w:space="0" w:color="8B73FF"/>
              <w:bottom w:val="single" w:sz="4" w:space="0" w:color="8B73FF"/>
              <w:right w:val="single" w:sz="4" w:space="0" w:color="8B73FF"/>
            </w:tcBorders>
          </w:tcPr>
          <w:p w14:paraId="336939EB" w14:textId="51771ED6" w:rsidR="00F709B8" w:rsidRPr="00F709B8" w:rsidRDefault="00F709B8" w:rsidP="6A9D9E40">
            <w:pPr>
              <w:jc w:val="center"/>
              <w:rPr>
                <w:noProof/>
                <w:sz w:val="18"/>
                <w:szCs w:val="18"/>
              </w:rPr>
            </w:pPr>
            <w:r w:rsidRPr="6A9D9E40">
              <w:rPr>
                <w:noProof/>
                <w:sz w:val="18"/>
                <w:szCs w:val="18"/>
              </w:rPr>
              <w:t>10.7%</w:t>
            </w:r>
          </w:p>
        </w:tc>
        <w:tc>
          <w:tcPr>
            <w:tcW w:w="870" w:type="dxa"/>
            <w:tcBorders>
              <w:top w:val="single" w:sz="4" w:space="0" w:color="8B73FF"/>
              <w:left w:val="single" w:sz="4" w:space="0" w:color="8B73FF"/>
              <w:bottom w:val="single" w:sz="4" w:space="0" w:color="8B73FF"/>
              <w:right w:val="single" w:sz="4" w:space="0" w:color="8B73FF"/>
            </w:tcBorders>
          </w:tcPr>
          <w:p w14:paraId="66DFBF8A" w14:textId="6F36D078"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71.0% </w:t>
            </w:r>
          </w:p>
        </w:tc>
        <w:tc>
          <w:tcPr>
            <w:tcW w:w="922" w:type="dxa"/>
            <w:gridSpan w:val="2"/>
            <w:tcBorders>
              <w:top w:val="single" w:sz="4" w:space="0" w:color="8B73FF"/>
              <w:left w:val="single" w:sz="4" w:space="0" w:color="8B73FF"/>
              <w:bottom w:val="single" w:sz="4" w:space="0" w:color="8B73FF"/>
              <w:right w:val="single" w:sz="4" w:space="0" w:color="8B73FF"/>
            </w:tcBorders>
          </w:tcPr>
          <w:p w14:paraId="30C402CD" w14:textId="08985F3D" w:rsidR="00F709B8" w:rsidRPr="00F709B8" w:rsidRDefault="00F709B8" w:rsidP="6A9D9E40">
            <w:pPr>
              <w:jc w:val="center"/>
              <w:rPr>
                <w:noProof/>
                <w:sz w:val="18"/>
                <w:szCs w:val="18"/>
              </w:rPr>
            </w:pPr>
            <w:r w:rsidRPr="6A9D9E40">
              <w:rPr>
                <w:noProof/>
                <w:sz w:val="18"/>
                <w:szCs w:val="18"/>
              </w:rPr>
              <w:t>71.4%</w:t>
            </w:r>
          </w:p>
        </w:tc>
        <w:tc>
          <w:tcPr>
            <w:tcW w:w="786" w:type="dxa"/>
            <w:tcBorders>
              <w:top w:val="single" w:sz="4" w:space="0" w:color="8B73FF"/>
              <w:left w:val="single" w:sz="4" w:space="0" w:color="8B73FF"/>
              <w:bottom w:val="single" w:sz="4" w:space="0" w:color="8B73FF"/>
              <w:right w:val="single" w:sz="4" w:space="0" w:color="8B73FF"/>
            </w:tcBorders>
          </w:tcPr>
          <w:p w14:paraId="6AAC3B00" w14:textId="4FB28627" w:rsidR="00F709B8" w:rsidRPr="00F709B8" w:rsidRDefault="00F709B8" w:rsidP="6A9D9E40">
            <w:pPr>
              <w:jc w:val="center"/>
              <w:rPr>
                <w:noProof/>
                <w:sz w:val="18"/>
                <w:szCs w:val="18"/>
              </w:rPr>
            </w:pPr>
            <w:r w:rsidRPr="6A9D9E40">
              <w:rPr>
                <w:noProof/>
                <w:sz w:val="18"/>
                <w:szCs w:val="18"/>
              </w:rPr>
              <w:t>11.0%</w:t>
            </w:r>
          </w:p>
        </w:tc>
        <w:tc>
          <w:tcPr>
            <w:tcW w:w="895" w:type="dxa"/>
            <w:gridSpan w:val="2"/>
            <w:tcBorders>
              <w:top w:val="single" w:sz="4" w:space="0" w:color="8B73FF"/>
              <w:left w:val="single" w:sz="4" w:space="0" w:color="8B73FF"/>
              <w:bottom w:val="single" w:sz="4" w:space="0" w:color="8B73FF"/>
              <w:right w:val="single" w:sz="4" w:space="0" w:color="8B73FF"/>
            </w:tcBorders>
          </w:tcPr>
          <w:p w14:paraId="6C60689B" w14:textId="11C7599E" w:rsidR="00F709B8" w:rsidRPr="00F709B8" w:rsidRDefault="00F709B8" w:rsidP="6A9D9E40">
            <w:pPr>
              <w:jc w:val="center"/>
              <w:rPr>
                <w:noProof/>
                <w:sz w:val="18"/>
                <w:szCs w:val="18"/>
              </w:rPr>
            </w:pPr>
            <w:r w:rsidRPr="6A9D9E40">
              <w:rPr>
                <w:noProof/>
                <w:sz w:val="18"/>
                <w:szCs w:val="18"/>
              </w:rPr>
              <w:t>90.0%</w:t>
            </w:r>
          </w:p>
        </w:tc>
        <w:tc>
          <w:tcPr>
            <w:tcW w:w="677" w:type="dxa"/>
            <w:tcBorders>
              <w:top w:val="single" w:sz="4" w:space="0" w:color="8B73FF"/>
              <w:left w:val="single" w:sz="4" w:space="0" w:color="8B73FF"/>
              <w:bottom w:val="single" w:sz="4" w:space="0" w:color="8B73FF"/>
              <w:right w:val="single" w:sz="4" w:space="0" w:color="8B73FF"/>
            </w:tcBorders>
          </w:tcPr>
          <w:p w14:paraId="4999FAF1" w14:textId="66F34324" w:rsidR="00F709B8" w:rsidRPr="00F709B8" w:rsidRDefault="00F709B8" w:rsidP="6A9D9E40">
            <w:pPr>
              <w:jc w:val="center"/>
              <w:rPr>
                <w:noProof/>
                <w:sz w:val="18"/>
                <w:szCs w:val="18"/>
              </w:rPr>
            </w:pPr>
            <w:r w:rsidRPr="6A9D9E40">
              <w:rPr>
                <w:noProof/>
                <w:sz w:val="18"/>
                <w:szCs w:val="18"/>
              </w:rPr>
              <w:t>90%</w:t>
            </w:r>
          </w:p>
        </w:tc>
      </w:tr>
      <w:tr w:rsidR="00F709B8" w:rsidRPr="007C0C4B" w14:paraId="4383C30D"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0963584"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Cloud *</w:t>
            </w:r>
          </w:p>
        </w:tc>
        <w:tc>
          <w:tcPr>
            <w:tcW w:w="813" w:type="dxa"/>
            <w:tcBorders>
              <w:top w:val="single" w:sz="4" w:space="0" w:color="8B73FF"/>
              <w:left w:val="single" w:sz="4" w:space="0" w:color="8B73FF"/>
              <w:bottom w:val="single" w:sz="4" w:space="0" w:color="8B73FF"/>
              <w:right w:val="single" w:sz="4" w:space="0" w:color="8B73FF"/>
            </w:tcBorders>
          </w:tcPr>
          <w:p w14:paraId="5D8FCF76" w14:textId="11D6FA66" w:rsidR="00F709B8" w:rsidRPr="00F709B8" w:rsidRDefault="00F709B8" w:rsidP="6A9D9E40">
            <w:pPr>
              <w:jc w:val="center"/>
              <w:rPr>
                <w:noProof/>
                <w:sz w:val="18"/>
                <w:szCs w:val="18"/>
              </w:rPr>
            </w:pPr>
            <w:r w:rsidRPr="6A9D9E40">
              <w:rPr>
                <w:noProof/>
                <w:sz w:val="18"/>
                <w:szCs w:val="18"/>
              </w:rPr>
              <w:t>33.6%</w:t>
            </w:r>
          </w:p>
        </w:tc>
        <w:tc>
          <w:tcPr>
            <w:tcW w:w="1106" w:type="dxa"/>
            <w:tcBorders>
              <w:top w:val="single" w:sz="4" w:space="0" w:color="8B73FF"/>
              <w:left w:val="single" w:sz="4" w:space="0" w:color="8B73FF"/>
              <w:bottom w:val="single" w:sz="4" w:space="0" w:color="8B73FF"/>
              <w:right w:val="single" w:sz="4" w:space="0" w:color="8B73FF"/>
            </w:tcBorders>
          </w:tcPr>
          <w:p w14:paraId="7116B8C8" w14:textId="5A01A9B9" w:rsidR="00F709B8" w:rsidRPr="00F709B8" w:rsidRDefault="00F709B8" w:rsidP="6A9D9E40">
            <w:pPr>
              <w:jc w:val="center"/>
              <w:rPr>
                <w:noProof/>
                <w:sz w:val="18"/>
                <w:szCs w:val="18"/>
              </w:rPr>
            </w:pPr>
            <w:r w:rsidRPr="6A9D9E40">
              <w:rPr>
                <w:noProof/>
                <w:sz w:val="18"/>
                <w:szCs w:val="18"/>
              </w:rPr>
              <w:t>54.9%</w:t>
            </w:r>
          </w:p>
        </w:tc>
        <w:tc>
          <w:tcPr>
            <w:tcW w:w="786" w:type="dxa"/>
            <w:tcBorders>
              <w:top w:val="single" w:sz="4" w:space="0" w:color="8B73FF"/>
              <w:left w:val="single" w:sz="4" w:space="0" w:color="8B73FF"/>
              <w:bottom w:val="single" w:sz="4" w:space="0" w:color="8B73FF"/>
              <w:right w:val="single" w:sz="4" w:space="0" w:color="8B73FF"/>
            </w:tcBorders>
          </w:tcPr>
          <w:p w14:paraId="0FBBC579" w14:textId="7DB8D31C" w:rsidR="00F709B8" w:rsidRPr="00F709B8" w:rsidRDefault="00F709B8" w:rsidP="6A9D9E40">
            <w:pPr>
              <w:jc w:val="center"/>
              <w:rPr>
                <w:noProof/>
                <w:sz w:val="18"/>
                <w:szCs w:val="18"/>
              </w:rPr>
            </w:pPr>
            <w:r w:rsidRPr="6A9D9E40">
              <w:rPr>
                <w:noProof/>
                <w:sz w:val="18"/>
                <w:szCs w:val="18"/>
              </w:rPr>
              <w:t>27.8%</w:t>
            </w:r>
          </w:p>
        </w:tc>
        <w:tc>
          <w:tcPr>
            <w:tcW w:w="870" w:type="dxa"/>
            <w:tcBorders>
              <w:top w:val="single" w:sz="4" w:space="0" w:color="8B73FF"/>
              <w:left w:val="single" w:sz="4" w:space="0" w:color="8B73FF"/>
              <w:bottom w:val="single" w:sz="4" w:space="0" w:color="8B73FF"/>
              <w:right w:val="single" w:sz="4" w:space="0" w:color="8B73FF"/>
            </w:tcBorders>
          </w:tcPr>
          <w:p w14:paraId="31936D54" w14:textId="14940AA9"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46.0% </w:t>
            </w:r>
          </w:p>
        </w:tc>
        <w:tc>
          <w:tcPr>
            <w:tcW w:w="922" w:type="dxa"/>
            <w:gridSpan w:val="2"/>
            <w:tcBorders>
              <w:top w:val="single" w:sz="4" w:space="0" w:color="8B73FF"/>
              <w:left w:val="single" w:sz="4" w:space="0" w:color="8B73FF"/>
              <w:bottom w:val="single" w:sz="4" w:space="0" w:color="8B73FF"/>
              <w:right w:val="single" w:sz="4" w:space="0" w:color="8B73FF"/>
            </w:tcBorders>
          </w:tcPr>
          <w:p w14:paraId="7FD5F618" w14:textId="06AB62BF" w:rsidR="00F709B8" w:rsidRPr="00F709B8" w:rsidRDefault="00F709B8" w:rsidP="6A9D9E40">
            <w:pPr>
              <w:jc w:val="center"/>
              <w:rPr>
                <w:noProof/>
                <w:sz w:val="18"/>
                <w:szCs w:val="18"/>
              </w:rPr>
            </w:pPr>
            <w:r w:rsidRPr="6A9D9E40">
              <w:rPr>
                <w:noProof/>
                <w:sz w:val="18"/>
                <w:szCs w:val="18"/>
              </w:rPr>
              <w:t>46.7%</w:t>
            </w:r>
          </w:p>
        </w:tc>
        <w:tc>
          <w:tcPr>
            <w:tcW w:w="786" w:type="dxa"/>
            <w:tcBorders>
              <w:top w:val="single" w:sz="4" w:space="0" w:color="8B73FF"/>
              <w:left w:val="single" w:sz="4" w:space="0" w:color="8B73FF"/>
              <w:bottom w:val="single" w:sz="4" w:space="0" w:color="8B73FF"/>
              <w:right w:val="single" w:sz="4" w:space="0" w:color="8B73FF"/>
            </w:tcBorders>
          </w:tcPr>
          <w:p w14:paraId="4E4EFAF7" w14:textId="7F7172FE" w:rsidR="00F709B8" w:rsidRPr="00F709B8" w:rsidRDefault="00F709B8" w:rsidP="6A9D9E40">
            <w:pPr>
              <w:jc w:val="center"/>
              <w:rPr>
                <w:noProof/>
                <w:sz w:val="18"/>
                <w:szCs w:val="18"/>
              </w:rPr>
            </w:pPr>
            <w:r w:rsidRPr="6A9D9E40">
              <w:rPr>
                <w:noProof/>
                <w:sz w:val="18"/>
                <w:szCs w:val="18"/>
              </w:rPr>
              <w:t>9.5%</w:t>
            </w:r>
          </w:p>
        </w:tc>
        <w:tc>
          <w:tcPr>
            <w:tcW w:w="895" w:type="dxa"/>
            <w:gridSpan w:val="2"/>
            <w:tcBorders>
              <w:top w:val="single" w:sz="4" w:space="0" w:color="8B73FF"/>
              <w:left w:val="single" w:sz="4" w:space="0" w:color="8B73FF"/>
              <w:bottom w:val="single" w:sz="4" w:space="0" w:color="8B73FF"/>
              <w:right w:val="single" w:sz="4" w:space="0" w:color="8B73FF"/>
            </w:tcBorders>
          </w:tcPr>
          <w:p w14:paraId="46FEC67F" w14:textId="71C3DAFE" w:rsidR="00F709B8" w:rsidRPr="00F709B8" w:rsidRDefault="00F709B8" w:rsidP="6A9D9E40">
            <w:pPr>
              <w:jc w:val="center"/>
              <w:rPr>
                <w:noProof/>
                <w:sz w:val="18"/>
                <w:szCs w:val="18"/>
              </w:rPr>
            </w:pPr>
            <w:r w:rsidRPr="6A9D9E40">
              <w:rPr>
                <w:noProof/>
                <w:sz w:val="18"/>
                <w:szCs w:val="18"/>
              </w:rPr>
              <w:t>75.0%</w:t>
            </w:r>
          </w:p>
        </w:tc>
        <w:tc>
          <w:tcPr>
            <w:tcW w:w="677" w:type="dxa"/>
            <w:tcBorders>
              <w:top w:val="single" w:sz="4" w:space="0" w:color="8B73FF"/>
              <w:left w:val="single" w:sz="4" w:space="0" w:color="8B73FF"/>
              <w:bottom w:val="single" w:sz="4" w:space="0" w:color="8B73FF"/>
              <w:right w:val="single" w:sz="4" w:space="0" w:color="8B73FF"/>
            </w:tcBorders>
          </w:tcPr>
          <w:p w14:paraId="3711DE23" w14:textId="21B5B4CA" w:rsidR="00F709B8" w:rsidRPr="00F709B8" w:rsidRDefault="00F709B8" w:rsidP="6A9D9E40">
            <w:pPr>
              <w:jc w:val="center"/>
              <w:rPr>
                <w:noProof/>
                <w:sz w:val="18"/>
                <w:szCs w:val="18"/>
              </w:rPr>
            </w:pPr>
            <w:r w:rsidRPr="6A9D9E40">
              <w:rPr>
                <w:noProof/>
                <w:sz w:val="18"/>
                <w:szCs w:val="18"/>
              </w:rPr>
              <w:t>75%</w:t>
            </w:r>
          </w:p>
        </w:tc>
      </w:tr>
      <w:tr w:rsidR="00F709B8" w:rsidRPr="007C0C4B" w14:paraId="71E61972"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0DE9780"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Artificial Intelligence</w:t>
            </w:r>
          </w:p>
        </w:tc>
        <w:tc>
          <w:tcPr>
            <w:tcW w:w="813" w:type="dxa"/>
            <w:tcBorders>
              <w:top w:val="single" w:sz="4" w:space="0" w:color="8B73FF"/>
              <w:left w:val="single" w:sz="4" w:space="0" w:color="8B73FF"/>
              <w:bottom w:val="single" w:sz="4" w:space="0" w:color="8B73FF"/>
              <w:right w:val="single" w:sz="4" w:space="0" w:color="8B73FF"/>
            </w:tcBorders>
          </w:tcPr>
          <w:p w14:paraId="6666D1CE" w14:textId="494431C1" w:rsidR="00F709B8" w:rsidRPr="00F709B8" w:rsidRDefault="00F709B8" w:rsidP="6A9D9E40">
            <w:pPr>
              <w:jc w:val="center"/>
              <w:rPr>
                <w:noProof/>
                <w:sz w:val="18"/>
                <w:szCs w:val="18"/>
              </w:rPr>
            </w:pPr>
            <w:r w:rsidRPr="6A9D9E40">
              <w:rPr>
                <w:noProof/>
                <w:sz w:val="18"/>
                <w:szCs w:val="18"/>
              </w:rPr>
              <w:t>8.8%</w:t>
            </w:r>
          </w:p>
        </w:tc>
        <w:tc>
          <w:tcPr>
            <w:tcW w:w="1106" w:type="dxa"/>
            <w:tcBorders>
              <w:top w:val="single" w:sz="4" w:space="0" w:color="8B73FF"/>
              <w:left w:val="single" w:sz="4" w:space="0" w:color="8B73FF"/>
              <w:bottom w:val="single" w:sz="4" w:space="0" w:color="8B73FF"/>
              <w:right w:val="single" w:sz="4" w:space="0" w:color="8B73FF"/>
            </w:tcBorders>
          </w:tcPr>
          <w:p w14:paraId="118BB08B" w14:textId="199B7498" w:rsidR="00F709B8" w:rsidRPr="00F709B8" w:rsidRDefault="00F709B8" w:rsidP="6A9D9E40">
            <w:pPr>
              <w:jc w:val="center"/>
              <w:rPr>
                <w:noProof/>
                <w:sz w:val="18"/>
                <w:szCs w:val="18"/>
              </w:rPr>
            </w:pPr>
            <w:r w:rsidRPr="6A9D9E40">
              <w:rPr>
                <w:noProof/>
                <w:sz w:val="18"/>
                <w:szCs w:val="18"/>
              </w:rPr>
              <w:t>21.3%</w:t>
            </w:r>
          </w:p>
        </w:tc>
        <w:tc>
          <w:tcPr>
            <w:tcW w:w="786" w:type="dxa"/>
            <w:tcBorders>
              <w:top w:val="single" w:sz="4" w:space="0" w:color="8B73FF"/>
              <w:left w:val="single" w:sz="4" w:space="0" w:color="8B73FF"/>
              <w:bottom w:val="single" w:sz="4" w:space="0" w:color="8B73FF"/>
              <w:right w:val="single" w:sz="4" w:space="0" w:color="8B73FF"/>
            </w:tcBorders>
          </w:tcPr>
          <w:p w14:paraId="37007CC5" w14:textId="260FAD64" w:rsidR="00F709B8" w:rsidRPr="00F709B8" w:rsidRDefault="00F709B8" w:rsidP="6A9D9E40">
            <w:pPr>
              <w:jc w:val="center"/>
              <w:rPr>
                <w:noProof/>
                <w:sz w:val="18"/>
                <w:szCs w:val="18"/>
              </w:rPr>
            </w:pPr>
            <w:r w:rsidRPr="6A9D9E40">
              <w:rPr>
                <w:noProof/>
                <w:sz w:val="18"/>
                <w:szCs w:val="18"/>
              </w:rPr>
              <w:t>143.2%</w:t>
            </w:r>
          </w:p>
        </w:tc>
        <w:tc>
          <w:tcPr>
            <w:tcW w:w="870" w:type="dxa"/>
            <w:tcBorders>
              <w:top w:val="single" w:sz="4" w:space="0" w:color="8B73FF"/>
              <w:left w:val="single" w:sz="4" w:space="0" w:color="8B73FF"/>
              <w:bottom w:val="single" w:sz="4" w:space="0" w:color="8B73FF"/>
              <w:right w:val="single" w:sz="4" w:space="0" w:color="8B73FF"/>
            </w:tcBorders>
          </w:tcPr>
          <w:p w14:paraId="28BF54DB" w14:textId="1B2776E3"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19.0% </w:t>
            </w:r>
          </w:p>
        </w:tc>
        <w:tc>
          <w:tcPr>
            <w:tcW w:w="922" w:type="dxa"/>
            <w:gridSpan w:val="2"/>
            <w:tcBorders>
              <w:top w:val="single" w:sz="4" w:space="0" w:color="8B73FF"/>
              <w:left w:val="single" w:sz="4" w:space="0" w:color="8B73FF"/>
              <w:bottom w:val="single" w:sz="4" w:space="0" w:color="8B73FF"/>
              <w:right w:val="single" w:sz="4" w:space="0" w:color="8B73FF"/>
            </w:tcBorders>
          </w:tcPr>
          <w:p w14:paraId="4F270D61" w14:textId="68C34C57" w:rsidR="00F709B8" w:rsidRPr="00F709B8" w:rsidRDefault="00F709B8" w:rsidP="6A9D9E40">
            <w:pPr>
              <w:jc w:val="center"/>
              <w:rPr>
                <w:noProof/>
                <w:sz w:val="18"/>
                <w:szCs w:val="18"/>
              </w:rPr>
            </w:pPr>
            <w:r w:rsidRPr="6A9D9E40">
              <w:rPr>
                <w:noProof/>
                <w:sz w:val="18"/>
                <w:szCs w:val="18"/>
              </w:rPr>
              <w:t>20.0%</w:t>
            </w:r>
          </w:p>
        </w:tc>
        <w:tc>
          <w:tcPr>
            <w:tcW w:w="786" w:type="dxa"/>
            <w:tcBorders>
              <w:top w:val="single" w:sz="4" w:space="0" w:color="8B73FF"/>
              <w:left w:val="single" w:sz="4" w:space="0" w:color="8B73FF"/>
              <w:bottom w:val="single" w:sz="4" w:space="0" w:color="8B73FF"/>
              <w:right w:val="single" w:sz="4" w:space="0" w:color="8B73FF"/>
            </w:tcBorders>
          </w:tcPr>
          <w:p w14:paraId="28392871" w14:textId="7410D763" w:rsidR="00F709B8" w:rsidRPr="00F709B8" w:rsidRDefault="00F709B8" w:rsidP="6A9D9E40">
            <w:pPr>
              <w:jc w:val="center"/>
              <w:rPr>
                <w:noProof/>
                <w:sz w:val="18"/>
                <w:szCs w:val="18"/>
              </w:rPr>
            </w:pPr>
            <w:r w:rsidRPr="6A9D9E40">
              <w:rPr>
                <w:noProof/>
                <w:sz w:val="18"/>
                <w:szCs w:val="18"/>
              </w:rPr>
              <w:t>48.0%</w:t>
            </w:r>
          </w:p>
        </w:tc>
        <w:tc>
          <w:tcPr>
            <w:tcW w:w="895" w:type="dxa"/>
            <w:gridSpan w:val="2"/>
            <w:tcBorders>
              <w:top w:val="single" w:sz="4" w:space="0" w:color="8B73FF"/>
              <w:left w:val="single" w:sz="4" w:space="0" w:color="8B73FF"/>
              <w:bottom w:val="single" w:sz="4" w:space="0" w:color="8B73FF"/>
              <w:right w:val="single" w:sz="4" w:space="0" w:color="8B73FF"/>
            </w:tcBorders>
          </w:tcPr>
          <w:p w14:paraId="33D1479A" w14:textId="0E359864" w:rsidR="00F709B8" w:rsidRPr="00F709B8" w:rsidRDefault="00F709B8" w:rsidP="6A9D9E40">
            <w:pPr>
              <w:jc w:val="center"/>
              <w:rPr>
                <w:noProof/>
                <w:sz w:val="18"/>
                <w:szCs w:val="18"/>
              </w:rPr>
            </w:pPr>
            <w:r w:rsidRPr="6A9D9E40">
              <w:rPr>
                <w:noProof/>
                <w:sz w:val="18"/>
                <w:szCs w:val="18"/>
              </w:rPr>
              <w:t>75.0%</w:t>
            </w:r>
          </w:p>
        </w:tc>
        <w:tc>
          <w:tcPr>
            <w:tcW w:w="677" w:type="dxa"/>
            <w:tcBorders>
              <w:top w:val="single" w:sz="4" w:space="0" w:color="8B73FF"/>
              <w:left w:val="single" w:sz="4" w:space="0" w:color="8B73FF"/>
              <w:bottom w:val="single" w:sz="4" w:space="0" w:color="8B73FF"/>
              <w:right w:val="single" w:sz="4" w:space="0" w:color="8B73FF"/>
            </w:tcBorders>
          </w:tcPr>
          <w:p w14:paraId="7EB49C88" w14:textId="308686C3" w:rsidR="00F709B8" w:rsidRPr="00F709B8" w:rsidRDefault="00F709B8" w:rsidP="6A9D9E40">
            <w:pPr>
              <w:jc w:val="center"/>
              <w:rPr>
                <w:noProof/>
                <w:sz w:val="18"/>
                <w:szCs w:val="18"/>
              </w:rPr>
            </w:pPr>
            <w:r w:rsidRPr="6A9D9E40">
              <w:rPr>
                <w:noProof/>
                <w:sz w:val="18"/>
                <w:szCs w:val="18"/>
              </w:rPr>
              <w:t>75%</w:t>
            </w:r>
          </w:p>
        </w:tc>
      </w:tr>
      <w:tr w:rsidR="00F709B8" w:rsidRPr="007C0C4B" w14:paraId="79739510"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6B16FD"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Data analytics *</w:t>
            </w:r>
          </w:p>
        </w:tc>
        <w:tc>
          <w:tcPr>
            <w:tcW w:w="813" w:type="dxa"/>
            <w:tcBorders>
              <w:top w:val="single" w:sz="4" w:space="0" w:color="8B73FF"/>
              <w:left w:val="single" w:sz="4" w:space="0" w:color="8B73FF"/>
              <w:bottom w:val="single" w:sz="4" w:space="0" w:color="8B73FF"/>
              <w:right w:val="single" w:sz="4" w:space="0" w:color="8B73FF"/>
            </w:tcBorders>
          </w:tcPr>
          <w:p w14:paraId="5E5DA307" w14:textId="18D470FC" w:rsidR="00F709B8" w:rsidRPr="00F709B8" w:rsidRDefault="00F709B8" w:rsidP="6A9D9E40">
            <w:pPr>
              <w:jc w:val="center"/>
              <w:rPr>
                <w:noProof/>
                <w:sz w:val="18"/>
                <w:szCs w:val="18"/>
              </w:rPr>
            </w:pPr>
            <w:r w:rsidRPr="6A9D9E40">
              <w:rPr>
                <w:noProof/>
                <w:sz w:val="18"/>
                <w:szCs w:val="18"/>
              </w:rPr>
              <w:t>40.5%</w:t>
            </w:r>
          </w:p>
        </w:tc>
        <w:tc>
          <w:tcPr>
            <w:tcW w:w="1106" w:type="dxa"/>
            <w:tcBorders>
              <w:top w:val="single" w:sz="4" w:space="0" w:color="8B73FF"/>
              <w:left w:val="single" w:sz="4" w:space="0" w:color="8B73FF"/>
              <w:bottom w:val="single" w:sz="4" w:space="0" w:color="8B73FF"/>
              <w:right w:val="single" w:sz="4" w:space="0" w:color="8B73FF"/>
            </w:tcBorders>
          </w:tcPr>
          <w:p w14:paraId="49442972" w14:textId="631819DA" w:rsidR="00F709B8" w:rsidRPr="00F709B8" w:rsidRDefault="00F709B8" w:rsidP="6A9D9E40">
            <w:pPr>
              <w:jc w:val="center"/>
              <w:rPr>
                <w:noProof/>
                <w:sz w:val="18"/>
                <w:szCs w:val="18"/>
              </w:rPr>
            </w:pPr>
            <w:r w:rsidRPr="6A9D9E40">
              <w:rPr>
                <w:noProof/>
                <w:sz w:val="18"/>
                <w:szCs w:val="18"/>
              </w:rPr>
              <w:t>54.1%</w:t>
            </w:r>
          </w:p>
        </w:tc>
        <w:tc>
          <w:tcPr>
            <w:tcW w:w="786" w:type="dxa"/>
            <w:tcBorders>
              <w:top w:val="single" w:sz="4" w:space="0" w:color="8B73FF"/>
              <w:left w:val="single" w:sz="4" w:space="0" w:color="8B73FF"/>
              <w:bottom w:val="single" w:sz="4" w:space="0" w:color="8B73FF"/>
              <w:right w:val="single" w:sz="4" w:space="0" w:color="8B73FF"/>
            </w:tcBorders>
          </w:tcPr>
          <w:p w14:paraId="56F6D573" w14:textId="0116FF00" w:rsidR="00F709B8" w:rsidRPr="00F709B8" w:rsidRDefault="00F709B8" w:rsidP="6A9D9E40">
            <w:pPr>
              <w:jc w:val="center"/>
              <w:rPr>
                <w:noProof/>
                <w:sz w:val="18"/>
                <w:szCs w:val="18"/>
              </w:rPr>
            </w:pPr>
            <w:r w:rsidRPr="6A9D9E40">
              <w:rPr>
                <w:noProof/>
                <w:sz w:val="18"/>
                <w:szCs w:val="18"/>
              </w:rPr>
              <w:t>15.5%</w:t>
            </w:r>
          </w:p>
        </w:tc>
        <w:tc>
          <w:tcPr>
            <w:tcW w:w="870" w:type="dxa"/>
            <w:tcBorders>
              <w:top w:val="single" w:sz="4" w:space="0" w:color="8B73FF"/>
              <w:left w:val="single" w:sz="4" w:space="0" w:color="8B73FF"/>
              <w:bottom w:val="single" w:sz="4" w:space="0" w:color="8B73FF"/>
              <w:right w:val="single" w:sz="4" w:space="0" w:color="8B73FF"/>
            </w:tcBorders>
          </w:tcPr>
          <w:p w14:paraId="56679137" w14:textId="64F056E6"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24.0% </w:t>
            </w:r>
          </w:p>
        </w:tc>
        <w:tc>
          <w:tcPr>
            <w:tcW w:w="922" w:type="dxa"/>
            <w:gridSpan w:val="2"/>
            <w:tcBorders>
              <w:top w:val="single" w:sz="4" w:space="0" w:color="8B73FF"/>
              <w:left w:val="single" w:sz="4" w:space="0" w:color="8B73FF"/>
              <w:bottom w:val="single" w:sz="4" w:space="0" w:color="8B73FF"/>
              <w:right w:val="single" w:sz="4" w:space="0" w:color="8B73FF"/>
            </w:tcBorders>
          </w:tcPr>
          <w:p w14:paraId="5E3ACF28" w14:textId="610A27BC" w:rsidR="00F709B8" w:rsidRPr="00F709B8" w:rsidRDefault="00F709B8" w:rsidP="6A9D9E40">
            <w:pPr>
              <w:jc w:val="center"/>
              <w:rPr>
                <w:noProof/>
                <w:sz w:val="18"/>
                <w:szCs w:val="18"/>
              </w:rPr>
            </w:pPr>
            <w:r w:rsidRPr="6A9D9E40">
              <w:rPr>
                <w:noProof/>
                <w:sz w:val="18"/>
                <w:szCs w:val="18"/>
              </w:rPr>
              <w:t>39.9%</w:t>
            </w:r>
          </w:p>
        </w:tc>
        <w:tc>
          <w:tcPr>
            <w:tcW w:w="786" w:type="dxa"/>
            <w:tcBorders>
              <w:top w:val="single" w:sz="4" w:space="0" w:color="8B73FF"/>
              <w:left w:val="single" w:sz="4" w:space="0" w:color="8B73FF"/>
              <w:bottom w:val="single" w:sz="4" w:space="0" w:color="8B73FF"/>
              <w:right w:val="single" w:sz="4" w:space="0" w:color="8B73FF"/>
            </w:tcBorders>
          </w:tcPr>
          <w:p w14:paraId="112A2C1E" w14:textId="596FD413" w:rsidR="00F709B8" w:rsidRPr="00F709B8" w:rsidRDefault="00F709B8" w:rsidP="6A9D9E40">
            <w:pPr>
              <w:jc w:val="center"/>
              <w:rPr>
                <w:noProof/>
                <w:sz w:val="18"/>
                <w:szCs w:val="18"/>
              </w:rPr>
            </w:pPr>
            <w:r w:rsidRPr="6A9D9E40">
              <w:rPr>
                <w:noProof/>
                <w:sz w:val="18"/>
                <w:szCs w:val="18"/>
              </w:rPr>
              <w:t>9.5%</w:t>
            </w:r>
          </w:p>
        </w:tc>
        <w:tc>
          <w:tcPr>
            <w:tcW w:w="895" w:type="dxa"/>
            <w:gridSpan w:val="2"/>
            <w:tcBorders>
              <w:top w:val="single" w:sz="4" w:space="0" w:color="8B73FF"/>
              <w:left w:val="single" w:sz="4" w:space="0" w:color="8B73FF"/>
              <w:bottom w:val="single" w:sz="4" w:space="0" w:color="8B73FF"/>
              <w:right w:val="single" w:sz="4" w:space="0" w:color="8B73FF"/>
            </w:tcBorders>
          </w:tcPr>
          <w:p w14:paraId="19EB34AC" w14:textId="3A1017E2" w:rsidR="00F709B8" w:rsidRPr="00F709B8" w:rsidRDefault="00F709B8" w:rsidP="6A9D9E40">
            <w:pPr>
              <w:jc w:val="center"/>
              <w:rPr>
                <w:noProof/>
                <w:sz w:val="18"/>
                <w:szCs w:val="18"/>
              </w:rPr>
            </w:pPr>
            <w:r w:rsidRPr="6A9D9E40">
              <w:rPr>
                <w:noProof/>
                <w:sz w:val="18"/>
                <w:szCs w:val="18"/>
              </w:rPr>
              <w:t>75.0%</w:t>
            </w:r>
          </w:p>
        </w:tc>
        <w:tc>
          <w:tcPr>
            <w:tcW w:w="677" w:type="dxa"/>
            <w:tcBorders>
              <w:top w:val="single" w:sz="4" w:space="0" w:color="8B73FF"/>
              <w:left w:val="single" w:sz="4" w:space="0" w:color="8B73FF"/>
              <w:bottom w:val="single" w:sz="4" w:space="0" w:color="8B73FF"/>
              <w:right w:val="single" w:sz="4" w:space="0" w:color="8B73FF"/>
            </w:tcBorders>
          </w:tcPr>
          <w:p w14:paraId="6F505FAE" w14:textId="0B12F7AD" w:rsidR="00F709B8" w:rsidRPr="00F709B8" w:rsidRDefault="00F709B8" w:rsidP="6A9D9E40">
            <w:pPr>
              <w:jc w:val="center"/>
              <w:rPr>
                <w:noProof/>
                <w:sz w:val="18"/>
                <w:szCs w:val="18"/>
              </w:rPr>
            </w:pPr>
            <w:r w:rsidRPr="6A9D9E40">
              <w:rPr>
                <w:noProof/>
                <w:sz w:val="18"/>
                <w:szCs w:val="18"/>
              </w:rPr>
              <w:t>75%</w:t>
            </w:r>
          </w:p>
        </w:tc>
      </w:tr>
      <w:tr w:rsidR="00F709B8" w:rsidRPr="007C0C4B" w14:paraId="745F0A79"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22A7495"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AI or Cloud or Data analytics *</w:t>
            </w:r>
          </w:p>
        </w:tc>
        <w:tc>
          <w:tcPr>
            <w:tcW w:w="813" w:type="dxa"/>
            <w:tcBorders>
              <w:top w:val="single" w:sz="4" w:space="0" w:color="8B73FF"/>
              <w:left w:val="single" w:sz="4" w:space="0" w:color="8B73FF"/>
              <w:bottom w:val="single" w:sz="4" w:space="0" w:color="8B73FF"/>
              <w:right w:val="single" w:sz="4" w:space="0" w:color="8B73FF"/>
            </w:tcBorders>
          </w:tcPr>
          <w:p w14:paraId="11C75604" w14:textId="2D65A4BE" w:rsidR="00F709B8" w:rsidRPr="00F709B8" w:rsidRDefault="00F709B8" w:rsidP="6A9D9E40">
            <w:pPr>
              <w:jc w:val="center"/>
              <w:rPr>
                <w:noProof/>
                <w:sz w:val="18"/>
                <w:szCs w:val="18"/>
              </w:rPr>
            </w:pPr>
            <w:r w:rsidRPr="6A9D9E40">
              <w:rPr>
                <w:noProof/>
                <w:sz w:val="18"/>
                <w:szCs w:val="18"/>
              </w:rPr>
              <w:t>53.5%</w:t>
            </w:r>
          </w:p>
        </w:tc>
        <w:tc>
          <w:tcPr>
            <w:tcW w:w="1106" w:type="dxa"/>
            <w:tcBorders>
              <w:top w:val="single" w:sz="4" w:space="0" w:color="8B73FF"/>
              <w:left w:val="single" w:sz="4" w:space="0" w:color="8B73FF"/>
              <w:bottom w:val="single" w:sz="4" w:space="0" w:color="8B73FF"/>
              <w:right w:val="single" w:sz="4" w:space="0" w:color="8B73FF"/>
            </w:tcBorders>
          </w:tcPr>
          <w:p w14:paraId="273BA1C9" w14:textId="238C9CFF" w:rsidR="00F709B8" w:rsidRPr="00F709B8" w:rsidRDefault="00F709B8" w:rsidP="6A9D9E40">
            <w:pPr>
              <w:jc w:val="center"/>
              <w:rPr>
                <w:noProof/>
                <w:sz w:val="18"/>
                <w:szCs w:val="18"/>
              </w:rPr>
            </w:pPr>
            <w:r w:rsidRPr="6A9D9E40">
              <w:rPr>
                <w:noProof/>
                <w:sz w:val="18"/>
                <w:szCs w:val="18"/>
              </w:rPr>
              <w:t>71.4%</w:t>
            </w:r>
          </w:p>
        </w:tc>
        <w:tc>
          <w:tcPr>
            <w:tcW w:w="786" w:type="dxa"/>
            <w:tcBorders>
              <w:top w:val="single" w:sz="4" w:space="0" w:color="8B73FF"/>
              <w:left w:val="single" w:sz="4" w:space="0" w:color="8B73FF"/>
              <w:bottom w:val="single" w:sz="4" w:space="0" w:color="8B73FF"/>
              <w:right w:val="single" w:sz="4" w:space="0" w:color="8B73FF"/>
            </w:tcBorders>
          </w:tcPr>
          <w:p w14:paraId="35BA56B0" w14:textId="2C4B3541" w:rsidR="00F709B8" w:rsidRPr="00F709B8" w:rsidRDefault="00F709B8" w:rsidP="6A9D9E40">
            <w:pPr>
              <w:jc w:val="center"/>
              <w:rPr>
                <w:noProof/>
                <w:sz w:val="18"/>
                <w:szCs w:val="18"/>
              </w:rPr>
            </w:pPr>
            <w:r w:rsidRPr="6A9D9E40">
              <w:rPr>
                <w:noProof/>
                <w:sz w:val="18"/>
                <w:szCs w:val="18"/>
              </w:rPr>
              <w:t>15.5%</w:t>
            </w:r>
          </w:p>
        </w:tc>
        <w:tc>
          <w:tcPr>
            <w:tcW w:w="870" w:type="dxa"/>
            <w:tcBorders>
              <w:top w:val="single" w:sz="4" w:space="0" w:color="8B73FF"/>
              <w:left w:val="single" w:sz="4" w:space="0" w:color="8B73FF"/>
              <w:bottom w:val="single" w:sz="4" w:space="0" w:color="8B73FF"/>
              <w:right w:val="single" w:sz="4" w:space="0" w:color="8B73FF"/>
            </w:tcBorders>
          </w:tcPr>
          <w:p w14:paraId="489C8065" w14:textId="22FC420F"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 </w:t>
            </w:r>
          </w:p>
        </w:tc>
        <w:tc>
          <w:tcPr>
            <w:tcW w:w="922" w:type="dxa"/>
            <w:gridSpan w:val="2"/>
            <w:tcBorders>
              <w:top w:val="single" w:sz="4" w:space="0" w:color="8B73FF"/>
              <w:left w:val="single" w:sz="4" w:space="0" w:color="8B73FF"/>
              <w:bottom w:val="single" w:sz="4" w:space="0" w:color="8B73FF"/>
              <w:right w:val="single" w:sz="4" w:space="0" w:color="8B73FF"/>
            </w:tcBorders>
          </w:tcPr>
          <w:p w14:paraId="36F67018" w14:textId="1D0032FE" w:rsidR="00F709B8" w:rsidRPr="00F709B8" w:rsidRDefault="00F709B8" w:rsidP="6A9D9E40">
            <w:pPr>
              <w:jc w:val="center"/>
              <w:rPr>
                <w:noProof/>
                <w:sz w:val="18"/>
                <w:szCs w:val="18"/>
              </w:rPr>
            </w:pPr>
            <w:r w:rsidRPr="6A9D9E40">
              <w:rPr>
                <w:noProof/>
                <w:sz w:val="18"/>
                <w:szCs w:val="18"/>
              </w:rPr>
              <w:t>63.2%</w:t>
            </w:r>
          </w:p>
        </w:tc>
        <w:tc>
          <w:tcPr>
            <w:tcW w:w="786" w:type="dxa"/>
            <w:tcBorders>
              <w:top w:val="single" w:sz="4" w:space="0" w:color="8B73FF"/>
              <w:left w:val="single" w:sz="4" w:space="0" w:color="8B73FF"/>
              <w:bottom w:val="single" w:sz="4" w:space="0" w:color="8B73FF"/>
              <w:right w:val="single" w:sz="4" w:space="0" w:color="8B73FF"/>
            </w:tcBorders>
          </w:tcPr>
          <w:p w14:paraId="2737148C" w14:textId="400A947D" w:rsidR="00F709B8" w:rsidRPr="00F709B8" w:rsidRDefault="00F709B8" w:rsidP="6A9D9E40">
            <w:pPr>
              <w:jc w:val="center"/>
              <w:rPr>
                <w:noProof/>
                <w:sz w:val="18"/>
                <w:szCs w:val="18"/>
              </w:rPr>
            </w:pPr>
            <w:r w:rsidRPr="6A9D9E40">
              <w:rPr>
                <w:noProof/>
                <w:sz w:val="18"/>
                <w:szCs w:val="18"/>
              </w:rPr>
              <w:t>7.5%</w:t>
            </w:r>
          </w:p>
        </w:tc>
        <w:tc>
          <w:tcPr>
            <w:tcW w:w="895" w:type="dxa"/>
            <w:gridSpan w:val="2"/>
            <w:tcBorders>
              <w:top w:val="single" w:sz="4" w:space="0" w:color="8B73FF"/>
              <w:left w:val="single" w:sz="4" w:space="0" w:color="8B73FF"/>
              <w:bottom w:val="single" w:sz="4" w:space="0" w:color="8B73FF"/>
              <w:right w:val="single" w:sz="4" w:space="0" w:color="8B73FF"/>
            </w:tcBorders>
          </w:tcPr>
          <w:p w14:paraId="071C11CF" w14:textId="28038C26" w:rsidR="00F709B8" w:rsidRPr="00F709B8" w:rsidRDefault="00F709B8" w:rsidP="6A9D9E40">
            <w:pPr>
              <w:jc w:val="center"/>
              <w:rPr>
                <w:noProof/>
                <w:sz w:val="18"/>
                <w:szCs w:val="18"/>
              </w:rPr>
            </w:pPr>
            <w:r w:rsidRPr="6A9D9E40">
              <w:rPr>
                <w:noProof/>
                <w:sz w:val="18"/>
                <w:szCs w:val="18"/>
              </w:rPr>
              <w:t>-</w:t>
            </w:r>
          </w:p>
        </w:tc>
        <w:tc>
          <w:tcPr>
            <w:tcW w:w="677" w:type="dxa"/>
            <w:tcBorders>
              <w:top w:val="single" w:sz="4" w:space="0" w:color="8B73FF"/>
              <w:left w:val="single" w:sz="4" w:space="0" w:color="8B73FF"/>
              <w:bottom w:val="single" w:sz="4" w:space="0" w:color="8B73FF"/>
              <w:right w:val="single" w:sz="4" w:space="0" w:color="8B73FF"/>
            </w:tcBorders>
          </w:tcPr>
          <w:p w14:paraId="5AE3E899" w14:textId="2D89838C" w:rsidR="00F709B8" w:rsidRPr="00F709B8" w:rsidRDefault="00F709B8" w:rsidP="6A9D9E40">
            <w:pPr>
              <w:jc w:val="center"/>
              <w:rPr>
                <w:noProof/>
                <w:sz w:val="18"/>
                <w:szCs w:val="18"/>
              </w:rPr>
            </w:pPr>
            <w:r w:rsidRPr="6A9D9E40">
              <w:rPr>
                <w:noProof/>
                <w:sz w:val="18"/>
                <w:szCs w:val="18"/>
              </w:rPr>
              <w:t>75%</w:t>
            </w:r>
          </w:p>
        </w:tc>
      </w:tr>
      <w:tr w:rsidR="00F709B8" w:rsidRPr="007C0C4B" w14:paraId="65D7B405"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D21BC70"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Unicorns</w:t>
            </w:r>
          </w:p>
        </w:tc>
        <w:tc>
          <w:tcPr>
            <w:tcW w:w="813" w:type="dxa"/>
            <w:tcBorders>
              <w:top w:val="single" w:sz="4" w:space="0" w:color="8B73FF"/>
              <w:left w:val="single" w:sz="4" w:space="0" w:color="8B73FF"/>
              <w:bottom w:val="single" w:sz="4" w:space="0" w:color="8B73FF"/>
              <w:right w:val="single" w:sz="4" w:space="0" w:color="8B73FF"/>
            </w:tcBorders>
          </w:tcPr>
          <w:p w14:paraId="124717E4" w14:textId="7E0BD58B" w:rsidR="00F709B8" w:rsidRPr="00F709B8" w:rsidRDefault="00F709B8" w:rsidP="6A9D9E40">
            <w:pPr>
              <w:jc w:val="center"/>
              <w:rPr>
                <w:noProof/>
                <w:sz w:val="18"/>
                <w:szCs w:val="18"/>
              </w:rPr>
            </w:pPr>
            <w:r w:rsidRPr="6A9D9E40">
              <w:rPr>
                <w:noProof/>
                <w:sz w:val="18"/>
                <w:szCs w:val="18"/>
              </w:rPr>
              <w:t>3</w:t>
            </w:r>
          </w:p>
        </w:tc>
        <w:tc>
          <w:tcPr>
            <w:tcW w:w="1106" w:type="dxa"/>
            <w:tcBorders>
              <w:top w:val="single" w:sz="4" w:space="0" w:color="8B73FF"/>
              <w:left w:val="single" w:sz="4" w:space="0" w:color="8B73FF"/>
              <w:bottom w:val="single" w:sz="4" w:space="0" w:color="8B73FF"/>
              <w:right w:val="single" w:sz="4" w:space="0" w:color="8B73FF"/>
            </w:tcBorders>
          </w:tcPr>
          <w:p w14:paraId="4C6C3B67" w14:textId="1960F231" w:rsidR="00F709B8" w:rsidRPr="00F709B8" w:rsidRDefault="00F709B8" w:rsidP="6A9D9E40">
            <w:pPr>
              <w:jc w:val="center"/>
              <w:rPr>
                <w:noProof/>
                <w:sz w:val="18"/>
                <w:szCs w:val="18"/>
              </w:rPr>
            </w:pPr>
            <w:r w:rsidRPr="6A9D9E40">
              <w:rPr>
                <w:noProof/>
                <w:sz w:val="18"/>
                <w:szCs w:val="18"/>
              </w:rPr>
              <w:t>3</w:t>
            </w:r>
          </w:p>
        </w:tc>
        <w:tc>
          <w:tcPr>
            <w:tcW w:w="786" w:type="dxa"/>
            <w:tcBorders>
              <w:top w:val="single" w:sz="4" w:space="0" w:color="8B73FF"/>
              <w:left w:val="single" w:sz="4" w:space="0" w:color="8B73FF"/>
              <w:bottom w:val="single" w:sz="4" w:space="0" w:color="8B73FF"/>
              <w:right w:val="single" w:sz="4" w:space="0" w:color="8B73FF"/>
            </w:tcBorders>
          </w:tcPr>
          <w:p w14:paraId="6F2FB362" w14:textId="7B8F7685" w:rsidR="00F709B8" w:rsidRPr="00F709B8" w:rsidRDefault="00F709B8" w:rsidP="6A9D9E40">
            <w:pPr>
              <w:jc w:val="center"/>
              <w:rPr>
                <w:noProof/>
                <w:sz w:val="18"/>
                <w:szCs w:val="18"/>
              </w:rPr>
            </w:pPr>
            <w:r w:rsidRPr="6A9D9E40">
              <w:rPr>
                <w:noProof/>
                <w:sz w:val="18"/>
                <w:szCs w:val="18"/>
              </w:rPr>
              <w:t>0.0%</w:t>
            </w:r>
          </w:p>
        </w:tc>
        <w:tc>
          <w:tcPr>
            <w:tcW w:w="870" w:type="dxa"/>
            <w:tcBorders>
              <w:top w:val="single" w:sz="4" w:space="0" w:color="8B73FF"/>
              <w:left w:val="single" w:sz="4" w:space="0" w:color="8B73FF"/>
              <w:bottom w:val="single" w:sz="4" w:space="0" w:color="8B73FF"/>
              <w:right w:val="single" w:sz="4" w:space="0" w:color="8B73FF"/>
            </w:tcBorders>
          </w:tcPr>
          <w:p w14:paraId="1401B60F" w14:textId="4E0AE012"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4 </w:t>
            </w:r>
          </w:p>
        </w:tc>
        <w:tc>
          <w:tcPr>
            <w:tcW w:w="922" w:type="dxa"/>
            <w:gridSpan w:val="2"/>
            <w:tcBorders>
              <w:top w:val="single" w:sz="4" w:space="0" w:color="8B73FF"/>
              <w:left w:val="single" w:sz="4" w:space="0" w:color="8B73FF"/>
              <w:bottom w:val="single" w:sz="4" w:space="0" w:color="8B73FF"/>
              <w:right w:val="single" w:sz="4" w:space="0" w:color="8B73FF"/>
            </w:tcBorders>
          </w:tcPr>
          <w:p w14:paraId="20B20FE1" w14:textId="2C36B9A1" w:rsidR="00F709B8" w:rsidRPr="00F709B8" w:rsidRDefault="00F709B8" w:rsidP="6A9D9E40">
            <w:pPr>
              <w:jc w:val="center"/>
              <w:rPr>
                <w:noProof/>
                <w:sz w:val="18"/>
                <w:szCs w:val="18"/>
              </w:rPr>
            </w:pPr>
            <w:r w:rsidRPr="6A9D9E40">
              <w:rPr>
                <w:noProof/>
                <w:sz w:val="18"/>
                <w:szCs w:val="18"/>
              </w:rPr>
              <w:t>324</w:t>
            </w:r>
          </w:p>
        </w:tc>
        <w:tc>
          <w:tcPr>
            <w:tcW w:w="786" w:type="dxa"/>
            <w:tcBorders>
              <w:top w:val="single" w:sz="4" w:space="0" w:color="8B73FF"/>
              <w:left w:val="single" w:sz="4" w:space="0" w:color="8B73FF"/>
              <w:bottom w:val="single" w:sz="4" w:space="0" w:color="8B73FF"/>
              <w:right w:val="single" w:sz="4" w:space="0" w:color="8B73FF"/>
            </w:tcBorders>
          </w:tcPr>
          <w:p w14:paraId="6A17E794" w14:textId="14D80D3D" w:rsidR="00F709B8" w:rsidRPr="00F709B8" w:rsidRDefault="00F709B8" w:rsidP="6A9D9E40">
            <w:pPr>
              <w:jc w:val="center"/>
              <w:rPr>
                <w:noProof/>
                <w:sz w:val="18"/>
                <w:szCs w:val="18"/>
              </w:rPr>
            </w:pPr>
            <w:r w:rsidRPr="6A9D9E40">
              <w:rPr>
                <w:noProof/>
                <w:sz w:val="18"/>
                <w:szCs w:val="18"/>
              </w:rPr>
              <w:t>10.2%</w:t>
            </w:r>
          </w:p>
        </w:tc>
        <w:tc>
          <w:tcPr>
            <w:tcW w:w="895" w:type="dxa"/>
            <w:gridSpan w:val="2"/>
            <w:tcBorders>
              <w:top w:val="single" w:sz="4" w:space="0" w:color="8B73FF"/>
              <w:left w:val="single" w:sz="4" w:space="0" w:color="8B73FF"/>
              <w:bottom w:val="single" w:sz="4" w:space="0" w:color="8B73FF"/>
              <w:right w:val="single" w:sz="4" w:space="0" w:color="8B73FF"/>
            </w:tcBorders>
          </w:tcPr>
          <w:p w14:paraId="321C057D" w14:textId="457289C5" w:rsidR="00F709B8" w:rsidRPr="00F709B8" w:rsidRDefault="00F709B8" w:rsidP="6A9D9E40">
            <w:pPr>
              <w:jc w:val="center"/>
              <w:rPr>
                <w:noProof/>
                <w:sz w:val="18"/>
                <w:szCs w:val="18"/>
              </w:rPr>
            </w:pPr>
            <w:r w:rsidRPr="6A9D9E40">
              <w:rPr>
                <w:noProof/>
                <w:sz w:val="18"/>
                <w:szCs w:val="18"/>
              </w:rPr>
              <w:t>6</w:t>
            </w:r>
          </w:p>
        </w:tc>
        <w:tc>
          <w:tcPr>
            <w:tcW w:w="677" w:type="dxa"/>
            <w:tcBorders>
              <w:top w:val="single" w:sz="4" w:space="0" w:color="8B73FF"/>
              <w:left w:val="single" w:sz="4" w:space="0" w:color="8B73FF"/>
              <w:bottom w:val="single" w:sz="4" w:space="0" w:color="8B73FF"/>
              <w:right w:val="single" w:sz="4" w:space="0" w:color="8B73FF"/>
            </w:tcBorders>
          </w:tcPr>
          <w:p w14:paraId="780B5563" w14:textId="119650FB" w:rsidR="00F709B8" w:rsidRPr="00F709B8" w:rsidRDefault="00F709B8" w:rsidP="6A9D9E40">
            <w:pPr>
              <w:jc w:val="center"/>
              <w:rPr>
                <w:noProof/>
                <w:sz w:val="18"/>
                <w:szCs w:val="18"/>
              </w:rPr>
            </w:pPr>
            <w:r w:rsidRPr="6A9D9E40">
              <w:rPr>
                <w:noProof/>
                <w:sz w:val="18"/>
                <w:szCs w:val="18"/>
              </w:rPr>
              <w:t>500</w:t>
            </w:r>
          </w:p>
        </w:tc>
      </w:tr>
      <w:tr w:rsidR="00F709B8" w:rsidRPr="007C0C4B" w14:paraId="214BBD75"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F2203CD"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At least basic digital skills *</w:t>
            </w:r>
          </w:p>
        </w:tc>
        <w:tc>
          <w:tcPr>
            <w:tcW w:w="813" w:type="dxa"/>
            <w:tcBorders>
              <w:top w:val="single" w:sz="4" w:space="0" w:color="8B73FF"/>
              <w:left w:val="single" w:sz="4" w:space="0" w:color="8B73FF"/>
              <w:bottom w:val="single" w:sz="4" w:space="0" w:color="8B73FF"/>
              <w:right w:val="single" w:sz="4" w:space="0" w:color="8B73FF"/>
            </w:tcBorders>
          </w:tcPr>
          <w:p w14:paraId="76F89D18" w14:textId="6E08920E" w:rsidR="00F709B8" w:rsidRPr="00F709B8" w:rsidRDefault="00F709B8" w:rsidP="6A9D9E40">
            <w:pPr>
              <w:jc w:val="center"/>
              <w:rPr>
                <w:noProof/>
                <w:sz w:val="18"/>
                <w:szCs w:val="18"/>
              </w:rPr>
            </w:pPr>
            <w:r w:rsidRPr="6A9D9E40">
              <w:rPr>
                <w:noProof/>
                <w:sz w:val="18"/>
                <w:szCs w:val="18"/>
              </w:rPr>
              <w:t>52.9%</w:t>
            </w:r>
          </w:p>
        </w:tc>
        <w:tc>
          <w:tcPr>
            <w:tcW w:w="1106" w:type="dxa"/>
            <w:tcBorders>
              <w:top w:val="single" w:sz="4" w:space="0" w:color="8B73FF"/>
              <w:left w:val="single" w:sz="4" w:space="0" w:color="8B73FF"/>
              <w:bottom w:val="single" w:sz="4" w:space="0" w:color="8B73FF"/>
              <w:right w:val="single" w:sz="4" w:space="0" w:color="8B73FF"/>
            </w:tcBorders>
          </w:tcPr>
          <w:p w14:paraId="3AAFA8D1" w14:textId="4F3134B5" w:rsidR="00F709B8" w:rsidRPr="00F709B8" w:rsidRDefault="00F709B8" w:rsidP="6A9D9E40">
            <w:pPr>
              <w:jc w:val="center"/>
              <w:rPr>
                <w:noProof/>
                <w:sz w:val="18"/>
                <w:szCs w:val="18"/>
              </w:rPr>
            </w:pPr>
            <w:r w:rsidRPr="6A9D9E40">
              <w:rPr>
                <w:noProof/>
                <w:sz w:val="18"/>
                <w:szCs w:val="18"/>
              </w:rPr>
              <w:t>53.8%</w:t>
            </w:r>
          </w:p>
        </w:tc>
        <w:tc>
          <w:tcPr>
            <w:tcW w:w="786" w:type="dxa"/>
            <w:tcBorders>
              <w:top w:val="single" w:sz="4" w:space="0" w:color="8B73FF"/>
              <w:left w:val="single" w:sz="4" w:space="0" w:color="8B73FF"/>
              <w:bottom w:val="single" w:sz="4" w:space="0" w:color="8B73FF"/>
              <w:right w:val="single" w:sz="4" w:space="0" w:color="8B73FF"/>
            </w:tcBorders>
          </w:tcPr>
          <w:p w14:paraId="7FEC2094" w14:textId="3570F8B6" w:rsidR="00F709B8" w:rsidRPr="00F709B8" w:rsidRDefault="00F709B8" w:rsidP="6A9D9E40">
            <w:pPr>
              <w:jc w:val="center"/>
              <w:rPr>
                <w:noProof/>
                <w:sz w:val="18"/>
                <w:szCs w:val="18"/>
              </w:rPr>
            </w:pPr>
            <w:r w:rsidRPr="6A9D9E40">
              <w:rPr>
                <w:noProof/>
                <w:sz w:val="18"/>
                <w:szCs w:val="18"/>
              </w:rPr>
              <w:t>0.8%</w:t>
            </w:r>
          </w:p>
        </w:tc>
        <w:tc>
          <w:tcPr>
            <w:tcW w:w="870" w:type="dxa"/>
            <w:tcBorders>
              <w:top w:val="single" w:sz="4" w:space="0" w:color="8B73FF"/>
              <w:left w:val="single" w:sz="4" w:space="0" w:color="8B73FF"/>
              <w:bottom w:val="single" w:sz="4" w:space="0" w:color="8B73FF"/>
              <w:right w:val="single" w:sz="4" w:space="0" w:color="8B73FF"/>
            </w:tcBorders>
          </w:tcPr>
          <w:p w14:paraId="20AAD8FC" w14:textId="4E7D8DF7"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67.0% </w:t>
            </w:r>
          </w:p>
        </w:tc>
        <w:tc>
          <w:tcPr>
            <w:tcW w:w="922" w:type="dxa"/>
            <w:gridSpan w:val="2"/>
            <w:tcBorders>
              <w:top w:val="single" w:sz="4" w:space="0" w:color="8B73FF"/>
              <w:left w:val="single" w:sz="4" w:space="0" w:color="8B73FF"/>
              <w:bottom w:val="single" w:sz="4" w:space="0" w:color="8B73FF"/>
              <w:right w:val="single" w:sz="4" w:space="0" w:color="8B73FF"/>
            </w:tcBorders>
          </w:tcPr>
          <w:p w14:paraId="555301E7" w14:textId="68644914" w:rsidR="00F709B8" w:rsidRPr="00F709B8" w:rsidRDefault="00F709B8" w:rsidP="6A9D9E40">
            <w:pPr>
              <w:jc w:val="center"/>
              <w:rPr>
                <w:noProof/>
                <w:sz w:val="18"/>
                <w:szCs w:val="18"/>
              </w:rPr>
            </w:pPr>
            <w:r w:rsidRPr="6A9D9E40">
              <w:rPr>
                <w:noProof/>
                <w:sz w:val="18"/>
                <w:szCs w:val="18"/>
              </w:rPr>
              <w:t>60.4%</w:t>
            </w:r>
          </w:p>
        </w:tc>
        <w:tc>
          <w:tcPr>
            <w:tcW w:w="786" w:type="dxa"/>
            <w:tcBorders>
              <w:top w:val="single" w:sz="4" w:space="0" w:color="8B73FF"/>
              <w:left w:val="single" w:sz="4" w:space="0" w:color="8B73FF"/>
              <w:bottom w:val="single" w:sz="4" w:space="0" w:color="8B73FF"/>
              <w:right w:val="single" w:sz="4" w:space="0" w:color="8B73FF"/>
            </w:tcBorders>
          </w:tcPr>
          <w:p w14:paraId="6C7CEA42" w14:textId="4568386A" w:rsidR="00F709B8" w:rsidRPr="00F709B8" w:rsidRDefault="00F709B8" w:rsidP="6A9D9E40">
            <w:pPr>
              <w:jc w:val="center"/>
              <w:rPr>
                <w:noProof/>
                <w:sz w:val="18"/>
                <w:szCs w:val="18"/>
              </w:rPr>
            </w:pPr>
            <w:r w:rsidRPr="6A9D9E40">
              <w:rPr>
                <w:noProof/>
                <w:sz w:val="18"/>
                <w:szCs w:val="18"/>
              </w:rPr>
              <w:t>4.3%</w:t>
            </w:r>
          </w:p>
        </w:tc>
        <w:tc>
          <w:tcPr>
            <w:tcW w:w="895" w:type="dxa"/>
            <w:gridSpan w:val="2"/>
            <w:tcBorders>
              <w:top w:val="single" w:sz="4" w:space="0" w:color="8B73FF"/>
              <w:left w:val="single" w:sz="4" w:space="0" w:color="8B73FF"/>
              <w:bottom w:val="single" w:sz="4" w:space="0" w:color="8B73FF"/>
              <w:right w:val="single" w:sz="4" w:space="0" w:color="8B73FF"/>
            </w:tcBorders>
          </w:tcPr>
          <w:p w14:paraId="0F33E309" w14:textId="71DD7DA5" w:rsidR="00F709B8" w:rsidRPr="00F709B8" w:rsidRDefault="00F709B8" w:rsidP="6A9D9E40">
            <w:pPr>
              <w:jc w:val="center"/>
              <w:rPr>
                <w:noProof/>
                <w:sz w:val="18"/>
                <w:szCs w:val="18"/>
              </w:rPr>
            </w:pPr>
            <w:r w:rsidRPr="6A9D9E40">
              <w:rPr>
                <w:noProof/>
                <w:sz w:val="18"/>
                <w:szCs w:val="18"/>
              </w:rPr>
              <w:t>80.0%</w:t>
            </w:r>
          </w:p>
        </w:tc>
        <w:tc>
          <w:tcPr>
            <w:tcW w:w="677" w:type="dxa"/>
            <w:tcBorders>
              <w:top w:val="single" w:sz="4" w:space="0" w:color="8B73FF"/>
              <w:left w:val="single" w:sz="4" w:space="0" w:color="8B73FF"/>
              <w:bottom w:val="single" w:sz="4" w:space="0" w:color="8B73FF"/>
              <w:right w:val="single" w:sz="4" w:space="0" w:color="8B73FF"/>
            </w:tcBorders>
          </w:tcPr>
          <w:p w14:paraId="549989E3" w14:textId="40F1EFD9" w:rsidR="00F709B8" w:rsidRPr="00F709B8" w:rsidRDefault="00F709B8" w:rsidP="6A9D9E40">
            <w:pPr>
              <w:jc w:val="center"/>
              <w:rPr>
                <w:noProof/>
                <w:sz w:val="18"/>
                <w:szCs w:val="18"/>
              </w:rPr>
            </w:pPr>
            <w:r w:rsidRPr="6A9D9E40">
              <w:rPr>
                <w:noProof/>
                <w:sz w:val="18"/>
                <w:szCs w:val="18"/>
              </w:rPr>
              <w:t>80%</w:t>
            </w:r>
          </w:p>
        </w:tc>
      </w:tr>
      <w:tr w:rsidR="00F709B8" w:rsidRPr="007C0C4B" w14:paraId="1021C090"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1AFEBDF"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ICT specialists</w:t>
            </w:r>
          </w:p>
        </w:tc>
        <w:tc>
          <w:tcPr>
            <w:tcW w:w="813" w:type="dxa"/>
            <w:tcBorders>
              <w:top w:val="single" w:sz="4" w:space="0" w:color="8B73FF"/>
              <w:left w:val="single" w:sz="4" w:space="0" w:color="8B73FF"/>
              <w:bottom w:val="single" w:sz="4" w:space="0" w:color="8B73FF"/>
              <w:right w:val="single" w:sz="4" w:space="0" w:color="8B73FF"/>
            </w:tcBorders>
          </w:tcPr>
          <w:p w14:paraId="04F8B6F6" w14:textId="1FCA2A04" w:rsidR="00F709B8" w:rsidRPr="00F709B8" w:rsidRDefault="00F709B8" w:rsidP="6A9D9E40">
            <w:pPr>
              <w:jc w:val="center"/>
              <w:rPr>
                <w:noProof/>
                <w:sz w:val="18"/>
                <w:szCs w:val="18"/>
              </w:rPr>
            </w:pPr>
            <w:r w:rsidRPr="6A9D9E40">
              <w:rPr>
                <w:noProof/>
                <w:sz w:val="18"/>
                <w:szCs w:val="18"/>
              </w:rPr>
              <w:t>5.3%</w:t>
            </w:r>
          </w:p>
        </w:tc>
        <w:tc>
          <w:tcPr>
            <w:tcW w:w="1106" w:type="dxa"/>
            <w:tcBorders>
              <w:top w:val="single" w:sz="4" w:space="0" w:color="8B73FF"/>
              <w:left w:val="single" w:sz="4" w:space="0" w:color="8B73FF"/>
              <w:bottom w:val="single" w:sz="4" w:space="0" w:color="8B73FF"/>
              <w:right w:val="single" w:sz="4" w:space="0" w:color="8B73FF"/>
            </w:tcBorders>
          </w:tcPr>
          <w:p w14:paraId="548FB30A" w14:textId="5E31BC4E" w:rsidR="00F709B8" w:rsidRPr="00F709B8" w:rsidRDefault="47519A19" w:rsidP="6A9D9E40">
            <w:pPr>
              <w:jc w:val="center"/>
              <w:rPr>
                <w:noProof/>
                <w:sz w:val="18"/>
                <w:szCs w:val="18"/>
              </w:rPr>
            </w:pPr>
            <w:r w:rsidRPr="6A9D9E40">
              <w:rPr>
                <w:noProof/>
                <w:sz w:val="18"/>
                <w:szCs w:val="18"/>
              </w:rPr>
              <w:t>5.7%</w:t>
            </w:r>
          </w:p>
        </w:tc>
        <w:tc>
          <w:tcPr>
            <w:tcW w:w="786" w:type="dxa"/>
            <w:tcBorders>
              <w:top w:val="single" w:sz="4" w:space="0" w:color="8B73FF"/>
              <w:left w:val="single" w:sz="4" w:space="0" w:color="8B73FF"/>
              <w:bottom w:val="single" w:sz="4" w:space="0" w:color="8B73FF"/>
              <w:right w:val="single" w:sz="4" w:space="0" w:color="8B73FF"/>
            </w:tcBorders>
          </w:tcPr>
          <w:p w14:paraId="27D45EE6" w14:textId="26D60A50" w:rsidR="00F709B8" w:rsidRPr="00F709B8" w:rsidRDefault="47519A19" w:rsidP="6A9D9E40">
            <w:pPr>
              <w:jc w:val="center"/>
              <w:rPr>
                <w:noProof/>
                <w:sz w:val="18"/>
                <w:szCs w:val="18"/>
              </w:rPr>
            </w:pPr>
            <w:r w:rsidRPr="6A9D9E40">
              <w:rPr>
                <w:noProof/>
                <w:sz w:val="18"/>
                <w:szCs w:val="18"/>
              </w:rPr>
              <w:t>7.5%</w:t>
            </w:r>
          </w:p>
        </w:tc>
        <w:tc>
          <w:tcPr>
            <w:tcW w:w="870" w:type="dxa"/>
            <w:tcBorders>
              <w:top w:val="single" w:sz="4" w:space="0" w:color="8B73FF"/>
              <w:left w:val="single" w:sz="4" w:space="0" w:color="8B73FF"/>
              <w:bottom w:val="single" w:sz="4" w:space="0" w:color="8B73FF"/>
              <w:right w:val="single" w:sz="4" w:space="0" w:color="8B73FF"/>
            </w:tcBorders>
          </w:tcPr>
          <w:p w14:paraId="19497659" w14:textId="57C2C50D" w:rsidR="00F709B8" w:rsidRPr="00F709B8" w:rsidRDefault="00F709B8" w:rsidP="6A9D9E40">
            <w:pPr>
              <w:jc w:val="center"/>
              <w:rPr>
                <w:rFonts w:eastAsia="Times New Roman"/>
                <w:noProof/>
                <w:color w:val="000000"/>
                <w:kern w:val="0"/>
                <w:sz w:val="18"/>
                <w:szCs w:val="18"/>
                <w:lang w:eastAsia="en-IE"/>
                <w14:ligatures w14:val="none"/>
              </w:rPr>
            </w:pPr>
            <w:r w:rsidRPr="6A9D9E40">
              <w:rPr>
                <w:noProof/>
                <w:sz w:val="18"/>
                <w:szCs w:val="18"/>
              </w:rPr>
              <w:t xml:space="preserve"> 5.7% </w:t>
            </w:r>
          </w:p>
        </w:tc>
        <w:tc>
          <w:tcPr>
            <w:tcW w:w="922" w:type="dxa"/>
            <w:gridSpan w:val="2"/>
            <w:tcBorders>
              <w:top w:val="single" w:sz="4" w:space="0" w:color="8B73FF"/>
              <w:left w:val="single" w:sz="4" w:space="0" w:color="8B73FF"/>
              <w:bottom w:val="single" w:sz="4" w:space="0" w:color="8B73FF"/>
              <w:right w:val="single" w:sz="4" w:space="0" w:color="8B73FF"/>
            </w:tcBorders>
          </w:tcPr>
          <w:p w14:paraId="324DF12D" w14:textId="78A72C47" w:rsidR="00F709B8" w:rsidRPr="00F709B8" w:rsidRDefault="6BB11F04" w:rsidP="6A9D9E40">
            <w:pPr>
              <w:jc w:val="center"/>
              <w:rPr>
                <w:noProof/>
                <w:sz w:val="18"/>
                <w:szCs w:val="18"/>
              </w:rPr>
            </w:pPr>
            <w:r w:rsidRPr="6A9D9E40">
              <w:rPr>
                <w:noProof/>
                <w:sz w:val="18"/>
                <w:szCs w:val="18"/>
              </w:rPr>
              <w:t>5.0%</w:t>
            </w:r>
          </w:p>
        </w:tc>
        <w:tc>
          <w:tcPr>
            <w:tcW w:w="786" w:type="dxa"/>
            <w:tcBorders>
              <w:top w:val="single" w:sz="4" w:space="0" w:color="8B73FF"/>
              <w:left w:val="single" w:sz="4" w:space="0" w:color="8B73FF"/>
              <w:bottom w:val="single" w:sz="4" w:space="0" w:color="8B73FF"/>
              <w:right w:val="single" w:sz="4" w:space="0" w:color="8B73FF"/>
            </w:tcBorders>
          </w:tcPr>
          <w:p w14:paraId="732A11B4" w14:textId="01AFD5B8" w:rsidR="00F709B8" w:rsidRPr="00F709B8" w:rsidRDefault="6BB11F04" w:rsidP="6A9D9E40">
            <w:pPr>
              <w:jc w:val="center"/>
              <w:rPr>
                <w:noProof/>
                <w:sz w:val="18"/>
                <w:szCs w:val="18"/>
              </w:rPr>
            </w:pPr>
            <w:r w:rsidRPr="6A9D9E40">
              <w:rPr>
                <w:noProof/>
                <w:sz w:val="18"/>
                <w:szCs w:val="18"/>
              </w:rPr>
              <w:t>2.0%</w:t>
            </w:r>
          </w:p>
        </w:tc>
        <w:tc>
          <w:tcPr>
            <w:tcW w:w="895" w:type="dxa"/>
            <w:gridSpan w:val="2"/>
            <w:tcBorders>
              <w:top w:val="single" w:sz="4" w:space="0" w:color="8B73FF"/>
              <w:left w:val="single" w:sz="4" w:space="0" w:color="8B73FF"/>
              <w:bottom w:val="single" w:sz="4" w:space="0" w:color="8B73FF"/>
              <w:right w:val="single" w:sz="4" w:space="0" w:color="8B73FF"/>
            </w:tcBorders>
          </w:tcPr>
          <w:p w14:paraId="2FF615BC" w14:textId="1486C0E9" w:rsidR="00F709B8" w:rsidRPr="00F709B8" w:rsidRDefault="00F709B8" w:rsidP="6A9D9E40">
            <w:pPr>
              <w:jc w:val="center"/>
              <w:rPr>
                <w:noProof/>
                <w:sz w:val="18"/>
                <w:szCs w:val="18"/>
              </w:rPr>
            </w:pPr>
            <w:r w:rsidRPr="6A9D9E40">
              <w:rPr>
                <w:noProof/>
                <w:sz w:val="18"/>
                <w:szCs w:val="18"/>
              </w:rPr>
              <w:t>6.9%</w:t>
            </w:r>
          </w:p>
        </w:tc>
        <w:tc>
          <w:tcPr>
            <w:tcW w:w="677" w:type="dxa"/>
            <w:tcBorders>
              <w:top w:val="single" w:sz="4" w:space="0" w:color="8B73FF"/>
              <w:left w:val="single" w:sz="4" w:space="0" w:color="8B73FF"/>
              <w:bottom w:val="single" w:sz="4" w:space="0" w:color="8B73FF"/>
              <w:right w:val="single" w:sz="4" w:space="0" w:color="8B73FF"/>
            </w:tcBorders>
          </w:tcPr>
          <w:p w14:paraId="0EACA424" w14:textId="6644BE18" w:rsidR="00F709B8" w:rsidRPr="00F709B8" w:rsidRDefault="00F709B8" w:rsidP="6A9D9E40">
            <w:pPr>
              <w:jc w:val="center"/>
              <w:rPr>
                <w:noProof/>
                <w:sz w:val="18"/>
                <w:szCs w:val="18"/>
              </w:rPr>
            </w:pPr>
            <w:r w:rsidRPr="6A9D9E40">
              <w:rPr>
                <w:noProof/>
                <w:sz w:val="18"/>
                <w:szCs w:val="18"/>
              </w:rPr>
              <w:t>~10%</w:t>
            </w:r>
          </w:p>
        </w:tc>
      </w:tr>
      <w:tr w:rsidR="00F709B8" w:rsidRPr="007C0C4B" w14:paraId="4A1BAFB8" w14:textId="77777777" w:rsidTr="006C1A96">
        <w:trPr>
          <w:gridAfter w:val="1"/>
          <w:wAfter w:w="10" w:type="dxa"/>
          <w:cantSplit/>
          <w:trHeight w:hRule="exact" w:val="284"/>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9E512B9"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e-ID scheme notification</w:t>
            </w:r>
          </w:p>
        </w:tc>
        <w:tc>
          <w:tcPr>
            <w:tcW w:w="813" w:type="dxa"/>
            <w:tcBorders>
              <w:top w:val="single" w:sz="4" w:space="0" w:color="8B73FF"/>
              <w:left w:val="single" w:sz="4" w:space="0" w:color="8B73FF"/>
              <w:bottom w:val="single" w:sz="4" w:space="0" w:color="8B73FF"/>
              <w:right w:val="single" w:sz="4" w:space="0" w:color="8B73FF"/>
            </w:tcBorders>
          </w:tcPr>
          <w:p w14:paraId="640C4F2C" w14:textId="763D9D32" w:rsidR="00F709B8" w:rsidRPr="00F709B8" w:rsidRDefault="00F709B8" w:rsidP="6A9D9E40">
            <w:pPr>
              <w:jc w:val="center"/>
              <w:rPr>
                <w:noProof/>
                <w:sz w:val="18"/>
                <w:szCs w:val="18"/>
              </w:rPr>
            </w:pPr>
          </w:p>
        </w:tc>
        <w:tc>
          <w:tcPr>
            <w:tcW w:w="1106" w:type="dxa"/>
            <w:tcBorders>
              <w:top w:val="single" w:sz="4" w:space="0" w:color="8B73FF"/>
              <w:left w:val="single" w:sz="4" w:space="0" w:color="8B73FF"/>
              <w:bottom w:val="single" w:sz="4" w:space="0" w:color="8B73FF"/>
              <w:right w:val="single" w:sz="4" w:space="0" w:color="8B73FF"/>
            </w:tcBorders>
          </w:tcPr>
          <w:p w14:paraId="47463083" w14:textId="7AAD95C1" w:rsidR="00F709B8" w:rsidRPr="00F709B8" w:rsidRDefault="00F709B8" w:rsidP="6A9D9E40">
            <w:pPr>
              <w:jc w:val="center"/>
              <w:rPr>
                <w:noProof/>
                <w:sz w:val="18"/>
                <w:szCs w:val="18"/>
              </w:rPr>
            </w:pPr>
            <w:r w:rsidRPr="6A9D9E40">
              <w:rPr>
                <w:noProof/>
                <w:sz w:val="18"/>
                <w:szCs w:val="18"/>
              </w:rPr>
              <w:t>Yes</w:t>
            </w:r>
          </w:p>
        </w:tc>
        <w:tc>
          <w:tcPr>
            <w:tcW w:w="786" w:type="dxa"/>
            <w:tcBorders>
              <w:top w:val="single" w:sz="4" w:space="0" w:color="8B73FF"/>
              <w:left w:val="single" w:sz="4" w:space="0" w:color="8B73FF"/>
              <w:bottom w:val="single" w:sz="4" w:space="0" w:color="8B73FF"/>
              <w:right w:val="single" w:sz="4" w:space="0" w:color="8B73FF"/>
            </w:tcBorders>
          </w:tcPr>
          <w:p w14:paraId="6ABFF026" w14:textId="0A35616C" w:rsidR="00F709B8" w:rsidRPr="00F709B8" w:rsidRDefault="00F709B8" w:rsidP="6A9D9E40">
            <w:pPr>
              <w:jc w:val="center"/>
              <w:rPr>
                <w:noProof/>
                <w:sz w:val="18"/>
                <w:szCs w:val="18"/>
              </w:rPr>
            </w:pPr>
          </w:p>
        </w:tc>
        <w:tc>
          <w:tcPr>
            <w:tcW w:w="870" w:type="dxa"/>
            <w:tcBorders>
              <w:top w:val="single" w:sz="4" w:space="0" w:color="8B73FF"/>
              <w:left w:val="single" w:sz="4" w:space="0" w:color="8B73FF"/>
              <w:bottom w:val="single" w:sz="4" w:space="0" w:color="8B73FF"/>
              <w:right w:val="single" w:sz="4" w:space="0" w:color="8B73FF"/>
            </w:tcBorders>
          </w:tcPr>
          <w:p w14:paraId="606CC47C" w14:textId="3CE711EC" w:rsidR="00F709B8" w:rsidRPr="00F709B8" w:rsidRDefault="00F709B8" w:rsidP="6A9D9E40">
            <w:pPr>
              <w:jc w:val="center"/>
              <w:rPr>
                <w:noProof/>
                <w:sz w:val="18"/>
                <w:szCs w:val="18"/>
              </w:rPr>
            </w:pPr>
          </w:p>
        </w:tc>
        <w:tc>
          <w:tcPr>
            <w:tcW w:w="922" w:type="dxa"/>
            <w:gridSpan w:val="2"/>
            <w:tcBorders>
              <w:top w:val="single" w:sz="4" w:space="0" w:color="8B73FF"/>
              <w:left w:val="single" w:sz="4" w:space="0" w:color="8B73FF"/>
              <w:bottom w:val="single" w:sz="4" w:space="0" w:color="8B73FF"/>
              <w:right w:val="single" w:sz="4" w:space="0" w:color="8B73FF"/>
            </w:tcBorders>
          </w:tcPr>
          <w:p w14:paraId="47BAAB5A" w14:textId="07A77297" w:rsidR="00F709B8" w:rsidRPr="00F709B8" w:rsidRDefault="00F709B8" w:rsidP="6A9D9E40">
            <w:pPr>
              <w:jc w:val="center"/>
              <w:rPr>
                <w:noProof/>
                <w:sz w:val="18"/>
                <w:szCs w:val="18"/>
              </w:rPr>
            </w:pPr>
          </w:p>
        </w:tc>
        <w:tc>
          <w:tcPr>
            <w:tcW w:w="786" w:type="dxa"/>
            <w:tcBorders>
              <w:top w:val="single" w:sz="4" w:space="0" w:color="8B73FF"/>
              <w:left w:val="single" w:sz="4" w:space="0" w:color="8B73FF"/>
              <w:bottom w:val="single" w:sz="4" w:space="0" w:color="8B73FF"/>
              <w:right w:val="single" w:sz="4" w:space="0" w:color="8B73FF"/>
            </w:tcBorders>
          </w:tcPr>
          <w:p w14:paraId="5F4C8185" w14:textId="3DE3B4E4" w:rsidR="00F709B8" w:rsidRPr="00F709B8" w:rsidRDefault="00F709B8" w:rsidP="6A9D9E40">
            <w:pPr>
              <w:jc w:val="center"/>
              <w:rPr>
                <w:noProof/>
                <w:sz w:val="18"/>
                <w:szCs w:val="18"/>
              </w:rPr>
            </w:pPr>
          </w:p>
        </w:tc>
        <w:tc>
          <w:tcPr>
            <w:tcW w:w="895" w:type="dxa"/>
            <w:gridSpan w:val="2"/>
            <w:tcBorders>
              <w:top w:val="single" w:sz="4" w:space="0" w:color="8B73FF"/>
              <w:left w:val="single" w:sz="4" w:space="0" w:color="8B73FF"/>
              <w:bottom w:val="single" w:sz="4" w:space="0" w:color="8B73FF"/>
              <w:right w:val="single" w:sz="4" w:space="0" w:color="8B73FF"/>
            </w:tcBorders>
          </w:tcPr>
          <w:p w14:paraId="1511C5C1" w14:textId="639F64D8" w:rsidR="00F709B8" w:rsidRPr="00F709B8" w:rsidRDefault="00F709B8" w:rsidP="6A9D9E40">
            <w:pPr>
              <w:jc w:val="center"/>
              <w:rPr>
                <w:noProof/>
                <w:sz w:val="18"/>
                <w:szCs w:val="18"/>
              </w:rPr>
            </w:pPr>
          </w:p>
        </w:tc>
        <w:tc>
          <w:tcPr>
            <w:tcW w:w="677" w:type="dxa"/>
            <w:tcBorders>
              <w:top w:val="single" w:sz="4" w:space="0" w:color="8B73FF"/>
              <w:left w:val="single" w:sz="4" w:space="0" w:color="8B73FF"/>
              <w:bottom w:val="single" w:sz="4" w:space="0" w:color="8B73FF"/>
              <w:right w:val="single" w:sz="4" w:space="0" w:color="8B73FF"/>
            </w:tcBorders>
          </w:tcPr>
          <w:p w14:paraId="65DC28F2" w14:textId="74ECA063" w:rsidR="00F709B8" w:rsidRPr="00F709B8" w:rsidRDefault="00F709B8" w:rsidP="6A9D9E40">
            <w:pPr>
              <w:jc w:val="center"/>
              <w:rPr>
                <w:noProof/>
                <w:sz w:val="18"/>
                <w:szCs w:val="18"/>
              </w:rPr>
            </w:pPr>
          </w:p>
        </w:tc>
      </w:tr>
      <w:tr w:rsidR="00F709B8" w:rsidRPr="007C0C4B" w14:paraId="3F95B7D0" w14:textId="77777777" w:rsidTr="006C1A96">
        <w:trPr>
          <w:gridAfter w:val="1"/>
          <w:wAfter w:w="10" w:type="dxa"/>
          <w:cantSplit/>
          <w:trHeight w:hRule="exact" w:val="462"/>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330FD96"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Digital public services for citizens</w:t>
            </w:r>
          </w:p>
        </w:tc>
        <w:tc>
          <w:tcPr>
            <w:tcW w:w="813" w:type="dxa"/>
            <w:tcBorders>
              <w:top w:val="single" w:sz="4" w:space="0" w:color="8B73FF"/>
              <w:left w:val="single" w:sz="4" w:space="0" w:color="8B73FF"/>
              <w:bottom w:val="single" w:sz="4" w:space="0" w:color="8B73FF"/>
              <w:right w:val="single" w:sz="4" w:space="0" w:color="8B73FF"/>
            </w:tcBorders>
          </w:tcPr>
          <w:p w14:paraId="297D31DE" w14:textId="72CCE4BF" w:rsidR="00F709B8" w:rsidRPr="00F709B8" w:rsidRDefault="00F709B8" w:rsidP="6A9D9E40">
            <w:pPr>
              <w:jc w:val="center"/>
              <w:rPr>
                <w:noProof/>
                <w:sz w:val="18"/>
                <w:szCs w:val="18"/>
              </w:rPr>
            </w:pPr>
            <w:r w:rsidRPr="6A9D9E40">
              <w:rPr>
                <w:noProof/>
                <w:sz w:val="18"/>
                <w:szCs w:val="18"/>
              </w:rPr>
              <w:t>87.9</w:t>
            </w:r>
          </w:p>
        </w:tc>
        <w:tc>
          <w:tcPr>
            <w:tcW w:w="1106" w:type="dxa"/>
            <w:tcBorders>
              <w:top w:val="single" w:sz="4" w:space="0" w:color="8B73FF"/>
              <w:left w:val="single" w:sz="4" w:space="0" w:color="8B73FF"/>
              <w:bottom w:val="single" w:sz="4" w:space="0" w:color="8B73FF"/>
              <w:right w:val="single" w:sz="4" w:space="0" w:color="8B73FF"/>
            </w:tcBorders>
          </w:tcPr>
          <w:p w14:paraId="46004D91" w14:textId="54285208"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86.0</w:t>
            </w:r>
          </w:p>
        </w:tc>
        <w:tc>
          <w:tcPr>
            <w:tcW w:w="786" w:type="dxa"/>
            <w:tcBorders>
              <w:top w:val="single" w:sz="4" w:space="0" w:color="8B73FF"/>
              <w:left w:val="single" w:sz="4" w:space="0" w:color="8B73FF"/>
              <w:bottom w:val="single" w:sz="4" w:space="0" w:color="8B73FF"/>
              <w:right w:val="single" w:sz="4" w:space="0" w:color="8B73FF"/>
            </w:tcBorders>
          </w:tcPr>
          <w:p w14:paraId="4548EEC3" w14:textId="15EAF8AA"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-2.1%</w:t>
            </w:r>
          </w:p>
        </w:tc>
        <w:tc>
          <w:tcPr>
            <w:tcW w:w="870" w:type="dxa"/>
            <w:tcBorders>
              <w:top w:val="single" w:sz="4" w:space="0" w:color="8B73FF"/>
              <w:left w:val="single" w:sz="4" w:space="0" w:color="8B73FF"/>
              <w:bottom w:val="single" w:sz="4" w:space="0" w:color="8B73FF"/>
              <w:right w:val="single" w:sz="4" w:space="0" w:color="8B73FF"/>
            </w:tcBorders>
          </w:tcPr>
          <w:p w14:paraId="1DC47AB2" w14:textId="3A1DD84B"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 xml:space="preserve">88.0 </w:t>
            </w:r>
          </w:p>
        </w:tc>
        <w:tc>
          <w:tcPr>
            <w:tcW w:w="922" w:type="dxa"/>
            <w:gridSpan w:val="2"/>
            <w:tcBorders>
              <w:top w:val="single" w:sz="4" w:space="0" w:color="8B73FF"/>
              <w:left w:val="single" w:sz="4" w:space="0" w:color="8B73FF"/>
              <w:bottom w:val="single" w:sz="4" w:space="0" w:color="8B73FF"/>
              <w:right w:val="single" w:sz="4" w:space="0" w:color="8B73FF"/>
            </w:tcBorders>
          </w:tcPr>
          <w:p w14:paraId="36B927F6" w14:textId="7E3F262C"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84.6</w:t>
            </w:r>
          </w:p>
        </w:tc>
        <w:tc>
          <w:tcPr>
            <w:tcW w:w="786" w:type="dxa"/>
            <w:tcBorders>
              <w:top w:val="single" w:sz="4" w:space="0" w:color="8B73FF"/>
              <w:left w:val="single" w:sz="4" w:space="0" w:color="8B73FF"/>
              <w:bottom w:val="single" w:sz="4" w:space="0" w:color="8B73FF"/>
              <w:right w:val="single" w:sz="4" w:space="0" w:color="8B73FF"/>
            </w:tcBorders>
          </w:tcPr>
          <w:p w14:paraId="07520A36" w14:textId="39F7D388" w:rsidR="700F6776" w:rsidRDefault="700F6776"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2.8%</w:t>
            </w:r>
          </w:p>
        </w:tc>
        <w:tc>
          <w:tcPr>
            <w:tcW w:w="895" w:type="dxa"/>
            <w:gridSpan w:val="2"/>
            <w:tcBorders>
              <w:top w:val="single" w:sz="4" w:space="0" w:color="8B73FF"/>
              <w:left w:val="single" w:sz="4" w:space="0" w:color="8B73FF"/>
              <w:bottom w:val="single" w:sz="4" w:space="0" w:color="8B73FF"/>
              <w:right w:val="single" w:sz="4" w:space="0" w:color="8B73FF"/>
            </w:tcBorders>
          </w:tcPr>
          <w:p w14:paraId="5EEAA9A0" w14:textId="347A9F8A"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100.0</w:t>
            </w:r>
          </w:p>
        </w:tc>
        <w:tc>
          <w:tcPr>
            <w:tcW w:w="677" w:type="dxa"/>
            <w:tcBorders>
              <w:top w:val="single" w:sz="4" w:space="0" w:color="8B73FF"/>
              <w:left w:val="single" w:sz="4" w:space="0" w:color="8B73FF"/>
              <w:bottom w:val="single" w:sz="4" w:space="0" w:color="8B73FF"/>
              <w:right w:val="single" w:sz="4" w:space="0" w:color="8B73FF"/>
            </w:tcBorders>
          </w:tcPr>
          <w:p w14:paraId="52451725" w14:textId="29E4BBC3" w:rsidR="00F709B8" w:rsidRPr="00F709B8" w:rsidRDefault="1C17D2B4" w:rsidP="6A9D9E40">
            <w:pPr>
              <w:jc w:val="center"/>
              <w:rPr>
                <w:noProof/>
                <w:sz w:val="18"/>
                <w:szCs w:val="18"/>
              </w:rPr>
            </w:pPr>
            <w:r w:rsidRPr="6A9D9E40">
              <w:rPr>
                <w:noProof/>
                <w:sz w:val="18"/>
                <w:szCs w:val="18"/>
              </w:rPr>
              <w:t>100</w:t>
            </w:r>
          </w:p>
        </w:tc>
      </w:tr>
      <w:tr w:rsidR="00F709B8" w:rsidRPr="007C0C4B" w14:paraId="0A270E07" w14:textId="77777777" w:rsidTr="006C1A96">
        <w:trPr>
          <w:gridAfter w:val="1"/>
          <w:wAfter w:w="10" w:type="dxa"/>
          <w:cantSplit/>
          <w:trHeight w:hRule="exact" w:val="467"/>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DB98A70"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Digital public services for businesses</w:t>
            </w:r>
          </w:p>
        </w:tc>
        <w:tc>
          <w:tcPr>
            <w:tcW w:w="813" w:type="dxa"/>
            <w:tcBorders>
              <w:top w:val="single" w:sz="4" w:space="0" w:color="8B73FF"/>
              <w:left w:val="single" w:sz="4" w:space="0" w:color="8B73FF"/>
              <w:bottom w:val="single" w:sz="4" w:space="0" w:color="8B73FF"/>
              <w:right w:val="single" w:sz="4" w:space="0" w:color="8B73FF"/>
            </w:tcBorders>
          </w:tcPr>
          <w:p w14:paraId="0200EFC4" w14:textId="631298BE" w:rsidR="00F709B8" w:rsidRPr="00F709B8" w:rsidRDefault="00F709B8" w:rsidP="6A9D9E40">
            <w:pPr>
              <w:jc w:val="center"/>
              <w:rPr>
                <w:noProof/>
                <w:sz w:val="18"/>
                <w:szCs w:val="18"/>
              </w:rPr>
            </w:pPr>
            <w:r w:rsidRPr="6A9D9E40">
              <w:rPr>
                <w:noProof/>
                <w:sz w:val="18"/>
                <w:szCs w:val="18"/>
              </w:rPr>
              <w:t>92.5</w:t>
            </w:r>
          </w:p>
        </w:tc>
        <w:tc>
          <w:tcPr>
            <w:tcW w:w="1106" w:type="dxa"/>
            <w:tcBorders>
              <w:top w:val="single" w:sz="4" w:space="0" w:color="8B73FF"/>
              <w:left w:val="single" w:sz="4" w:space="0" w:color="8B73FF"/>
              <w:bottom w:val="single" w:sz="4" w:space="0" w:color="8B73FF"/>
              <w:right w:val="single" w:sz="4" w:space="0" w:color="8B73FF"/>
            </w:tcBorders>
          </w:tcPr>
          <w:p w14:paraId="1B15DDA4" w14:textId="76461A50"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96.7</w:t>
            </w:r>
          </w:p>
        </w:tc>
        <w:tc>
          <w:tcPr>
            <w:tcW w:w="786" w:type="dxa"/>
            <w:tcBorders>
              <w:top w:val="single" w:sz="4" w:space="0" w:color="8B73FF"/>
              <w:left w:val="single" w:sz="4" w:space="0" w:color="8B73FF"/>
              <w:bottom w:val="single" w:sz="4" w:space="0" w:color="8B73FF"/>
              <w:right w:val="single" w:sz="4" w:space="0" w:color="8B73FF"/>
            </w:tcBorders>
          </w:tcPr>
          <w:p w14:paraId="60ABD5DD" w14:textId="1F617EE8"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4.6%</w:t>
            </w:r>
          </w:p>
        </w:tc>
        <w:tc>
          <w:tcPr>
            <w:tcW w:w="870" w:type="dxa"/>
            <w:tcBorders>
              <w:top w:val="single" w:sz="4" w:space="0" w:color="8B73FF"/>
              <w:left w:val="single" w:sz="4" w:space="0" w:color="8B73FF"/>
              <w:bottom w:val="single" w:sz="4" w:space="0" w:color="8B73FF"/>
              <w:right w:val="single" w:sz="4" w:space="0" w:color="8B73FF"/>
            </w:tcBorders>
          </w:tcPr>
          <w:p w14:paraId="129C6E28" w14:textId="179E7EDF"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 xml:space="preserve"> 96.0 </w:t>
            </w:r>
          </w:p>
        </w:tc>
        <w:tc>
          <w:tcPr>
            <w:tcW w:w="922" w:type="dxa"/>
            <w:gridSpan w:val="2"/>
            <w:tcBorders>
              <w:top w:val="single" w:sz="4" w:space="0" w:color="8B73FF"/>
              <w:left w:val="single" w:sz="4" w:space="0" w:color="8B73FF"/>
              <w:bottom w:val="single" w:sz="4" w:space="0" w:color="8B73FF"/>
              <w:right w:val="single" w:sz="4" w:space="0" w:color="8B73FF"/>
            </w:tcBorders>
          </w:tcPr>
          <w:p w14:paraId="108C4370" w14:textId="760B7ABA"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88.6</w:t>
            </w:r>
          </w:p>
        </w:tc>
        <w:tc>
          <w:tcPr>
            <w:tcW w:w="786" w:type="dxa"/>
            <w:tcBorders>
              <w:top w:val="single" w:sz="4" w:space="0" w:color="8B73FF"/>
              <w:left w:val="single" w:sz="4" w:space="0" w:color="8B73FF"/>
              <w:bottom w:val="single" w:sz="4" w:space="0" w:color="8B73FF"/>
              <w:right w:val="single" w:sz="4" w:space="0" w:color="8B73FF"/>
            </w:tcBorders>
          </w:tcPr>
          <w:p w14:paraId="0F42637D" w14:textId="0BDC914C" w:rsidR="6CDA40FF" w:rsidRDefault="6CDA40FF"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2.7%</w:t>
            </w:r>
          </w:p>
        </w:tc>
        <w:tc>
          <w:tcPr>
            <w:tcW w:w="895" w:type="dxa"/>
            <w:gridSpan w:val="2"/>
            <w:tcBorders>
              <w:top w:val="single" w:sz="4" w:space="0" w:color="8B73FF"/>
              <w:left w:val="single" w:sz="4" w:space="0" w:color="8B73FF"/>
              <w:bottom w:val="single" w:sz="4" w:space="0" w:color="8B73FF"/>
              <w:right w:val="single" w:sz="4" w:space="0" w:color="8B73FF"/>
            </w:tcBorders>
          </w:tcPr>
          <w:p w14:paraId="2DA8C512" w14:textId="40825EB3"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100.0</w:t>
            </w:r>
          </w:p>
        </w:tc>
        <w:tc>
          <w:tcPr>
            <w:tcW w:w="677" w:type="dxa"/>
            <w:tcBorders>
              <w:top w:val="single" w:sz="4" w:space="0" w:color="8B73FF"/>
              <w:left w:val="single" w:sz="4" w:space="0" w:color="8B73FF"/>
              <w:bottom w:val="single" w:sz="4" w:space="0" w:color="8B73FF"/>
              <w:right w:val="single" w:sz="4" w:space="0" w:color="8B73FF"/>
            </w:tcBorders>
          </w:tcPr>
          <w:p w14:paraId="4AFDEAD7" w14:textId="327EF3B0" w:rsidR="00F709B8" w:rsidRPr="00F709B8" w:rsidRDefault="4F4A7D86" w:rsidP="6A9D9E40">
            <w:pPr>
              <w:jc w:val="center"/>
              <w:rPr>
                <w:noProof/>
                <w:sz w:val="18"/>
                <w:szCs w:val="18"/>
              </w:rPr>
            </w:pPr>
            <w:r w:rsidRPr="6A9D9E40">
              <w:rPr>
                <w:noProof/>
                <w:sz w:val="18"/>
                <w:szCs w:val="18"/>
              </w:rPr>
              <w:t>100</w:t>
            </w:r>
          </w:p>
        </w:tc>
      </w:tr>
      <w:tr w:rsidR="00F709B8" w:rsidRPr="007C0C4B" w14:paraId="5B70B79C" w14:textId="77777777" w:rsidTr="006C1A96">
        <w:trPr>
          <w:gridAfter w:val="1"/>
          <w:wAfter w:w="10" w:type="dxa"/>
          <w:cantSplit/>
          <w:trHeight w:hRule="exact" w:val="456"/>
        </w:trPr>
        <w:tc>
          <w:tcPr>
            <w:tcW w:w="239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751E6CE" w14:textId="77777777" w:rsidR="00F709B8" w:rsidRPr="007C0C4B" w:rsidRDefault="0C6BC83F" w:rsidP="0E45CDD0">
            <w:pPr>
              <w:rPr>
                <w:b/>
                <w:bCs/>
                <w:noProof/>
                <w:color w:val="000000" w:themeColor="text1"/>
                <w:sz w:val="16"/>
                <w:szCs w:val="16"/>
              </w:rPr>
            </w:pPr>
            <w:r w:rsidRPr="0E45CDD0">
              <w:rPr>
                <w:rFonts w:ascii="Calibri" w:eastAsia="Times New Roman" w:hAnsi="Calibri" w:cs="Calibri"/>
                <w:b/>
                <w:bCs/>
                <w:noProof/>
                <w:color w:val="000000" w:themeColor="text1"/>
                <w:sz w:val="16"/>
                <w:szCs w:val="16"/>
                <w:lang w:eastAsia="en-IE"/>
              </w:rPr>
              <w:t>Access to electronic health records</w:t>
            </w:r>
          </w:p>
        </w:tc>
        <w:tc>
          <w:tcPr>
            <w:tcW w:w="813" w:type="dxa"/>
            <w:tcBorders>
              <w:top w:val="single" w:sz="4" w:space="0" w:color="8B73FF"/>
              <w:left w:val="single" w:sz="4" w:space="0" w:color="8B73FF"/>
              <w:bottom w:val="single" w:sz="4" w:space="0" w:color="8B73FF"/>
              <w:right w:val="single" w:sz="4" w:space="0" w:color="8B73FF"/>
            </w:tcBorders>
          </w:tcPr>
          <w:p w14:paraId="3C103285" w14:textId="2EC49E32" w:rsidR="00F709B8" w:rsidRPr="00F709B8" w:rsidRDefault="00F709B8" w:rsidP="6A9D9E40">
            <w:pPr>
              <w:jc w:val="center"/>
              <w:rPr>
                <w:rFonts w:eastAsia="Times New Roman"/>
                <w:noProof/>
                <w:color w:val="000000" w:themeColor="text1"/>
                <w:sz w:val="18"/>
                <w:szCs w:val="18"/>
                <w:lang w:eastAsia="en-IE"/>
              </w:rPr>
            </w:pPr>
            <w:r w:rsidRPr="6A9D9E40">
              <w:rPr>
                <w:noProof/>
                <w:sz w:val="18"/>
                <w:szCs w:val="18"/>
              </w:rPr>
              <w:t>95.4</w:t>
            </w:r>
          </w:p>
        </w:tc>
        <w:tc>
          <w:tcPr>
            <w:tcW w:w="1106" w:type="dxa"/>
            <w:tcBorders>
              <w:top w:val="single" w:sz="4" w:space="0" w:color="8B73FF"/>
              <w:left w:val="single" w:sz="4" w:space="0" w:color="8B73FF"/>
              <w:bottom w:val="single" w:sz="4" w:space="0" w:color="8B73FF"/>
              <w:right w:val="single" w:sz="4" w:space="0" w:color="8B73FF"/>
            </w:tcBorders>
          </w:tcPr>
          <w:p w14:paraId="31792192" w14:textId="48E996E1" w:rsidR="6A9D9E40" w:rsidRDefault="6A9D9E40" w:rsidP="6A9D9E40">
            <w:pPr>
              <w:spacing w:after="0"/>
              <w:jc w:val="center"/>
              <w:rPr>
                <w:noProof/>
                <w:sz w:val="18"/>
                <w:szCs w:val="18"/>
              </w:rPr>
            </w:pPr>
            <w:r w:rsidRPr="6A9D9E40">
              <w:rPr>
                <w:rFonts w:ascii="Calibri" w:eastAsia="Calibri" w:hAnsi="Calibri" w:cs="Calibri"/>
                <w:noProof/>
                <w:color w:val="000000" w:themeColor="text1"/>
                <w:sz w:val="18"/>
                <w:szCs w:val="18"/>
              </w:rPr>
              <w:t>97.9</w:t>
            </w:r>
          </w:p>
        </w:tc>
        <w:tc>
          <w:tcPr>
            <w:tcW w:w="786" w:type="dxa"/>
            <w:tcBorders>
              <w:top w:val="single" w:sz="4" w:space="0" w:color="8B73FF"/>
              <w:left w:val="single" w:sz="4" w:space="0" w:color="8B73FF"/>
              <w:bottom w:val="single" w:sz="4" w:space="0" w:color="8B73FF"/>
              <w:right w:val="single" w:sz="4" w:space="0" w:color="8B73FF"/>
            </w:tcBorders>
          </w:tcPr>
          <w:p w14:paraId="5E5F1FAD" w14:textId="4EDB5430"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2.6%</w:t>
            </w:r>
          </w:p>
        </w:tc>
        <w:tc>
          <w:tcPr>
            <w:tcW w:w="870" w:type="dxa"/>
            <w:tcBorders>
              <w:top w:val="single" w:sz="4" w:space="0" w:color="8B73FF"/>
              <w:left w:val="single" w:sz="4" w:space="0" w:color="8B73FF"/>
              <w:bottom w:val="single" w:sz="4" w:space="0" w:color="8B73FF"/>
              <w:right w:val="single" w:sz="4" w:space="0" w:color="8B73FF"/>
            </w:tcBorders>
          </w:tcPr>
          <w:p w14:paraId="76C931B5" w14:textId="1B39A754"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 xml:space="preserve"> 100.0 </w:t>
            </w:r>
          </w:p>
        </w:tc>
        <w:tc>
          <w:tcPr>
            <w:tcW w:w="922" w:type="dxa"/>
            <w:gridSpan w:val="2"/>
            <w:tcBorders>
              <w:top w:val="single" w:sz="4" w:space="0" w:color="8B73FF"/>
              <w:left w:val="single" w:sz="4" w:space="0" w:color="8B73FF"/>
              <w:bottom w:val="single" w:sz="4" w:space="0" w:color="8B73FF"/>
              <w:right w:val="single" w:sz="4" w:space="0" w:color="8B73FF"/>
            </w:tcBorders>
          </w:tcPr>
          <w:p w14:paraId="6A6D7080" w14:textId="0E4C7E18"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86.5</w:t>
            </w:r>
          </w:p>
        </w:tc>
        <w:tc>
          <w:tcPr>
            <w:tcW w:w="786" w:type="dxa"/>
            <w:tcBorders>
              <w:top w:val="single" w:sz="4" w:space="0" w:color="8B73FF"/>
              <w:left w:val="single" w:sz="4" w:space="0" w:color="8B73FF"/>
              <w:bottom w:val="single" w:sz="4" w:space="0" w:color="8B73FF"/>
              <w:right w:val="single" w:sz="4" w:space="0" w:color="8B73FF"/>
            </w:tcBorders>
          </w:tcPr>
          <w:p w14:paraId="70CEE1A7" w14:textId="1C39B83A" w:rsidR="2733DE8B" w:rsidRDefault="2733DE8B"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4.6%</w:t>
            </w:r>
          </w:p>
        </w:tc>
        <w:tc>
          <w:tcPr>
            <w:tcW w:w="895" w:type="dxa"/>
            <w:gridSpan w:val="2"/>
            <w:tcBorders>
              <w:top w:val="single" w:sz="4" w:space="0" w:color="8B73FF"/>
              <w:left w:val="single" w:sz="4" w:space="0" w:color="8B73FF"/>
              <w:bottom w:val="single" w:sz="4" w:space="0" w:color="8B73FF"/>
              <w:right w:val="single" w:sz="4" w:space="0" w:color="8B73FF"/>
            </w:tcBorders>
          </w:tcPr>
          <w:p w14:paraId="08309E98" w14:textId="7668B148" w:rsidR="6A9D9E40" w:rsidRDefault="6A9D9E40" w:rsidP="6A9D9E40">
            <w:pPr>
              <w:spacing w:after="0"/>
              <w:jc w:val="center"/>
              <w:rPr>
                <w:rFonts w:ascii="Calibri" w:eastAsia="Calibri" w:hAnsi="Calibri" w:cs="Calibri"/>
                <w:noProof/>
                <w:color w:val="000000" w:themeColor="text1"/>
                <w:sz w:val="18"/>
                <w:szCs w:val="18"/>
              </w:rPr>
            </w:pPr>
            <w:r w:rsidRPr="6A9D9E40">
              <w:rPr>
                <w:rFonts w:ascii="Calibri" w:eastAsia="Calibri" w:hAnsi="Calibri" w:cs="Calibri"/>
                <w:noProof/>
                <w:color w:val="000000" w:themeColor="text1"/>
                <w:sz w:val="18"/>
                <w:szCs w:val="18"/>
              </w:rPr>
              <w:t>100.0</w:t>
            </w:r>
          </w:p>
        </w:tc>
        <w:tc>
          <w:tcPr>
            <w:tcW w:w="677" w:type="dxa"/>
            <w:tcBorders>
              <w:top w:val="single" w:sz="4" w:space="0" w:color="8B73FF"/>
              <w:left w:val="single" w:sz="4" w:space="0" w:color="8B73FF"/>
              <w:bottom w:val="single" w:sz="4" w:space="0" w:color="8B73FF"/>
              <w:right w:val="single" w:sz="4" w:space="0" w:color="8B73FF"/>
            </w:tcBorders>
          </w:tcPr>
          <w:p w14:paraId="791CA847" w14:textId="3D5A4C5F" w:rsidR="00F709B8" w:rsidRPr="00F709B8" w:rsidRDefault="232696CB" w:rsidP="6A9D9E40">
            <w:pPr>
              <w:jc w:val="center"/>
              <w:rPr>
                <w:noProof/>
                <w:sz w:val="18"/>
                <w:szCs w:val="18"/>
                <w:lang w:eastAsia="en-IE"/>
              </w:rPr>
            </w:pPr>
            <w:r w:rsidRPr="6A9D9E40">
              <w:rPr>
                <w:noProof/>
                <w:sz w:val="18"/>
                <w:szCs w:val="18"/>
              </w:rPr>
              <w:t>100</w:t>
            </w:r>
          </w:p>
        </w:tc>
      </w:tr>
    </w:tbl>
    <w:tbl>
      <w:tblPr>
        <w:tblW w:w="5519" w:type="pct"/>
        <w:tblInd w:w="15" w:type="dxa"/>
        <w:tblCellMar>
          <w:top w:w="15" w:type="dxa"/>
          <w:bottom w:w="15" w:type="dxa"/>
        </w:tblCellMar>
        <w:tblLook w:val="04A0" w:firstRow="1" w:lastRow="0" w:firstColumn="1" w:lastColumn="0" w:noHBand="0" w:noVBand="1"/>
      </w:tblPr>
      <w:tblGrid>
        <w:gridCol w:w="9963"/>
      </w:tblGrid>
      <w:tr w:rsidR="006C1A96" w:rsidRPr="007C0C4B" w14:paraId="3F98561B" w14:textId="77777777" w:rsidTr="006C1A96">
        <w:trPr>
          <w:trHeight w:val="59"/>
        </w:trPr>
        <w:tc>
          <w:tcPr>
            <w:tcW w:w="5000" w:type="pct"/>
            <w:vAlign w:val="center"/>
            <w:hideMark/>
          </w:tcPr>
          <w:p w14:paraId="53D1C4DE" w14:textId="77777777" w:rsidR="006C1A96" w:rsidRDefault="006C1A96" w:rsidP="000B0100">
            <w:pPr>
              <w:spacing w:after="0" w:line="240" w:lineRule="auto"/>
              <w:rPr>
                <w:rFonts w:ascii="Calibri" w:eastAsia="Times New Roman" w:hAnsi="Calibri" w:cs="Calibri"/>
                <w:noProof/>
                <w:color w:val="000000"/>
                <w:kern w:val="0"/>
                <w:sz w:val="16"/>
                <w:szCs w:val="16"/>
                <w:lang w:eastAsia="en-IE"/>
                <w14:ligatures w14:val="none"/>
              </w:rPr>
            </w:pPr>
            <w:r w:rsidRPr="009939AA">
              <w:rPr>
                <w:rFonts w:ascii="Calibri" w:eastAsia="Times New Roman" w:hAnsi="Calibri" w:cs="Calibri"/>
                <w:noProof/>
                <w:color w:val="000000"/>
                <w:kern w:val="0"/>
                <w:sz w:val="16"/>
                <w:szCs w:val="16"/>
                <w:lang w:eastAsia="en-IE"/>
                <w14:ligatures w14:val="none"/>
              </w:rPr>
              <w:t xml:space="preserve">(1) </w:t>
            </w:r>
            <w:r w:rsidRPr="00A50CF3">
              <w:rPr>
                <w:rFonts w:ascii="Calibri" w:hAnsi="Calibri" w:cs="Calibri"/>
                <w:noProof/>
                <w:sz w:val="16"/>
                <w:szCs w:val="16"/>
              </w:rPr>
              <w:t xml:space="preserve">Indicators full description, metadata and sources in the </w:t>
            </w:r>
            <w:hyperlink r:id="rId25" w:history="1">
              <w:r w:rsidRPr="00A50CF3">
                <w:rPr>
                  <w:rStyle w:val="Hyperlink"/>
                  <w:rFonts w:ascii="Calibri" w:hAnsi="Calibri" w:cs="Calibri"/>
                  <w:noProof/>
                  <w:sz w:val="16"/>
                  <w:szCs w:val="16"/>
                </w:rPr>
                <w:t>DESI 2026 methodological note</w:t>
              </w:r>
            </w:hyperlink>
            <w:r w:rsidRPr="009939AA">
              <w:rPr>
                <w:rFonts w:ascii="Calibri" w:eastAsia="Times New Roman" w:hAnsi="Calibri" w:cs="Calibri"/>
                <w:noProof/>
                <w:color w:val="000000"/>
                <w:kern w:val="0"/>
                <w:sz w:val="16"/>
                <w:szCs w:val="16"/>
                <w:lang w:eastAsia="en-IE"/>
                <w14:ligatures w14:val="none"/>
              </w:rPr>
              <w:br/>
              <w:t>(2) Last available data is DESI2025 (reference year 2024) except for indicators marked with a star * for which it is DESI2024 (reference year 2023)</w:t>
            </w:r>
            <w:r w:rsidRPr="009939AA">
              <w:rPr>
                <w:rFonts w:ascii="Calibri" w:eastAsia="Times New Roman" w:hAnsi="Calibri" w:cs="Calibri"/>
                <w:noProof/>
                <w:color w:val="000000"/>
                <w:kern w:val="0"/>
                <w:sz w:val="16"/>
                <w:szCs w:val="16"/>
                <w:lang w:eastAsia="en-IE"/>
                <w14:ligatures w14:val="none"/>
              </w:rPr>
              <w:br/>
              <w:t>(3) National trajectory value for 2025, if set by the country in its Digital Decade national roadmap</w:t>
            </w:r>
          </w:p>
          <w:p w14:paraId="317A6598" w14:textId="77777777" w:rsidR="006C1A96" w:rsidRPr="007C0C4B" w:rsidRDefault="006C1A96" w:rsidP="000B0100">
            <w:pPr>
              <w:spacing w:after="0" w:line="240" w:lineRule="auto"/>
              <w:rPr>
                <w:rFonts w:eastAsia="Times New Roman" w:cstheme="minorHAnsi"/>
                <w:noProof/>
                <w:color w:val="000000"/>
                <w:kern w:val="0"/>
                <w:sz w:val="18"/>
                <w:szCs w:val="18"/>
                <w:lang w:eastAsia="en-IE"/>
                <w14:ligatures w14:val="none"/>
              </w:rPr>
            </w:pPr>
          </w:p>
        </w:tc>
      </w:tr>
    </w:tbl>
    <w:p w14:paraId="522C1423" w14:textId="77777777" w:rsidR="006C1A96" w:rsidRPr="004B35E6" w:rsidRDefault="006C1A96" w:rsidP="006C1A96">
      <w:pPr>
        <w:pStyle w:val="Heading2"/>
        <w:rPr>
          <w:noProof/>
        </w:rPr>
      </w:pPr>
      <w:bookmarkStart w:id="5" w:name="_Hlk223536248"/>
      <w:bookmarkStart w:id="6" w:name="_Toc229045821"/>
      <w:r>
        <w:rPr>
          <w:noProof/>
        </w:rPr>
        <w:t>A competitive, sovereign and resilient EU based on technological leadership</w:t>
      </w:r>
      <w:bookmarkEnd w:id="5"/>
      <w:bookmarkEnd w:id="6"/>
    </w:p>
    <w:p w14:paraId="622DA1F8" w14:textId="77777777" w:rsidR="00F352F0" w:rsidRPr="004B35E6" w:rsidRDefault="00F352F0" w:rsidP="003107E1">
      <w:pPr>
        <w:pStyle w:val="Heading2"/>
        <w:rPr>
          <w:noProof/>
        </w:rPr>
      </w:pPr>
      <w:bookmarkStart w:id="7" w:name="_Toc231830977"/>
      <w:r>
        <w:rPr>
          <w:noProof/>
        </w:rPr>
        <w:t>A competitive, sovereign and resilient EU based on technological leadership</w:t>
      </w:r>
      <w:bookmarkEnd w:id="7"/>
    </w:p>
    <w:p w14:paraId="0BABA25B" w14:textId="77777777" w:rsidR="00F352F0" w:rsidRPr="00C424A5" w:rsidRDefault="00F352F0" w:rsidP="003107E1">
      <w:pPr>
        <w:jc w:val="both"/>
        <w:rPr>
          <w:noProof/>
        </w:rPr>
      </w:pPr>
      <w:bookmarkStart w:id="8" w:name="_Hlk223536312"/>
      <w:r w:rsidRPr="00AC050B">
        <w:rPr>
          <w:noProof/>
        </w:rPr>
        <w:t>Lithuania performs above the EU average in 5G coverage but below it on VHCN, and lags behind its national trajectory on VHCN coverage, with rural areas particularly underserved.</w:t>
      </w:r>
      <w:r>
        <w:rPr>
          <w:noProof/>
        </w:rPr>
        <w:t xml:space="preserve"> </w:t>
      </w:r>
      <w:r w:rsidRPr="7E9E39FA">
        <w:rPr>
          <w:rFonts w:ascii="Calibri" w:eastAsia="Calibri" w:hAnsi="Calibri" w:cs="Calibri"/>
          <w:noProof/>
        </w:rPr>
        <w:t xml:space="preserve">VHCN and FTTP coverage figures are virtually identical in Lithuania, reflecting a network that is almost entirely fibre-based, meaning the rural coverage gap is the same for both indicators and </w:t>
      </w:r>
      <w:r>
        <w:rPr>
          <w:rFonts w:ascii="Calibri" w:eastAsia="Calibri" w:hAnsi="Calibri" w:cs="Calibri"/>
          <w:noProof/>
        </w:rPr>
        <w:t>arises out of</w:t>
      </w:r>
      <w:r w:rsidRPr="7E9E39FA">
        <w:rPr>
          <w:rFonts w:ascii="Calibri" w:eastAsia="Calibri" w:hAnsi="Calibri" w:cs="Calibri"/>
          <w:noProof/>
        </w:rPr>
        <w:t xml:space="preserve"> the same structural cause. The absence of broad-scale public support for last-mile fibre deployment to ordinary households leaves commercially unattractive areas at risk of being permanently excluded from gigabit coverage</w:t>
      </w:r>
      <w:r>
        <w:rPr>
          <w:noProof/>
        </w:rPr>
        <w:t xml:space="preserve">. </w:t>
      </w:r>
      <w:r w:rsidRPr="000A7176">
        <w:rPr>
          <w:noProof/>
        </w:rPr>
        <w:t xml:space="preserve">The remaining 5G gaps concern mid-band deployment in rural areas and the transition to </w:t>
      </w:r>
      <w:r>
        <w:rPr>
          <w:noProof/>
        </w:rPr>
        <w:t>s</w:t>
      </w:r>
      <w:r w:rsidRPr="000A7176">
        <w:rPr>
          <w:noProof/>
        </w:rPr>
        <w:t>tandalone networks, needed to enable advanced industrial use cases.</w:t>
      </w:r>
      <w:r w:rsidRPr="7E9E39FA">
        <w:rPr>
          <w:rFonts w:ascii="Calibri" w:eastAsia="Calibri" w:hAnsi="Calibri" w:cs="Calibri"/>
          <w:noProof/>
        </w:rPr>
        <w:t xml:space="preserve"> Lithuania's semiconductor ecosystem remains at an early stage, but the country's world-leading laser and photonics industry provides a </w:t>
      </w:r>
      <w:r>
        <w:rPr>
          <w:rFonts w:ascii="Calibri" w:eastAsia="Calibri" w:hAnsi="Calibri" w:cs="Calibri"/>
          <w:noProof/>
        </w:rPr>
        <w:t>natural</w:t>
      </w:r>
      <w:r w:rsidRPr="7E9E39FA">
        <w:rPr>
          <w:rFonts w:ascii="Calibri" w:eastAsia="Calibri" w:hAnsi="Calibri" w:cs="Calibri"/>
          <w:noProof/>
        </w:rPr>
        <w:t xml:space="preserve"> entry point into semiconductor-adjacent technologies, particularly for back-end applications and quantum photonics. Building on this strength to develop back-end production capacities and specialised skills would </w:t>
      </w:r>
      <w:r>
        <w:rPr>
          <w:rFonts w:ascii="Calibri" w:eastAsia="Calibri" w:hAnsi="Calibri" w:cs="Calibri"/>
          <w:noProof/>
        </w:rPr>
        <w:t>enable</w:t>
      </w:r>
      <w:r w:rsidRPr="7E9E39FA">
        <w:rPr>
          <w:rFonts w:ascii="Calibri" w:eastAsia="Calibri" w:hAnsi="Calibri" w:cs="Calibri"/>
          <w:noProof/>
        </w:rPr>
        <w:t xml:space="preserve"> Lithuania to carve out a strategic niche in the EU semiconductor value chain. The country does not participate in the EU Chips Act</w:t>
      </w:r>
      <w:r>
        <w:rPr>
          <w:rFonts w:ascii="Calibri" w:eastAsia="Calibri" w:hAnsi="Calibri" w:cs="Calibri"/>
          <w:noProof/>
        </w:rPr>
        <w:t>’</w:t>
      </w:r>
      <w:r w:rsidRPr="7E9E39FA">
        <w:rPr>
          <w:rFonts w:ascii="Calibri" w:eastAsia="Calibri" w:hAnsi="Calibri" w:cs="Calibri"/>
          <w:noProof/>
        </w:rPr>
        <w:t xml:space="preserve">s front-end pilot lines, and its semiconductor ecosystem remains concentrated in niche and back-end activities, with a need to develop both production capacities and specialised skills in these segments. </w:t>
      </w:r>
      <w:r>
        <w:rPr>
          <w:noProof/>
        </w:rPr>
        <w:t xml:space="preserve">On the business side, SMEs have largely caught up with the EU </w:t>
      </w:r>
      <w:r w:rsidRPr="7E9E39FA">
        <w:rPr>
          <w:b/>
          <w:bCs/>
          <w:noProof/>
        </w:rPr>
        <w:t>basic digital intensity</w:t>
      </w:r>
      <w:r>
        <w:rPr>
          <w:b/>
          <w:bCs/>
          <w:noProof/>
        </w:rPr>
        <w:t xml:space="preserve"> </w:t>
      </w:r>
      <w:r>
        <w:rPr>
          <w:noProof/>
        </w:rPr>
        <w:t xml:space="preserve">average, supported by a well-structured portfolio of co-funded instruments further expanded and simplified in 2025. The adoption of advanced digital technologies is above the EU average across all three indicators, but this masks significant sectoral </w:t>
      </w:r>
      <w:r w:rsidRPr="000A5487">
        <w:rPr>
          <w:noProof/>
        </w:rPr>
        <w:t>concentration: adoption remains low outside the ICT-intensive core, and large enterprises lag behind the EU average on AI adoption. Lithuania has invested a lot in AI infrastructure through the LitAI AI Factory, expected to be operational by early 2027, and has established GovAI, an AI Competence Centr</w:t>
      </w:r>
      <w:r>
        <w:rPr>
          <w:noProof/>
        </w:rPr>
        <w:t>e</w:t>
      </w:r>
      <w:r w:rsidRPr="000A5487">
        <w:rPr>
          <w:noProof/>
        </w:rPr>
        <w:t xml:space="preserve"> for the Public Sector that has been providing services to public institutions since February 2026. The </w:t>
      </w:r>
      <w:r w:rsidRPr="7E9E39FA">
        <w:rPr>
          <w:b/>
          <w:bCs/>
          <w:noProof/>
        </w:rPr>
        <w:t>start</w:t>
      </w:r>
      <w:r>
        <w:rPr>
          <w:b/>
          <w:bCs/>
          <w:noProof/>
        </w:rPr>
        <w:t>-</w:t>
      </w:r>
      <w:r w:rsidRPr="7E9E39FA">
        <w:rPr>
          <w:b/>
          <w:bCs/>
          <w:noProof/>
        </w:rPr>
        <w:t>up ecosystem</w:t>
      </w:r>
      <w:r>
        <w:rPr>
          <w:noProof/>
        </w:rPr>
        <w:t xml:space="preserve"> is the fastest-growing in Central and Eastern Europe, with record levels of venture capital raised in 2025, though structural gaps in late-stage financing and exit pathways limit unicorn emergence.</w:t>
      </w:r>
    </w:p>
    <w:p w14:paraId="528028D1" w14:textId="77777777" w:rsidR="00F352F0" w:rsidRDefault="00F352F0" w:rsidP="003107E1">
      <w:pPr>
        <w:pStyle w:val="Heading2"/>
        <w:rPr>
          <w:noProof/>
        </w:rPr>
      </w:pPr>
      <w:bookmarkStart w:id="9" w:name="_Toc231830978"/>
      <w:r>
        <w:rPr>
          <w:noProof/>
        </w:rPr>
        <w:t>Protecting and empowering EU people and society</w:t>
      </w:r>
      <w:bookmarkEnd w:id="8"/>
      <w:bookmarkEnd w:id="9"/>
    </w:p>
    <w:p w14:paraId="19AAB6C4" w14:textId="38D99FD5" w:rsidR="00F352F0" w:rsidRPr="00C424A5" w:rsidRDefault="00F352F0" w:rsidP="00F352F0">
      <w:pPr>
        <w:jc w:val="both"/>
        <w:rPr>
          <w:rFonts w:ascii="Calibri" w:eastAsia="Calibri" w:hAnsi="Calibri" w:cs="Calibri"/>
          <w:noProof/>
        </w:rPr>
      </w:pPr>
      <w:r w:rsidRPr="79A071FE">
        <w:rPr>
          <w:b/>
          <w:bCs/>
          <w:noProof/>
        </w:rPr>
        <w:t>Basic digital skills</w:t>
      </w:r>
      <w:r>
        <w:rPr>
          <w:noProof/>
        </w:rPr>
        <w:t xml:space="preserve"> remain significantly below the EU average and are increasing well below the EU trend, with Lithuania lagging far behind its national 2030 trajectory. The gap is widest among older adults – whose proficiency rate is nearly 20 percentage points below the EU average for the same age group – and among rural and suburban populations. </w:t>
      </w:r>
      <w:r w:rsidRPr="79A071FE">
        <w:rPr>
          <w:rFonts w:ascii="Calibri" w:eastAsia="Calibri" w:hAnsi="Calibri" w:cs="Calibri"/>
          <w:noProof/>
        </w:rPr>
        <w:t xml:space="preserve">The </w:t>
      </w:r>
      <w:hyperlink r:id="rId26">
        <w:r w:rsidRPr="79A071FE">
          <w:rPr>
            <w:rStyle w:val="Hyperlink"/>
            <w:rFonts w:ascii="Calibri" w:eastAsia="Calibri" w:hAnsi="Calibri" w:cs="Calibri"/>
            <w:i/>
            <w:iCs/>
            <w:noProof/>
          </w:rPr>
          <w:t>Prisijungusi Lietuva</w:t>
        </w:r>
      </w:hyperlink>
      <w:r>
        <w:rPr>
          <w:noProof/>
        </w:rPr>
        <w:t xml:space="preserve"> (Connected Lithuania)</w:t>
      </w:r>
      <w:r w:rsidRPr="79A071FE">
        <w:rPr>
          <w:rFonts w:ascii="Calibri" w:eastAsia="Calibri" w:hAnsi="Calibri" w:cs="Calibri"/>
          <w:noProof/>
        </w:rPr>
        <w:t xml:space="preserve"> proximity-based training model has demonstrated measurable effectiveness at reaching these excluded groups, but operates at a scale that remains insufficient relative to the gap and relies on Recovery and Resilience Facility (RRF) funding whose continuation beyond 2026 is not guaranteed</w:t>
      </w:r>
      <w:r>
        <w:rPr>
          <w:noProof/>
        </w:rPr>
        <w:t xml:space="preserve">. </w:t>
      </w:r>
      <w:r w:rsidRPr="79A071FE">
        <w:rPr>
          <w:rFonts w:ascii="Calibri" w:eastAsia="Calibri" w:hAnsi="Calibri" w:cs="Calibri"/>
          <w:noProof/>
        </w:rPr>
        <w:t xml:space="preserve">The share of ICT specialists is among the highest in Europe, but the sector contracted in 2024 due to economic stagnation, with a particularly sharp decline in ICT specialists who are women, putting Lithuania below the EU average. The share of ICT specialists who are women recovered strongly in 2025, putting the country back above the EU average, but this progress has not yet been underpinned by dedicated policy measures. </w:t>
      </w:r>
      <w:r w:rsidRPr="79A071FE">
        <w:rPr>
          <w:b/>
          <w:bCs/>
          <w:noProof/>
        </w:rPr>
        <w:t>Digital public services</w:t>
      </w:r>
      <w:r>
        <w:rPr>
          <w:noProof/>
        </w:rPr>
        <w:t xml:space="preserve"> perform well,</w:t>
      </w:r>
      <w:r w:rsidRPr="79A071FE">
        <w:rPr>
          <w:rFonts w:eastAsiaTheme="minorEastAsia"/>
          <w:noProof/>
        </w:rPr>
        <w:t xml:space="preserve"> with Lithuania among the best performing EU countries when it comes to open data maturity and delivering significant e-health infrastructure improvements in 2025, including new subsystems for maternal health, laboratory data, as well as a new mental health data set. The EU Digital Identity (EUDI) Wallet is in active preparation. On </w:t>
      </w:r>
      <w:r>
        <w:rPr>
          <w:noProof/>
        </w:rPr>
        <w:t xml:space="preserve">the link between the green and digital transitions, no integrated strategy or monitoring framework has been adopted, and the dual transition remains largely unrealised in policy terms. </w:t>
      </w:r>
      <w:r w:rsidRPr="79A071FE">
        <w:rPr>
          <w:rFonts w:ascii="Calibri" w:eastAsia="Calibri" w:hAnsi="Calibri" w:cs="Calibri"/>
          <w:noProof/>
        </w:rPr>
        <w:t>The LitAI AI Factory, which will operate on green energy and include smart industry among its priority sectors from 2026 onwards, is an emerging but not yet operational contribution to this agenda.</w:t>
      </w:r>
    </w:p>
    <w:tbl>
      <w:tblPr>
        <w:tblStyle w:val="TableGrid"/>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8889"/>
      </w:tblGrid>
      <w:tr w:rsidR="006C1A96" w:rsidRPr="003F33C1" w14:paraId="255CD844" w14:textId="77777777" w:rsidTr="7DF2765D">
        <w:trPr>
          <w:cantSplit/>
          <w:trHeight w:hRule="exact" w:val="12059"/>
        </w:trPr>
        <w:tc>
          <w:tcPr>
            <w:tcW w:w="8889" w:type="dxa"/>
            <w:tcBorders>
              <w:top w:val="single" w:sz="4" w:space="0" w:color="8B73FF"/>
              <w:left w:val="single" w:sz="4" w:space="0" w:color="8B73FF"/>
              <w:bottom w:val="single" w:sz="4" w:space="0" w:color="8B73FF"/>
              <w:right w:val="single" w:sz="4" w:space="0" w:color="8B73FF"/>
            </w:tcBorders>
            <w:vAlign w:val="center"/>
          </w:tcPr>
          <w:p w14:paraId="74671B79" w14:textId="77777777" w:rsidR="006C1A96" w:rsidRDefault="006C1A96" w:rsidP="000B0100">
            <w:pPr>
              <w:pStyle w:val="Heading2"/>
              <w:outlineLvl w:val="1"/>
              <w:rPr>
                <w:rFonts w:ascii="Calibri" w:eastAsia="Calibri" w:hAnsi="Calibri" w:cs="Calibri"/>
                <w:noProof/>
                <w:sz w:val="22"/>
                <w:szCs w:val="22"/>
              </w:rPr>
            </w:pPr>
            <w:bookmarkStart w:id="10" w:name="_Toc229045823"/>
            <w:r>
              <w:rPr>
                <w:noProof/>
              </w:rPr>
              <w:t>Recommendations</w:t>
            </w:r>
            <w:bookmarkEnd w:id="10"/>
          </w:p>
          <w:p w14:paraId="632F750B" w14:textId="77777777" w:rsidR="00CE0B13" w:rsidRPr="004B35E6" w:rsidRDefault="00CE0B13" w:rsidP="00CE0B13">
            <w:pPr>
              <w:pStyle w:val="ListParagraph"/>
              <w:numPr>
                <w:ilvl w:val="0"/>
                <w:numId w:val="1"/>
              </w:numPr>
              <w:spacing w:before="240"/>
              <w:rPr>
                <w:noProof/>
              </w:rPr>
            </w:pPr>
            <w:r w:rsidRPr="3C30EB07">
              <w:rPr>
                <w:b/>
                <w:bCs/>
                <w:noProof/>
              </w:rPr>
              <w:t>Basic Digital Skills:</w:t>
            </w:r>
            <w:r>
              <w:rPr>
                <w:noProof/>
              </w:rPr>
              <w:t xml:space="preserve"> Strengthen Lithuania’s digital skills base, in particular by: (i) </w:t>
            </w:r>
            <w:r w:rsidRPr="3C30EB07">
              <w:rPr>
                <w:noProof/>
              </w:rPr>
              <w:t>scaling up proximity-based delivery by extending the Prisijungusi Lietuva model beyond its current scope to establish a sustainable national network of trained digital mediators systematically integrated into social and employment services</w:t>
            </w:r>
            <w:r>
              <w:rPr>
                <w:noProof/>
              </w:rPr>
              <w:t>, (ii) introducing demand-side incentives, such as targeted training vouchers for low-skilled adults and older citizens; (iii) developing tailored awareness campaigns to reach the most excluded groups.</w:t>
            </w:r>
          </w:p>
          <w:p w14:paraId="2EAA13DE" w14:textId="77777777" w:rsidR="00CE0B13" w:rsidRDefault="00CE0B13" w:rsidP="00CE0B13">
            <w:pPr>
              <w:pStyle w:val="ListParagraph"/>
              <w:numPr>
                <w:ilvl w:val="0"/>
                <w:numId w:val="1"/>
              </w:numPr>
              <w:spacing w:before="240"/>
              <w:rPr>
                <w:rFonts w:ascii="Calibri" w:eastAsia="Calibri" w:hAnsi="Calibri" w:cs="Calibri"/>
                <w:noProof/>
                <w:color w:val="000000" w:themeColor="text1"/>
                <w:lang w:val="en-IE"/>
              </w:rPr>
            </w:pPr>
            <w:r w:rsidRPr="7DF0BC4D">
              <w:rPr>
                <w:rFonts w:ascii="Calibri" w:eastAsia="Calibri" w:hAnsi="Calibri" w:cs="Calibri"/>
                <w:b/>
                <w:bCs/>
                <w:noProof/>
                <w:color w:val="000000" w:themeColor="text1"/>
              </w:rPr>
              <w:t xml:space="preserve">AI: </w:t>
            </w:r>
            <w:r>
              <w:rPr>
                <w:noProof/>
              </w:rPr>
              <w:t xml:space="preserve"> </w:t>
            </w:r>
            <w:r w:rsidRPr="7DF0BC4D">
              <w:rPr>
                <w:b/>
                <w:bCs/>
                <w:noProof/>
              </w:rPr>
              <w:t xml:space="preserve">: </w:t>
            </w:r>
            <w:r>
              <w:rPr>
                <w:noProof/>
              </w:rPr>
              <w:t>Accelerate the adoption of AI across the business sector, in particular by: (i) promoting AI uptake in sectors outside the ICT-intensive core, such as manufacturing, construction and traditional services, through targeted awareness-raising and advisory support; (ii) participating in the sectoral Apply AI flagships to develop sector-specific AI applications; (iii) ensuring the timely operationalisation of the LitAI AI Factory to provide broad-based access to AI infrastructure for businesses of all sizes.</w:t>
            </w:r>
          </w:p>
          <w:p w14:paraId="4DC90291" w14:textId="7F157DFF" w:rsidR="00CE0B13" w:rsidRPr="004B35E6" w:rsidRDefault="00CE0B13" w:rsidP="7DF2765D">
            <w:pPr>
              <w:pStyle w:val="ListParagraph"/>
              <w:numPr>
                <w:ilvl w:val="0"/>
                <w:numId w:val="4"/>
              </w:numPr>
              <w:spacing w:before="240"/>
              <w:rPr>
                <w:noProof/>
              </w:rPr>
            </w:pPr>
            <w:r w:rsidRPr="7DF2765D">
              <w:rPr>
                <w:b/>
                <w:bCs/>
                <w:noProof/>
              </w:rPr>
              <w:t>Connectivity:</w:t>
            </w:r>
            <w:r>
              <w:rPr>
                <w:noProof/>
              </w:rPr>
              <w:t xml:space="preserve"> Accelerate the deployment of high-capacity digital infrastructure, in particular by: (i) introducing targeted public support for last-mile fibre deployment in commercially unattractive rural areas to close the FTTP coverage gap; (ii) </w:t>
            </w:r>
            <w:r w:rsidR="38F1A272" w:rsidRPr="7DF2765D">
              <w:rPr>
                <w:noProof/>
              </w:rPr>
              <w:t xml:space="preserve">sustaining </w:t>
            </w:r>
            <w:r>
              <w:rPr>
                <w:noProof/>
              </w:rPr>
              <w:t>5G rollout in the 3.4-3.8 GHz mid-band in rural areas and promoting the deployment of 5G Standalone networks to enable advanced use cases; (iii) taking advantage of upcoming spectrum licence renewals to put in place pro-investment</w:t>
            </w:r>
            <w:r w:rsidRPr="7DF2765D">
              <w:rPr>
                <w:rFonts w:ascii="Segoe UI" w:eastAsia="Segoe UI" w:hAnsi="Segoe UI" w:cs="Segoe UI"/>
                <w:noProof/>
                <w:color w:val="242424"/>
                <w:sz w:val="21"/>
                <w:szCs w:val="21"/>
              </w:rPr>
              <w:t xml:space="preserve"> conditions.</w:t>
            </w:r>
            <w:r>
              <w:rPr>
                <w:noProof/>
              </w:rPr>
              <w:t xml:space="preserve"> </w:t>
            </w:r>
          </w:p>
          <w:p w14:paraId="33744320" w14:textId="77777777" w:rsidR="00CE0B13" w:rsidRPr="004B35E6" w:rsidRDefault="00CE0B13" w:rsidP="00CE0B13">
            <w:pPr>
              <w:pStyle w:val="ListParagraph"/>
              <w:numPr>
                <w:ilvl w:val="0"/>
                <w:numId w:val="4"/>
              </w:numPr>
              <w:spacing w:before="240"/>
              <w:rPr>
                <w:noProof/>
              </w:rPr>
            </w:pPr>
            <w:r w:rsidRPr="3C30EB07">
              <w:rPr>
                <w:b/>
                <w:bCs/>
                <w:noProof/>
              </w:rPr>
              <w:t>Cybersecurity:</w:t>
            </w:r>
            <w:r>
              <w:rPr>
                <w:noProof/>
              </w:rPr>
              <w:t xml:space="preserve"> Build on the country’s strong cyber resilience by further enhancing public cyber awareness and institutional coordination. In particular: (i) continue scaling cyber awareness efforts across all population groups and sectors, with particular attention to vulnerable groups such as seniors and SMEs; (ii) </w:t>
            </w:r>
            <w:r w:rsidRPr="3C30EB07">
              <w:rPr>
                <w:noProof/>
              </w:rPr>
              <w:t>consolidate the organisational framework for cybersecurity by strengthening measurable implementation targets and structured cross-sector cooperation mechanisms.</w:t>
            </w:r>
          </w:p>
          <w:p w14:paraId="0E400349" w14:textId="77777777" w:rsidR="00CE0B13" w:rsidRPr="004B35E6" w:rsidRDefault="00CE0B13" w:rsidP="00CE0B13">
            <w:pPr>
              <w:pStyle w:val="ListParagraph"/>
              <w:numPr>
                <w:ilvl w:val="0"/>
                <w:numId w:val="4"/>
              </w:numPr>
              <w:spacing w:before="240"/>
              <w:rPr>
                <w:noProof/>
              </w:rPr>
            </w:pPr>
            <w:r w:rsidRPr="13BD0C96">
              <w:rPr>
                <w:b/>
                <w:bCs/>
                <w:noProof/>
              </w:rPr>
              <w:t xml:space="preserve">ICT specialists: </w:t>
            </w:r>
            <w:r>
              <w:rPr>
                <w:noProof/>
              </w:rPr>
              <w:t>Strengthen the ICT talent pipeline and improve gender balance in the sector. In particular, (i) scale up retraining programmes to support career transitions into ICT; (ii) introduce targeted measures to increase and structurally embed female participation in ICT specialist roles, including dedicated programme design, clear targets and funding beyond the general instruments currently available.</w:t>
            </w:r>
          </w:p>
          <w:p w14:paraId="48CAC722" w14:textId="77777777" w:rsidR="00CE0B13" w:rsidRPr="004B35E6" w:rsidRDefault="00CE0B13" w:rsidP="00CE0B13">
            <w:pPr>
              <w:pStyle w:val="ListParagraph"/>
              <w:numPr>
                <w:ilvl w:val="0"/>
                <w:numId w:val="4"/>
              </w:numPr>
              <w:spacing w:before="240"/>
              <w:rPr>
                <w:rFonts w:ascii="Calibri" w:eastAsia="Calibri" w:hAnsi="Calibri" w:cs="Calibri"/>
                <w:noProof/>
                <w:color w:val="000000" w:themeColor="text1"/>
                <w:lang w:val="en-IE"/>
              </w:rPr>
            </w:pPr>
            <w:r w:rsidRPr="13BD0C96">
              <w:rPr>
                <w:b/>
                <w:bCs/>
                <w:noProof/>
              </w:rPr>
              <w:t xml:space="preserve">Green: </w:t>
            </w:r>
            <w:r>
              <w:rPr>
                <w:noProof/>
              </w:rPr>
              <w:t>Adopt an integrated green-digital strategy with measurable sector-specific targets and establish a national monitoring framework to track ICT-enabled emission reductions across the economy. Build on the LitAI AI Factory's green energy and smart industry pipeline to scale up digital solutions supporting climate goals among businesses and public sector entities.</w:t>
            </w:r>
          </w:p>
          <w:p w14:paraId="2646455C" w14:textId="77777777" w:rsidR="00CE0B13" w:rsidRPr="004B35E6" w:rsidRDefault="00CE0B13" w:rsidP="00CE0B13">
            <w:pPr>
              <w:pStyle w:val="ListParagraph"/>
              <w:numPr>
                <w:ilvl w:val="0"/>
                <w:numId w:val="4"/>
              </w:numPr>
              <w:spacing w:before="240"/>
              <w:rPr>
                <w:rFonts w:ascii="Calibri" w:eastAsia="Calibri" w:hAnsi="Calibri" w:cs="Calibri"/>
                <w:noProof/>
                <w:color w:val="000000" w:themeColor="text1"/>
                <w:lang w:val="en-IE"/>
              </w:rPr>
            </w:pPr>
            <w:r w:rsidRPr="13BD0C96">
              <w:rPr>
                <w:rFonts w:ascii="Calibri" w:eastAsia="Calibri" w:hAnsi="Calibri" w:cs="Calibri"/>
                <w:b/>
                <w:bCs/>
                <w:noProof/>
                <w:color w:val="000000" w:themeColor="text1"/>
                <w:lang w:val="en-IE"/>
              </w:rPr>
              <w:t>Semiconductors:</w:t>
            </w:r>
            <w:r w:rsidRPr="13BD0C96">
              <w:rPr>
                <w:rFonts w:ascii="Calibri" w:eastAsia="Calibri" w:hAnsi="Calibri" w:cs="Calibri"/>
                <w:noProof/>
                <w:color w:val="000000" w:themeColor="text1"/>
                <w:lang w:val="en-IE"/>
              </w:rPr>
              <w:t xml:space="preserve"> Invest in the development of semiconductor back-end technologies, and support the development of specialised semiconductor skills in advanced semiconductor technologies.</w:t>
            </w:r>
          </w:p>
          <w:p w14:paraId="4E90D589" w14:textId="77777777" w:rsidR="006C1A96" w:rsidRPr="004B35E6" w:rsidRDefault="006C1A96" w:rsidP="000B0100">
            <w:pPr>
              <w:pStyle w:val="ListParagraph"/>
              <w:spacing w:before="240"/>
              <w:ind w:left="1068"/>
              <w:rPr>
                <w:noProof/>
                <w:lang w:val="en-IE"/>
              </w:rPr>
            </w:pPr>
          </w:p>
        </w:tc>
      </w:tr>
    </w:tbl>
    <w:p w14:paraId="6C698B0A" w14:textId="1F277931" w:rsidR="006C1A96" w:rsidRPr="00CE0B13" w:rsidRDefault="006C1A96" w:rsidP="00CE0B13">
      <w:pPr>
        <w:jc w:val="both"/>
        <w:rPr>
          <w:b/>
          <w:noProof/>
          <w:color w:val="FF0000"/>
        </w:rPr>
      </w:pPr>
    </w:p>
    <w:sectPr w:rsidR="006C1A96" w:rsidRPr="00CE0B13" w:rsidSect="006E5BE9">
      <w:headerReference w:type="default" r:id="rId27"/>
      <w:footerReference w:type="default" r:id="rId28"/>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A090E" w14:textId="77777777" w:rsidR="009D5ED9" w:rsidRDefault="009D5ED9" w:rsidP="00115654">
      <w:pPr>
        <w:spacing w:after="0" w:line="240" w:lineRule="auto"/>
      </w:pPr>
      <w:r>
        <w:separator/>
      </w:r>
    </w:p>
  </w:endnote>
  <w:endnote w:type="continuationSeparator" w:id="0">
    <w:p w14:paraId="253CF045" w14:textId="77777777" w:rsidR="009D5ED9" w:rsidRDefault="009D5ED9"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43A67" w14:textId="47B0F30C" w:rsidR="00DF6B05" w:rsidRPr="00DF6B05" w:rsidRDefault="00DF6B05" w:rsidP="00DF6B05">
    <w:pPr>
      <w:pStyle w:val="FooterCoverPage"/>
      <w:rPr>
        <w:rFonts w:ascii="Arial" w:hAnsi="Arial" w:cs="Arial"/>
        <w:b/>
        <w:sz w:val="48"/>
      </w:rPr>
    </w:pPr>
    <w:r w:rsidRPr="00DF6B05">
      <w:rPr>
        <w:rFonts w:ascii="Arial" w:hAnsi="Arial" w:cs="Arial"/>
        <w:b/>
        <w:sz w:val="48"/>
      </w:rPr>
      <w:t>EN</w:t>
    </w:r>
    <w:r w:rsidRPr="00DF6B05">
      <w:rPr>
        <w:rFonts w:ascii="Arial" w:hAnsi="Arial" w:cs="Arial"/>
        <w:b/>
        <w:sz w:val="48"/>
      </w:rPr>
      <w:tab/>
    </w:r>
    <w:r w:rsidRPr="00DF6B05">
      <w:rPr>
        <w:rFonts w:ascii="Arial" w:hAnsi="Arial" w:cs="Arial"/>
        <w:b/>
        <w:sz w:val="48"/>
      </w:rPr>
      <w:tab/>
    </w:r>
    <w:r w:rsidRPr="00DF6B05">
      <w:tab/>
    </w:r>
    <w:r w:rsidRPr="00DF6B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0DF8D" w14:textId="0037744D" w:rsidR="00DF6B05" w:rsidRPr="00DF6B05" w:rsidRDefault="00DF6B05" w:rsidP="00DF6B05">
    <w:pPr>
      <w:pStyle w:val="FooterCoverPage"/>
      <w:rPr>
        <w:rFonts w:ascii="Arial" w:hAnsi="Arial" w:cs="Arial"/>
        <w:b/>
        <w:sz w:val="48"/>
      </w:rPr>
    </w:pPr>
    <w:r w:rsidRPr="00DF6B05">
      <w:rPr>
        <w:rFonts w:ascii="Arial" w:hAnsi="Arial" w:cs="Arial"/>
        <w:b/>
        <w:sz w:val="48"/>
      </w:rPr>
      <w:t>EN</w:t>
    </w:r>
    <w:r w:rsidRPr="00DF6B05">
      <w:rPr>
        <w:rFonts w:ascii="Arial" w:hAnsi="Arial" w:cs="Arial"/>
        <w:b/>
        <w:sz w:val="48"/>
      </w:rPr>
      <w:tab/>
    </w:r>
    <w:r w:rsidRPr="00DF6B05">
      <w:rPr>
        <w:rFonts w:ascii="Arial" w:hAnsi="Arial" w:cs="Arial"/>
        <w:b/>
        <w:sz w:val="48"/>
      </w:rPr>
      <w:tab/>
    </w:r>
    <w:r w:rsidRPr="00DF6B05">
      <w:tab/>
    </w:r>
    <w:r w:rsidRPr="00DF6B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78CA4" w14:textId="77777777" w:rsidR="00DF6B05" w:rsidRPr="00DF6B05" w:rsidRDefault="00DF6B05" w:rsidP="00DF6B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D5922" w14:textId="77777777" w:rsidR="00D52DC0" w:rsidRDefault="00D52D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B97AE" w14:textId="77777777" w:rsidR="00D52DC0" w:rsidRDefault="00D52DC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5E7D9" w14:textId="77777777" w:rsidR="00D52DC0" w:rsidRDefault="00D52DC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392087"/>
      <w:docPartObj>
        <w:docPartGallery w:val="Page Numbers (Bottom of Page)"/>
        <w:docPartUnique/>
      </w:docPartObj>
    </w:sdtPr>
    <w:sdtEndPr>
      <w:rPr>
        <w:noProof/>
      </w:rPr>
    </w:sdtEndPr>
    <w:sdtContent>
      <w:p w14:paraId="58812184" w14:textId="041FF1B6" w:rsidR="006E5BE9" w:rsidRDefault="006E5BE9">
        <w:pPr>
          <w:pStyle w:val="Footer"/>
          <w:jc w:val="center"/>
        </w:pPr>
        <w:r>
          <w:fldChar w:fldCharType="begin"/>
        </w:r>
        <w:r>
          <w:instrText xml:space="preserve"> PAGE   \* MERGEFORMAT </w:instrText>
        </w:r>
        <w:r>
          <w:fldChar w:fldCharType="separate"/>
        </w:r>
        <w:r w:rsidR="00DF6B05">
          <w:rPr>
            <w:noProof/>
          </w:rPr>
          <w:t>2</w:t>
        </w:r>
        <w:r>
          <w:rPr>
            <w:noProof/>
          </w:rPr>
          <w:fldChar w:fldCharType="end"/>
        </w:r>
      </w:p>
    </w:sdtContent>
  </w:sdt>
  <w:p w14:paraId="6FD0562E" w14:textId="77777777" w:rsidR="006E5BE9" w:rsidRDefault="006E5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B89F5" w14:textId="77777777" w:rsidR="009D5ED9" w:rsidRDefault="009D5ED9" w:rsidP="00115654">
      <w:pPr>
        <w:spacing w:after="0" w:line="240" w:lineRule="auto"/>
      </w:pPr>
      <w:r>
        <w:separator/>
      </w:r>
    </w:p>
  </w:footnote>
  <w:footnote w:type="continuationSeparator" w:id="0">
    <w:p w14:paraId="5A746E8E" w14:textId="77777777" w:rsidR="009D5ED9" w:rsidRDefault="009D5ED9"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1C8C3" w14:textId="77777777" w:rsidR="00DF6B05" w:rsidRPr="00DF6B05" w:rsidRDefault="00DF6B05" w:rsidP="00DF6B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DB0EE" w14:textId="77777777" w:rsidR="00DF6B05" w:rsidRPr="00DF6B05" w:rsidRDefault="00DF6B05" w:rsidP="00DF6B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469B6" w14:textId="77777777" w:rsidR="00DF6B05" w:rsidRPr="00DF6B05" w:rsidRDefault="00DF6B05" w:rsidP="00DF6B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32EB" w14:textId="77777777" w:rsidR="00D52DC0" w:rsidRDefault="00D52D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25C92" w14:textId="77777777" w:rsidR="00D52DC0" w:rsidRDefault="00D52DC0">
    <w:pPr>
      <w:pStyle w:val="Header"/>
    </w:pPr>
    <w:r>
      <w:rPr>
        <w:noProof/>
        <w:lang w:val="en-GB" w:eastAsia="en-GB"/>
        <w14:ligatures w14:val="none"/>
      </w:rPr>
      <w:drawing>
        <wp:anchor distT="0" distB="0" distL="114300" distR="114300" simplePos="0" relativeHeight="251662338" behindDoc="0" locked="0" layoutInCell="1" allowOverlap="1" wp14:anchorId="3CB6289A" wp14:editId="33407470">
          <wp:simplePos x="0" y="0"/>
          <wp:positionH relativeFrom="column">
            <wp:posOffset>-1047750</wp:posOffset>
          </wp:positionH>
          <wp:positionV relativeFrom="paragraph">
            <wp:posOffset>-447675</wp:posOffset>
          </wp:positionV>
          <wp:extent cx="6514124" cy="1609371"/>
          <wp:effectExtent l="0" t="0" r="1270" b="3810"/>
          <wp:wrapNone/>
          <wp:docPr id="36379503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3362" behindDoc="0" locked="0" layoutInCell="1" allowOverlap="1" wp14:anchorId="4ABFB405" wp14:editId="3769FAA9">
              <wp:simplePos x="0" y="0"/>
              <wp:positionH relativeFrom="column">
                <wp:posOffset>-110168</wp:posOffset>
              </wp:positionH>
              <wp:positionV relativeFrom="paragraph">
                <wp:posOffset>-134988</wp:posOffset>
              </wp:positionV>
              <wp:extent cx="3437263" cy="402850"/>
              <wp:effectExtent l="0" t="0" r="0" b="0"/>
              <wp:wrapNone/>
              <wp:docPr id="240659608"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3E3B9F58" w14:textId="77777777" w:rsidR="00D52DC0" w:rsidRPr="001C4FA3" w:rsidRDefault="00D52DC0" w:rsidP="00CB0AF6">
                          <w:pPr>
                            <w:rPr>
                              <w:color w:val="FFFFFF" w:themeColor="background1"/>
                              <w:sz w:val="40"/>
                              <w:szCs w:val="40"/>
                              <w:lang w:val="nl-NL"/>
                            </w:rPr>
                          </w:pPr>
                          <w:r>
                            <w:rPr>
                              <w:color w:val="FFFFFF" w:themeColor="background1"/>
                              <w:sz w:val="40"/>
                              <w:szCs w:val="40"/>
                              <w:lang w:val="nl-NL"/>
                            </w:rPr>
                            <w:t>Lithuania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FB405"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6336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CN1RwFbwIAALIEAAAOAAAAAAAA&#10;AAAAAAAAAC4CAABkcnMvZTJvRG9jLnhtbFBLAQItABQABgAIAAAAIQDh0/M44gAAAAoBAAAPAAAA&#10;AAAAAAAAAAAAAMkEAABkcnMvZG93bnJldi54bWxQSwUGAAAAAAQABADzAAAA2AUAAAAA&#10;" filled="f" stroked="f" strokeweight=".5pt">
              <v:textbox>
                <w:txbxContent>
                  <w:p w14:paraId="3E3B9F58" w14:textId="77777777" w:rsidR="00D52DC0" w:rsidRPr="001C4FA3" w:rsidRDefault="00D52DC0" w:rsidP="00CB0AF6">
                    <w:pPr>
                      <w:rPr>
                        <w:color w:val="FFFFFF" w:themeColor="background1"/>
                        <w:sz w:val="40"/>
                        <w:szCs w:val="40"/>
                        <w:lang w:val="nl-NL"/>
                      </w:rPr>
                    </w:pPr>
                    <w:r>
                      <w:rPr>
                        <w:color w:val="FFFFFF" w:themeColor="background1"/>
                        <w:sz w:val="40"/>
                        <w:szCs w:val="40"/>
                        <w:lang w:val="nl-NL"/>
                      </w:rPr>
                      <w:t>Lithuania</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070A" w14:textId="77777777" w:rsidR="00D52DC0" w:rsidRDefault="00D52DC0">
    <w:pPr>
      <w:pStyle w:val="Header"/>
    </w:pPr>
    <w:r>
      <w:rPr>
        <w:noProof/>
        <w:lang w:val="en-GB" w:eastAsia="en-GB"/>
        <w14:ligatures w14:val="none"/>
      </w:rPr>
      <w:drawing>
        <wp:anchor distT="0" distB="0" distL="114300" distR="114300" simplePos="0" relativeHeight="251660290" behindDoc="1" locked="0" layoutInCell="1" allowOverlap="1" wp14:anchorId="5884F09C" wp14:editId="7F0F72AD">
          <wp:simplePos x="0" y="0"/>
          <wp:positionH relativeFrom="column">
            <wp:posOffset>-943276</wp:posOffset>
          </wp:positionH>
          <wp:positionV relativeFrom="paragraph">
            <wp:posOffset>-468831</wp:posOffset>
          </wp:positionV>
          <wp:extent cx="7604963" cy="10749201"/>
          <wp:effectExtent l="0" t="0" r="2540" b="0"/>
          <wp:wrapNone/>
          <wp:docPr id="1191415940"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6A8BA" w14:textId="77777777" w:rsidR="00D52DC0" w:rsidRDefault="00D52DC0">
    <w:pPr>
      <w:pStyle w:val="Header"/>
    </w:pPr>
    <w:r>
      <w:rPr>
        <w:noProof/>
        <w:lang w:val="en-GB" w:eastAsia="en-GB"/>
        <w14:ligatures w14:val="none"/>
      </w:rPr>
      <w:drawing>
        <wp:anchor distT="0" distB="0" distL="114300" distR="114300" simplePos="0" relativeHeight="251665410" behindDoc="0" locked="0" layoutInCell="1" allowOverlap="1" wp14:anchorId="6833C23B" wp14:editId="24AF4965">
          <wp:simplePos x="0" y="0"/>
          <wp:positionH relativeFrom="column">
            <wp:posOffset>-1047750</wp:posOffset>
          </wp:positionH>
          <wp:positionV relativeFrom="paragraph">
            <wp:posOffset>-447675</wp:posOffset>
          </wp:positionV>
          <wp:extent cx="6514124" cy="1609371"/>
          <wp:effectExtent l="0" t="0" r="1270" b="3810"/>
          <wp:wrapNone/>
          <wp:docPr id="27410947"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6434" behindDoc="0" locked="0" layoutInCell="1" allowOverlap="1" wp14:anchorId="739F7A1C" wp14:editId="481C7CE2">
              <wp:simplePos x="0" y="0"/>
              <wp:positionH relativeFrom="column">
                <wp:posOffset>-110168</wp:posOffset>
              </wp:positionH>
              <wp:positionV relativeFrom="paragraph">
                <wp:posOffset>-134988</wp:posOffset>
              </wp:positionV>
              <wp:extent cx="3437263" cy="402850"/>
              <wp:effectExtent l="0" t="0" r="0" b="0"/>
              <wp:wrapNone/>
              <wp:docPr id="168352073"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D08E645" w14:textId="77777777" w:rsidR="00D52DC0" w:rsidRPr="001C4FA3" w:rsidRDefault="00D52DC0" w:rsidP="00CB0AF6">
                          <w:pPr>
                            <w:rPr>
                              <w:color w:val="FFFFFF" w:themeColor="background1"/>
                              <w:sz w:val="40"/>
                              <w:szCs w:val="40"/>
                              <w:lang w:val="nl-NL"/>
                            </w:rPr>
                          </w:pPr>
                          <w:r>
                            <w:rPr>
                              <w:color w:val="FFFFFF" w:themeColor="background1"/>
                              <w:sz w:val="40"/>
                              <w:szCs w:val="40"/>
                              <w:lang w:val="nl-NL"/>
                            </w:rPr>
                            <w:t>Lithuania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9F7A1C" id="_x0000_t202" coordsize="21600,21600" o:spt="202" path="m,l,21600r21600,l21600,xe">
              <v:stroke joinstyle="miter"/>
              <v:path gradientshapeok="t" o:connecttype="rect"/>
            </v:shapetype>
            <v:shape id="_x0000_s1029" type="#_x0000_t202" style="position:absolute;margin-left:-8.65pt;margin-top:-10.65pt;width:270.65pt;height:31.7pt;z-index:25166643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" filled="f" stroked="f" strokeweight=".5pt">
              <v:textbox>
                <w:txbxContent>
                  <w:p w14:paraId="2D08E645" w14:textId="77777777" w:rsidR="00D52DC0" w:rsidRPr="001C4FA3" w:rsidRDefault="00D52DC0" w:rsidP="00CB0AF6">
                    <w:pPr>
                      <w:rPr>
                        <w:color w:val="FFFFFF" w:themeColor="background1"/>
                        <w:sz w:val="40"/>
                        <w:szCs w:val="40"/>
                        <w:lang w:val="nl-NL"/>
                      </w:rPr>
                    </w:pPr>
                    <w:r>
                      <w:rPr>
                        <w:color w:val="FFFFFF" w:themeColor="background1"/>
                        <w:sz w:val="40"/>
                        <w:szCs w:val="40"/>
                        <w:lang w:val="nl-NL"/>
                      </w:rPr>
                      <w:t>Lithuania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AD1F2F"/>
    <w:multiLevelType w:val="hybridMultilevel"/>
    <w:tmpl w:val="D37E1956"/>
    <w:lvl w:ilvl="0" w:tplc="41C488B2">
      <w:start w:val="1"/>
      <w:numFmt w:val="bullet"/>
      <w:lvlText w:val="-"/>
      <w:lvlJc w:val="left"/>
      <w:pPr>
        <w:ind w:left="1068" w:hanging="360"/>
      </w:pPr>
      <w:rPr>
        <w:rFonts w:ascii="Aptos" w:hAnsi="Aptos" w:hint="default"/>
      </w:rPr>
    </w:lvl>
    <w:lvl w:ilvl="1" w:tplc="8200D4E8">
      <w:start w:val="1"/>
      <w:numFmt w:val="bullet"/>
      <w:lvlText w:val="o"/>
      <w:lvlJc w:val="left"/>
      <w:pPr>
        <w:ind w:left="1788" w:hanging="360"/>
      </w:pPr>
      <w:rPr>
        <w:rFonts w:ascii="Courier New" w:hAnsi="Courier New" w:hint="default"/>
      </w:rPr>
    </w:lvl>
    <w:lvl w:ilvl="2" w:tplc="5928C740">
      <w:start w:val="1"/>
      <w:numFmt w:val="bullet"/>
      <w:lvlText w:val=""/>
      <w:lvlJc w:val="left"/>
      <w:pPr>
        <w:ind w:left="2508" w:hanging="360"/>
      </w:pPr>
      <w:rPr>
        <w:rFonts w:ascii="Wingdings" w:hAnsi="Wingdings" w:hint="default"/>
      </w:rPr>
    </w:lvl>
    <w:lvl w:ilvl="3" w:tplc="792C108C">
      <w:start w:val="1"/>
      <w:numFmt w:val="bullet"/>
      <w:lvlText w:val=""/>
      <w:lvlJc w:val="left"/>
      <w:pPr>
        <w:ind w:left="3228" w:hanging="360"/>
      </w:pPr>
      <w:rPr>
        <w:rFonts w:ascii="Symbol" w:hAnsi="Symbol" w:hint="default"/>
      </w:rPr>
    </w:lvl>
    <w:lvl w:ilvl="4" w:tplc="396068D8">
      <w:start w:val="1"/>
      <w:numFmt w:val="bullet"/>
      <w:lvlText w:val="o"/>
      <w:lvlJc w:val="left"/>
      <w:pPr>
        <w:ind w:left="3948" w:hanging="360"/>
      </w:pPr>
      <w:rPr>
        <w:rFonts w:ascii="Courier New" w:hAnsi="Courier New" w:hint="default"/>
      </w:rPr>
    </w:lvl>
    <w:lvl w:ilvl="5" w:tplc="80B89D76">
      <w:start w:val="1"/>
      <w:numFmt w:val="bullet"/>
      <w:lvlText w:val=""/>
      <w:lvlJc w:val="left"/>
      <w:pPr>
        <w:ind w:left="4668" w:hanging="360"/>
      </w:pPr>
      <w:rPr>
        <w:rFonts w:ascii="Wingdings" w:hAnsi="Wingdings" w:hint="default"/>
      </w:rPr>
    </w:lvl>
    <w:lvl w:ilvl="6" w:tplc="46AC94C8">
      <w:start w:val="1"/>
      <w:numFmt w:val="bullet"/>
      <w:lvlText w:val=""/>
      <w:lvlJc w:val="left"/>
      <w:pPr>
        <w:ind w:left="5388" w:hanging="360"/>
      </w:pPr>
      <w:rPr>
        <w:rFonts w:ascii="Symbol" w:hAnsi="Symbol" w:hint="default"/>
      </w:rPr>
    </w:lvl>
    <w:lvl w:ilvl="7" w:tplc="4634C60E">
      <w:start w:val="1"/>
      <w:numFmt w:val="bullet"/>
      <w:lvlText w:val="o"/>
      <w:lvlJc w:val="left"/>
      <w:pPr>
        <w:ind w:left="6108" w:hanging="360"/>
      </w:pPr>
      <w:rPr>
        <w:rFonts w:ascii="Courier New" w:hAnsi="Courier New" w:hint="default"/>
      </w:rPr>
    </w:lvl>
    <w:lvl w:ilvl="8" w:tplc="AA60A126">
      <w:start w:val="1"/>
      <w:numFmt w:val="bullet"/>
      <w:lvlText w:val=""/>
      <w:lvlJc w:val="left"/>
      <w:pPr>
        <w:ind w:left="6828" w:hanging="360"/>
      </w:pPr>
      <w:rPr>
        <w:rFonts w:ascii="Wingdings" w:hAnsi="Wingdings" w:hint="default"/>
      </w:rPr>
    </w:lvl>
  </w:abstractNum>
  <w:abstractNum w:abstractNumId="3"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B50D89"/>
    <w:multiLevelType w:val="multilevel"/>
    <w:tmpl w:val="F50093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DAC3D3"/>
    <w:multiLevelType w:val="hybridMultilevel"/>
    <w:tmpl w:val="BF3C18CA"/>
    <w:lvl w:ilvl="0" w:tplc="7D860444">
      <w:start w:val="1"/>
      <w:numFmt w:val="bullet"/>
      <w:lvlText w:val="-"/>
      <w:lvlJc w:val="left"/>
      <w:pPr>
        <w:ind w:left="720" w:hanging="360"/>
      </w:pPr>
      <w:rPr>
        <w:rFonts w:ascii="Aptos" w:hAnsi="Aptos" w:hint="default"/>
      </w:rPr>
    </w:lvl>
    <w:lvl w:ilvl="1" w:tplc="0E2E576E">
      <w:start w:val="1"/>
      <w:numFmt w:val="bullet"/>
      <w:lvlText w:val="o"/>
      <w:lvlJc w:val="left"/>
      <w:pPr>
        <w:ind w:left="1440" w:hanging="360"/>
      </w:pPr>
      <w:rPr>
        <w:rFonts w:ascii="Courier New" w:hAnsi="Courier New" w:hint="default"/>
      </w:rPr>
    </w:lvl>
    <w:lvl w:ilvl="2" w:tplc="716A8892">
      <w:start w:val="1"/>
      <w:numFmt w:val="bullet"/>
      <w:lvlText w:val=""/>
      <w:lvlJc w:val="left"/>
      <w:pPr>
        <w:ind w:left="2160" w:hanging="360"/>
      </w:pPr>
      <w:rPr>
        <w:rFonts w:ascii="Wingdings" w:hAnsi="Wingdings" w:hint="default"/>
      </w:rPr>
    </w:lvl>
    <w:lvl w:ilvl="3" w:tplc="DCD0A4C6">
      <w:start w:val="1"/>
      <w:numFmt w:val="bullet"/>
      <w:lvlText w:val=""/>
      <w:lvlJc w:val="left"/>
      <w:pPr>
        <w:ind w:left="2880" w:hanging="360"/>
      </w:pPr>
      <w:rPr>
        <w:rFonts w:ascii="Symbol" w:hAnsi="Symbol" w:hint="default"/>
      </w:rPr>
    </w:lvl>
    <w:lvl w:ilvl="4" w:tplc="F056D0AA">
      <w:start w:val="1"/>
      <w:numFmt w:val="bullet"/>
      <w:lvlText w:val="o"/>
      <w:lvlJc w:val="left"/>
      <w:pPr>
        <w:ind w:left="3600" w:hanging="360"/>
      </w:pPr>
      <w:rPr>
        <w:rFonts w:ascii="Courier New" w:hAnsi="Courier New" w:hint="default"/>
      </w:rPr>
    </w:lvl>
    <w:lvl w:ilvl="5" w:tplc="A858C804">
      <w:start w:val="1"/>
      <w:numFmt w:val="bullet"/>
      <w:lvlText w:val=""/>
      <w:lvlJc w:val="left"/>
      <w:pPr>
        <w:ind w:left="4320" w:hanging="360"/>
      </w:pPr>
      <w:rPr>
        <w:rFonts w:ascii="Wingdings" w:hAnsi="Wingdings" w:hint="default"/>
      </w:rPr>
    </w:lvl>
    <w:lvl w:ilvl="6" w:tplc="CE18EA66">
      <w:start w:val="1"/>
      <w:numFmt w:val="bullet"/>
      <w:lvlText w:val=""/>
      <w:lvlJc w:val="left"/>
      <w:pPr>
        <w:ind w:left="5040" w:hanging="360"/>
      </w:pPr>
      <w:rPr>
        <w:rFonts w:ascii="Symbol" w:hAnsi="Symbol" w:hint="default"/>
      </w:rPr>
    </w:lvl>
    <w:lvl w:ilvl="7" w:tplc="C9D6CA8A">
      <w:start w:val="1"/>
      <w:numFmt w:val="bullet"/>
      <w:lvlText w:val="o"/>
      <w:lvlJc w:val="left"/>
      <w:pPr>
        <w:ind w:left="5760" w:hanging="360"/>
      </w:pPr>
      <w:rPr>
        <w:rFonts w:ascii="Courier New" w:hAnsi="Courier New" w:hint="default"/>
      </w:rPr>
    </w:lvl>
    <w:lvl w:ilvl="8" w:tplc="ADE2262C">
      <w:start w:val="1"/>
      <w:numFmt w:val="bullet"/>
      <w:lvlText w:val=""/>
      <w:lvlJc w:val="left"/>
      <w:pPr>
        <w:ind w:left="6480" w:hanging="360"/>
      </w:pPr>
      <w:rPr>
        <w:rFonts w:ascii="Wingdings" w:hAnsi="Wingdings" w:hint="default"/>
      </w:rPr>
    </w:lvl>
  </w:abstractNum>
  <w:abstractNum w:abstractNumId="8"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91FE8F"/>
    <w:multiLevelType w:val="hybridMultilevel"/>
    <w:tmpl w:val="BF8CEAFE"/>
    <w:lvl w:ilvl="0" w:tplc="90126B70">
      <w:start w:val="1"/>
      <w:numFmt w:val="bullet"/>
      <w:lvlText w:val="-"/>
      <w:lvlJc w:val="left"/>
      <w:pPr>
        <w:ind w:left="1428" w:hanging="360"/>
      </w:pPr>
      <w:rPr>
        <w:rFonts w:ascii="Aptos" w:hAnsi="Aptos" w:hint="default"/>
      </w:rPr>
    </w:lvl>
    <w:lvl w:ilvl="1" w:tplc="21C4C518">
      <w:start w:val="1"/>
      <w:numFmt w:val="bullet"/>
      <w:lvlText w:val="o"/>
      <w:lvlJc w:val="left"/>
      <w:pPr>
        <w:ind w:left="2148" w:hanging="360"/>
      </w:pPr>
      <w:rPr>
        <w:rFonts w:ascii="Courier New" w:hAnsi="Courier New" w:hint="default"/>
      </w:rPr>
    </w:lvl>
    <w:lvl w:ilvl="2" w:tplc="BCA48ED4">
      <w:start w:val="1"/>
      <w:numFmt w:val="bullet"/>
      <w:lvlText w:val=""/>
      <w:lvlJc w:val="left"/>
      <w:pPr>
        <w:ind w:left="2868" w:hanging="360"/>
      </w:pPr>
      <w:rPr>
        <w:rFonts w:ascii="Wingdings" w:hAnsi="Wingdings" w:hint="default"/>
      </w:rPr>
    </w:lvl>
    <w:lvl w:ilvl="3" w:tplc="C7C089EE">
      <w:start w:val="1"/>
      <w:numFmt w:val="bullet"/>
      <w:lvlText w:val=""/>
      <w:lvlJc w:val="left"/>
      <w:pPr>
        <w:ind w:left="3588" w:hanging="360"/>
      </w:pPr>
      <w:rPr>
        <w:rFonts w:ascii="Symbol" w:hAnsi="Symbol" w:hint="default"/>
      </w:rPr>
    </w:lvl>
    <w:lvl w:ilvl="4" w:tplc="0CA4310E">
      <w:start w:val="1"/>
      <w:numFmt w:val="bullet"/>
      <w:lvlText w:val="o"/>
      <w:lvlJc w:val="left"/>
      <w:pPr>
        <w:ind w:left="4308" w:hanging="360"/>
      </w:pPr>
      <w:rPr>
        <w:rFonts w:ascii="Courier New" w:hAnsi="Courier New" w:hint="default"/>
      </w:rPr>
    </w:lvl>
    <w:lvl w:ilvl="5" w:tplc="3EB05874">
      <w:start w:val="1"/>
      <w:numFmt w:val="bullet"/>
      <w:lvlText w:val=""/>
      <w:lvlJc w:val="left"/>
      <w:pPr>
        <w:ind w:left="5028" w:hanging="360"/>
      </w:pPr>
      <w:rPr>
        <w:rFonts w:ascii="Wingdings" w:hAnsi="Wingdings" w:hint="default"/>
      </w:rPr>
    </w:lvl>
    <w:lvl w:ilvl="6" w:tplc="D4020A84">
      <w:start w:val="1"/>
      <w:numFmt w:val="bullet"/>
      <w:lvlText w:val=""/>
      <w:lvlJc w:val="left"/>
      <w:pPr>
        <w:ind w:left="5748" w:hanging="360"/>
      </w:pPr>
      <w:rPr>
        <w:rFonts w:ascii="Symbol" w:hAnsi="Symbol" w:hint="default"/>
      </w:rPr>
    </w:lvl>
    <w:lvl w:ilvl="7" w:tplc="D8FA9490">
      <w:start w:val="1"/>
      <w:numFmt w:val="bullet"/>
      <w:lvlText w:val="o"/>
      <w:lvlJc w:val="left"/>
      <w:pPr>
        <w:ind w:left="6468" w:hanging="360"/>
      </w:pPr>
      <w:rPr>
        <w:rFonts w:ascii="Courier New" w:hAnsi="Courier New" w:hint="default"/>
      </w:rPr>
    </w:lvl>
    <w:lvl w:ilvl="8" w:tplc="BE52EA90">
      <w:start w:val="1"/>
      <w:numFmt w:val="bullet"/>
      <w:lvlText w:val=""/>
      <w:lvlJc w:val="left"/>
      <w:pPr>
        <w:ind w:left="7188" w:hanging="360"/>
      </w:pPr>
      <w:rPr>
        <w:rFonts w:ascii="Wingdings" w:hAnsi="Wingdings" w:hint="default"/>
      </w:rPr>
    </w:lvl>
  </w:abstractNum>
  <w:abstractNum w:abstractNumId="10" w15:restartNumberingAfterBreak="0">
    <w:nsid w:val="6D1B0200"/>
    <w:multiLevelType w:val="hybridMultilevel"/>
    <w:tmpl w:val="DDFA7D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6DD146C5"/>
    <w:multiLevelType w:val="multilevel"/>
    <w:tmpl w:val="6DB42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785C71"/>
    <w:multiLevelType w:val="multilevel"/>
    <w:tmpl w:val="32C62C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5FA698"/>
    <w:multiLevelType w:val="hybridMultilevel"/>
    <w:tmpl w:val="F6F00786"/>
    <w:lvl w:ilvl="0" w:tplc="E1AC1EB4">
      <w:start w:val="1"/>
      <w:numFmt w:val="bullet"/>
      <w:lvlText w:val="-"/>
      <w:lvlJc w:val="left"/>
      <w:pPr>
        <w:ind w:left="1068" w:hanging="360"/>
      </w:pPr>
      <w:rPr>
        <w:rFonts w:ascii="Aptos" w:hAnsi="Aptos" w:hint="default"/>
      </w:rPr>
    </w:lvl>
    <w:lvl w:ilvl="1" w:tplc="454E3904">
      <w:start w:val="1"/>
      <w:numFmt w:val="bullet"/>
      <w:lvlText w:val="o"/>
      <w:lvlJc w:val="left"/>
      <w:pPr>
        <w:ind w:left="1788" w:hanging="360"/>
      </w:pPr>
      <w:rPr>
        <w:rFonts w:ascii="Courier New" w:hAnsi="Courier New" w:hint="default"/>
      </w:rPr>
    </w:lvl>
    <w:lvl w:ilvl="2" w:tplc="D4D0D32E">
      <w:start w:val="1"/>
      <w:numFmt w:val="bullet"/>
      <w:lvlText w:val=""/>
      <w:lvlJc w:val="left"/>
      <w:pPr>
        <w:ind w:left="2508" w:hanging="360"/>
      </w:pPr>
      <w:rPr>
        <w:rFonts w:ascii="Wingdings" w:hAnsi="Wingdings" w:hint="default"/>
      </w:rPr>
    </w:lvl>
    <w:lvl w:ilvl="3" w:tplc="4802F4FC">
      <w:start w:val="1"/>
      <w:numFmt w:val="bullet"/>
      <w:lvlText w:val=""/>
      <w:lvlJc w:val="left"/>
      <w:pPr>
        <w:ind w:left="3228" w:hanging="360"/>
      </w:pPr>
      <w:rPr>
        <w:rFonts w:ascii="Symbol" w:hAnsi="Symbol" w:hint="default"/>
      </w:rPr>
    </w:lvl>
    <w:lvl w:ilvl="4" w:tplc="EC2049B8">
      <w:start w:val="1"/>
      <w:numFmt w:val="bullet"/>
      <w:lvlText w:val="o"/>
      <w:lvlJc w:val="left"/>
      <w:pPr>
        <w:ind w:left="3948" w:hanging="360"/>
      </w:pPr>
      <w:rPr>
        <w:rFonts w:ascii="Courier New" w:hAnsi="Courier New" w:hint="default"/>
      </w:rPr>
    </w:lvl>
    <w:lvl w:ilvl="5" w:tplc="A1A26316">
      <w:start w:val="1"/>
      <w:numFmt w:val="bullet"/>
      <w:lvlText w:val=""/>
      <w:lvlJc w:val="left"/>
      <w:pPr>
        <w:ind w:left="4668" w:hanging="360"/>
      </w:pPr>
      <w:rPr>
        <w:rFonts w:ascii="Wingdings" w:hAnsi="Wingdings" w:hint="default"/>
      </w:rPr>
    </w:lvl>
    <w:lvl w:ilvl="6" w:tplc="A9E2ACB2">
      <w:start w:val="1"/>
      <w:numFmt w:val="bullet"/>
      <w:lvlText w:val=""/>
      <w:lvlJc w:val="left"/>
      <w:pPr>
        <w:ind w:left="5388" w:hanging="360"/>
      </w:pPr>
      <w:rPr>
        <w:rFonts w:ascii="Symbol" w:hAnsi="Symbol" w:hint="default"/>
      </w:rPr>
    </w:lvl>
    <w:lvl w:ilvl="7" w:tplc="DA8E1C78">
      <w:start w:val="1"/>
      <w:numFmt w:val="bullet"/>
      <w:lvlText w:val="o"/>
      <w:lvlJc w:val="left"/>
      <w:pPr>
        <w:ind w:left="6108" w:hanging="360"/>
      </w:pPr>
      <w:rPr>
        <w:rFonts w:ascii="Courier New" w:hAnsi="Courier New" w:hint="default"/>
      </w:rPr>
    </w:lvl>
    <w:lvl w:ilvl="8" w:tplc="85941B0A">
      <w:start w:val="1"/>
      <w:numFmt w:val="bullet"/>
      <w:lvlText w:val=""/>
      <w:lvlJc w:val="left"/>
      <w:pPr>
        <w:ind w:left="6828" w:hanging="360"/>
      </w:pPr>
      <w:rPr>
        <w:rFonts w:ascii="Wingdings" w:hAnsi="Wingdings" w:hint="default"/>
      </w:rPr>
    </w:lvl>
  </w:abstractNum>
  <w:abstractNum w:abstractNumId="14" w15:restartNumberingAfterBreak="0">
    <w:nsid w:val="76F18735"/>
    <w:multiLevelType w:val="multilevel"/>
    <w:tmpl w:val="7F207F0A"/>
    <w:lvl w:ilvl="0">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81B12CB"/>
    <w:multiLevelType w:val="hybridMultilevel"/>
    <w:tmpl w:val="7E34F4FA"/>
    <w:lvl w:ilvl="0" w:tplc="B3D6A94E">
      <w:start w:val="1"/>
      <w:numFmt w:val="bullet"/>
      <w:lvlText w:val=""/>
      <w:lvlJc w:val="left"/>
      <w:pPr>
        <w:ind w:left="720" w:hanging="360"/>
      </w:pPr>
      <w:rPr>
        <w:rFonts w:ascii="Symbol" w:hAnsi="Symbol" w:hint="default"/>
      </w:rPr>
    </w:lvl>
    <w:lvl w:ilvl="1" w:tplc="B50C31BA">
      <w:start w:val="1"/>
      <w:numFmt w:val="bullet"/>
      <w:lvlText w:val="o"/>
      <w:lvlJc w:val="left"/>
      <w:pPr>
        <w:ind w:left="1440" w:hanging="360"/>
      </w:pPr>
      <w:rPr>
        <w:rFonts w:ascii="Courier New" w:hAnsi="Courier New" w:hint="default"/>
      </w:rPr>
    </w:lvl>
    <w:lvl w:ilvl="2" w:tplc="F60CE51A">
      <w:start w:val="1"/>
      <w:numFmt w:val="bullet"/>
      <w:lvlText w:val=""/>
      <w:lvlJc w:val="left"/>
      <w:pPr>
        <w:ind w:left="2160" w:hanging="360"/>
      </w:pPr>
      <w:rPr>
        <w:rFonts w:ascii="Wingdings" w:hAnsi="Wingdings" w:hint="default"/>
      </w:rPr>
    </w:lvl>
    <w:lvl w:ilvl="3" w:tplc="9BFED8B0">
      <w:start w:val="1"/>
      <w:numFmt w:val="bullet"/>
      <w:lvlText w:val=""/>
      <w:lvlJc w:val="left"/>
      <w:pPr>
        <w:ind w:left="2880" w:hanging="360"/>
      </w:pPr>
      <w:rPr>
        <w:rFonts w:ascii="Symbol" w:hAnsi="Symbol" w:hint="default"/>
      </w:rPr>
    </w:lvl>
    <w:lvl w:ilvl="4" w:tplc="571C4024">
      <w:start w:val="1"/>
      <w:numFmt w:val="bullet"/>
      <w:lvlText w:val="o"/>
      <w:lvlJc w:val="left"/>
      <w:pPr>
        <w:ind w:left="3600" w:hanging="360"/>
      </w:pPr>
      <w:rPr>
        <w:rFonts w:ascii="Courier New" w:hAnsi="Courier New" w:hint="default"/>
      </w:rPr>
    </w:lvl>
    <w:lvl w:ilvl="5" w:tplc="0BE49C58">
      <w:start w:val="1"/>
      <w:numFmt w:val="bullet"/>
      <w:lvlText w:val=""/>
      <w:lvlJc w:val="left"/>
      <w:pPr>
        <w:ind w:left="4320" w:hanging="360"/>
      </w:pPr>
      <w:rPr>
        <w:rFonts w:ascii="Wingdings" w:hAnsi="Wingdings" w:hint="default"/>
      </w:rPr>
    </w:lvl>
    <w:lvl w:ilvl="6" w:tplc="4F4A1BE6">
      <w:start w:val="1"/>
      <w:numFmt w:val="bullet"/>
      <w:lvlText w:val=""/>
      <w:lvlJc w:val="left"/>
      <w:pPr>
        <w:ind w:left="5040" w:hanging="360"/>
      </w:pPr>
      <w:rPr>
        <w:rFonts w:ascii="Symbol" w:hAnsi="Symbol" w:hint="default"/>
      </w:rPr>
    </w:lvl>
    <w:lvl w:ilvl="7" w:tplc="C6589EC8">
      <w:start w:val="1"/>
      <w:numFmt w:val="bullet"/>
      <w:lvlText w:val="o"/>
      <w:lvlJc w:val="left"/>
      <w:pPr>
        <w:ind w:left="5760" w:hanging="360"/>
      </w:pPr>
      <w:rPr>
        <w:rFonts w:ascii="Courier New" w:hAnsi="Courier New" w:hint="default"/>
      </w:rPr>
    </w:lvl>
    <w:lvl w:ilvl="8" w:tplc="DF1E047A">
      <w:start w:val="1"/>
      <w:numFmt w:val="bullet"/>
      <w:lvlText w:val=""/>
      <w:lvlJc w:val="left"/>
      <w:pPr>
        <w:ind w:left="6480" w:hanging="360"/>
      </w:pPr>
      <w:rPr>
        <w:rFonts w:ascii="Wingdings" w:hAnsi="Wingdings" w:hint="default"/>
      </w:rPr>
    </w:lvl>
  </w:abstractNum>
  <w:abstractNum w:abstractNumId="16"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9"/>
  </w:num>
  <w:num w:numId="4">
    <w:abstractNumId w:val="13"/>
  </w:num>
  <w:num w:numId="5">
    <w:abstractNumId w:val="15"/>
  </w:num>
  <w:num w:numId="6">
    <w:abstractNumId w:val="14"/>
  </w:num>
  <w:num w:numId="7">
    <w:abstractNumId w:val="0"/>
  </w:num>
  <w:num w:numId="8">
    <w:abstractNumId w:val="1"/>
  </w:num>
  <w:num w:numId="9">
    <w:abstractNumId w:val="3"/>
  </w:num>
  <w:num w:numId="10">
    <w:abstractNumId w:val="5"/>
  </w:num>
  <w:num w:numId="11">
    <w:abstractNumId w:val="8"/>
  </w:num>
  <w:num w:numId="12">
    <w:abstractNumId w:val="4"/>
  </w:num>
  <w:num w:numId="13">
    <w:abstractNumId w:val="17"/>
  </w:num>
  <w:num w:numId="14">
    <w:abstractNumId w:val="16"/>
  </w:num>
  <w:num w:numId="15">
    <w:abstractNumId w:val="11"/>
  </w:num>
  <w:num w:numId="16">
    <w:abstractNumId w:val="12"/>
  </w:num>
  <w:num w:numId="17">
    <w:abstractNumId w:val="6"/>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4C1CFCCD-5DFF-4A2C-866F-3099E5DE1B39"/>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7"/>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24E"/>
    <w:rsid w:val="00000464"/>
    <w:rsid w:val="0000061A"/>
    <w:rsid w:val="0000455C"/>
    <w:rsid w:val="0000764B"/>
    <w:rsid w:val="000125F0"/>
    <w:rsid w:val="00012E01"/>
    <w:rsid w:val="000133A4"/>
    <w:rsid w:val="000149F7"/>
    <w:rsid w:val="0001505B"/>
    <w:rsid w:val="00021504"/>
    <w:rsid w:val="00023A5F"/>
    <w:rsid w:val="0002674A"/>
    <w:rsid w:val="000273D3"/>
    <w:rsid w:val="00030459"/>
    <w:rsid w:val="0003532D"/>
    <w:rsid w:val="00041087"/>
    <w:rsid w:val="00042070"/>
    <w:rsid w:val="00044233"/>
    <w:rsid w:val="00047974"/>
    <w:rsid w:val="00047D3F"/>
    <w:rsid w:val="00055930"/>
    <w:rsid w:val="00055D62"/>
    <w:rsid w:val="00067A00"/>
    <w:rsid w:val="00073B50"/>
    <w:rsid w:val="000956FF"/>
    <w:rsid w:val="000961E9"/>
    <w:rsid w:val="000A53D4"/>
    <w:rsid w:val="000A7176"/>
    <w:rsid w:val="000A71F0"/>
    <w:rsid w:val="000B2B39"/>
    <w:rsid w:val="000B3B99"/>
    <w:rsid w:val="000B7FF0"/>
    <w:rsid w:val="000C1DA1"/>
    <w:rsid w:val="000C1E9A"/>
    <w:rsid w:val="000C4492"/>
    <w:rsid w:val="000D047F"/>
    <w:rsid w:val="000D0917"/>
    <w:rsid w:val="000D5034"/>
    <w:rsid w:val="000D69AE"/>
    <w:rsid w:val="000D6B42"/>
    <w:rsid w:val="000EFD7B"/>
    <w:rsid w:val="000F38ED"/>
    <w:rsid w:val="000F4BAF"/>
    <w:rsid w:val="000F57D3"/>
    <w:rsid w:val="000F5ED4"/>
    <w:rsid w:val="000F7B1F"/>
    <w:rsid w:val="00103C2B"/>
    <w:rsid w:val="00106378"/>
    <w:rsid w:val="00107736"/>
    <w:rsid w:val="00114574"/>
    <w:rsid w:val="0011523F"/>
    <w:rsid w:val="00115654"/>
    <w:rsid w:val="00116420"/>
    <w:rsid w:val="00118F60"/>
    <w:rsid w:val="001236F6"/>
    <w:rsid w:val="0012759D"/>
    <w:rsid w:val="001324EA"/>
    <w:rsid w:val="00134622"/>
    <w:rsid w:val="00137F2A"/>
    <w:rsid w:val="00142610"/>
    <w:rsid w:val="0014314C"/>
    <w:rsid w:val="00143AAF"/>
    <w:rsid w:val="00144080"/>
    <w:rsid w:val="00145FE1"/>
    <w:rsid w:val="00146018"/>
    <w:rsid w:val="00146C78"/>
    <w:rsid w:val="0014706B"/>
    <w:rsid w:val="00153B81"/>
    <w:rsid w:val="00154CDA"/>
    <w:rsid w:val="00154F41"/>
    <w:rsid w:val="0015766D"/>
    <w:rsid w:val="00170DB5"/>
    <w:rsid w:val="00170E00"/>
    <w:rsid w:val="00174C16"/>
    <w:rsid w:val="00176642"/>
    <w:rsid w:val="001904DC"/>
    <w:rsid w:val="00193920"/>
    <w:rsid w:val="00193E91"/>
    <w:rsid w:val="001943F9"/>
    <w:rsid w:val="001977AA"/>
    <w:rsid w:val="001A1329"/>
    <w:rsid w:val="001A5F3B"/>
    <w:rsid w:val="001A67D1"/>
    <w:rsid w:val="001B3122"/>
    <w:rsid w:val="001C0ED0"/>
    <w:rsid w:val="001C3F95"/>
    <w:rsid w:val="001C4FA3"/>
    <w:rsid w:val="001C60AB"/>
    <w:rsid w:val="001D190C"/>
    <w:rsid w:val="001D5E02"/>
    <w:rsid w:val="001D671E"/>
    <w:rsid w:val="001DD630"/>
    <w:rsid w:val="001E06BC"/>
    <w:rsid w:val="001F2FB1"/>
    <w:rsid w:val="001F395B"/>
    <w:rsid w:val="001F4512"/>
    <w:rsid w:val="001F45B4"/>
    <w:rsid w:val="001F4AC4"/>
    <w:rsid w:val="001F6545"/>
    <w:rsid w:val="00204EF4"/>
    <w:rsid w:val="002070D2"/>
    <w:rsid w:val="002077F3"/>
    <w:rsid w:val="0020FBA7"/>
    <w:rsid w:val="0021127D"/>
    <w:rsid w:val="002161AF"/>
    <w:rsid w:val="00222679"/>
    <w:rsid w:val="00222A01"/>
    <w:rsid w:val="00224DD8"/>
    <w:rsid w:val="00225E44"/>
    <w:rsid w:val="0022642F"/>
    <w:rsid w:val="00231443"/>
    <w:rsid w:val="0024055D"/>
    <w:rsid w:val="00240AA3"/>
    <w:rsid w:val="00242824"/>
    <w:rsid w:val="00245B54"/>
    <w:rsid w:val="00245FED"/>
    <w:rsid w:val="002508CC"/>
    <w:rsid w:val="00250E5D"/>
    <w:rsid w:val="00256B37"/>
    <w:rsid w:val="00264561"/>
    <w:rsid w:val="0026527C"/>
    <w:rsid w:val="00266EE3"/>
    <w:rsid w:val="00267991"/>
    <w:rsid w:val="00267C5C"/>
    <w:rsid w:val="00272538"/>
    <w:rsid w:val="00272590"/>
    <w:rsid w:val="002831A2"/>
    <w:rsid w:val="00283DAB"/>
    <w:rsid w:val="00287559"/>
    <w:rsid w:val="00287997"/>
    <w:rsid w:val="002A110D"/>
    <w:rsid w:val="002A6DA5"/>
    <w:rsid w:val="002A7E49"/>
    <w:rsid w:val="002B2832"/>
    <w:rsid w:val="002B4F94"/>
    <w:rsid w:val="002C091C"/>
    <w:rsid w:val="002C1B69"/>
    <w:rsid w:val="002C33F9"/>
    <w:rsid w:val="002C35DA"/>
    <w:rsid w:val="002C591E"/>
    <w:rsid w:val="002D1825"/>
    <w:rsid w:val="002D4BF2"/>
    <w:rsid w:val="002D4E83"/>
    <w:rsid w:val="002E0313"/>
    <w:rsid w:val="002E03C3"/>
    <w:rsid w:val="002E1406"/>
    <w:rsid w:val="002E21C4"/>
    <w:rsid w:val="002F3DE4"/>
    <w:rsid w:val="002F7CD0"/>
    <w:rsid w:val="00303BB8"/>
    <w:rsid w:val="00305562"/>
    <w:rsid w:val="0031030A"/>
    <w:rsid w:val="0031082C"/>
    <w:rsid w:val="00310FC8"/>
    <w:rsid w:val="00326309"/>
    <w:rsid w:val="003273F3"/>
    <w:rsid w:val="00330A1C"/>
    <w:rsid w:val="0035350E"/>
    <w:rsid w:val="003540A9"/>
    <w:rsid w:val="00354E82"/>
    <w:rsid w:val="00362EBD"/>
    <w:rsid w:val="00364274"/>
    <w:rsid w:val="00364A9B"/>
    <w:rsid w:val="00370BCE"/>
    <w:rsid w:val="00370D79"/>
    <w:rsid w:val="003725C1"/>
    <w:rsid w:val="003729C8"/>
    <w:rsid w:val="0037355B"/>
    <w:rsid w:val="0037594D"/>
    <w:rsid w:val="003908BB"/>
    <w:rsid w:val="003A06A4"/>
    <w:rsid w:val="003A47E4"/>
    <w:rsid w:val="003B5D3B"/>
    <w:rsid w:val="003B6968"/>
    <w:rsid w:val="003B7F1A"/>
    <w:rsid w:val="003D36A8"/>
    <w:rsid w:val="003D63C8"/>
    <w:rsid w:val="003E46EC"/>
    <w:rsid w:val="003E749B"/>
    <w:rsid w:val="003F33C1"/>
    <w:rsid w:val="003F4F38"/>
    <w:rsid w:val="004017EF"/>
    <w:rsid w:val="00401F71"/>
    <w:rsid w:val="00406FFE"/>
    <w:rsid w:val="004152CD"/>
    <w:rsid w:val="0041565A"/>
    <w:rsid w:val="0042210B"/>
    <w:rsid w:val="00423534"/>
    <w:rsid w:val="004249DC"/>
    <w:rsid w:val="00427CC8"/>
    <w:rsid w:val="00430300"/>
    <w:rsid w:val="00435207"/>
    <w:rsid w:val="00435DC6"/>
    <w:rsid w:val="004361F6"/>
    <w:rsid w:val="00440E57"/>
    <w:rsid w:val="00445D27"/>
    <w:rsid w:val="00447410"/>
    <w:rsid w:val="004518EE"/>
    <w:rsid w:val="004565B0"/>
    <w:rsid w:val="00457A50"/>
    <w:rsid w:val="004607DE"/>
    <w:rsid w:val="00461593"/>
    <w:rsid w:val="004617CF"/>
    <w:rsid w:val="00462156"/>
    <w:rsid w:val="00465DBA"/>
    <w:rsid w:val="00465FB9"/>
    <w:rsid w:val="00466D62"/>
    <w:rsid w:val="00473AD3"/>
    <w:rsid w:val="004751EF"/>
    <w:rsid w:val="00476EA6"/>
    <w:rsid w:val="004833BB"/>
    <w:rsid w:val="00485C14"/>
    <w:rsid w:val="00493356"/>
    <w:rsid w:val="004A37D5"/>
    <w:rsid w:val="004A492E"/>
    <w:rsid w:val="004B35E6"/>
    <w:rsid w:val="004B51D9"/>
    <w:rsid w:val="004B5BC7"/>
    <w:rsid w:val="004C2545"/>
    <w:rsid w:val="004C39EA"/>
    <w:rsid w:val="004C549E"/>
    <w:rsid w:val="004C674A"/>
    <w:rsid w:val="004D1531"/>
    <w:rsid w:val="004E4111"/>
    <w:rsid w:val="004E4A63"/>
    <w:rsid w:val="004F17CF"/>
    <w:rsid w:val="004F325D"/>
    <w:rsid w:val="004F646A"/>
    <w:rsid w:val="00501A29"/>
    <w:rsid w:val="00502F9C"/>
    <w:rsid w:val="00506EFD"/>
    <w:rsid w:val="00510D2B"/>
    <w:rsid w:val="005148BE"/>
    <w:rsid w:val="00515499"/>
    <w:rsid w:val="00524506"/>
    <w:rsid w:val="005274E7"/>
    <w:rsid w:val="00534BA0"/>
    <w:rsid w:val="00541628"/>
    <w:rsid w:val="005475D4"/>
    <w:rsid w:val="00554571"/>
    <w:rsid w:val="00563A0E"/>
    <w:rsid w:val="0056563D"/>
    <w:rsid w:val="005657A4"/>
    <w:rsid w:val="00570C0F"/>
    <w:rsid w:val="00572C97"/>
    <w:rsid w:val="00573A98"/>
    <w:rsid w:val="005755AC"/>
    <w:rsid w:val="00577BB4"/>
    <w:rsid w:val="00582A3D"/>
    <w:rsid w:val="005835A6"/>
    <w:rsid w:val="0058453F"/>
    <w:rsid w:val="005870C9"/>
    <w:rsid w:val="00594C1E"/>
    <w:rsid w:val="00595DA6"/>
    <w:rsid w:val="005A1765"/>
    <w:rsid w:val="005A176D"/>
    <w:rsid w:val="005A5FBF"/>
    <w:rsid w:val="005B17F4"/>
    <w:rsid w:val="005B2BF6"/>
    <w:rsid w:val="005B4A33"/>
    <w:rsid w:val="005C135E"/>
    <w:rsid w:val="005C3594"/>
    <w:rsid w:val="005C63AC"/>
    <w:rsid w:val="005D01AC"/>
    <w:rsid w:val="005D7B21"/>
    <w:rsid w:val="005E0B3F"/>
    <w:rsid w:val="005F01E3"/>
    <w:rsid w:val="005F2CB1"/>
    <w:rsid w:val="005F7AAC"/>
    <w:rsid w:val="0060539E"/>
    <w:rsid w:val="00605991"/>
    <w:rsid w:val="00613C7F"/>
    <w:rsid w:val="006142D1"/>
    <w:rsid w:val="00623B41"/>
    <w:rsid w:val="006243A3"/>
    <w:rsid w:val="006251D9"/>
    <w:rsid w:val="00632963"/>
    <w:rsid w:val="006365F1"/>
    <w:rsid w:val="00640B61"/>
    <w:rsid w:val="0064486A"/>
    <w:rsid w:val="00645922"/>
    <w:rsid w:val="00657295"/>
    <w:rsid w:val="00664F71"/>
    <w:rsid w:val="006652B4"/>
    <w:rsid w:val="006714E2"/>
    <w:rsid w:val="00680846"/>
    <w:rsid w:val="00690869"/>
    <w:rsid w:val="00694424"/>
    <w:rsid w:val="00697361"/>
    <w:rsid w:val="006A06BA"/>
    <w:rsid w:val="006A1852"/>
    <w:rsid w:val="006B5432"/>
    <w:rsid w:val="006B76E6"/>
    <w:rsid w:val="006C1A96"/>
    <w:rsid w:val="006C467F"/>
    <w:rsid w:val="006D1E3F"/>
    <w:rsid w:val="006D63AC"/>
    <w:rsid w:val="006D693A"/>
    <w:rsid w:val="006D7528"/>
    <w:rsid w:val="006D7E49"/>
    <w:rsid w:val="006E1F0E"/>
    <w:rsid w:val="006E5BE9"/>
    <w:rsid w:val="006F380A"/>
    <w:rsid w:val="006F51A6"/>
    <w:rsid w:val="006F7BBD"/>
    <w:rsid w:val="00703960"/>
    <w:rsid w:val="00707972"/>
    <w:rsid w:val="007125A0"/>
    <w:rsid w:val="00714911"/>
    <w:rsid w:val="00716124"/>
    <w:rsid w:val="00717869"/>
    <w:rsid w:val="00721B8D"/>
    <w:rsid w:val="00734953"/>
    <w:rsid w:val="0073507D"/>
    <w:rsid w:val="007353FC"/>
    <w:rsid w:val="007354EA"/>
    <w:rsid w:val="007365B8"/>
    <w:rsid w:val="00740B49"/>
    <w:rsid w:val="007465E4"/>
    <w:rsid w:val="0075202F"/>
    <w:rsid w:val="0075276C"/>
    <w:rsid w:val="0075629F"/>
    <w:rsid w:val="00765C60"/>
    <w:rsid w:val="00767D3B"/>
    <w:rsid w:val="0077174B"/>
    <w:rsid w:val="00771868"/>
    <w:rsid w:val="0077577E"/>
    <w:rsid w:val="00777AAF"/>
    <w:rsid w:val="0078501D"/>
    <w:rsid w:val="00790233"/>
    <w:rsid w:val="00792BD3"/>
    <w:rsid w:val="00795559"/>
    <w:rsid w:val="00795DC5"/>
    <w:rsid w:val="0079630D"/>
    <w:rsid w:val="00796B6A"/>
    <w:rsid w:val="00797222"/>
    <w:rsid w:val="007A04F0"/>
    <w:rsid w:val="007A054C"/>
    <w:rsid w:val="007A289E"/>
    <w:rsid w:val="007A353D"/>
    <w:rsid w:val="007A7468"/>
    <w:rsid w:val="007B5E9C"/>
    <w:rsid w:val="007C0C4B"/>
    <w:rsid w:val="007D3E8D"/>
    <w:rsid w:val="007D70DF"/>
    <w:rsid w:val="007D7709"/>
    <w:rsid w:val="007DD333"/>
    <w:rsid w:val="007E2F83"/>
    <w:rsid w:val="007F0E5A"/>
    <w:rsid w:val="007F2C83"/>
    <w:rsid w:val="007F6F85"/>
    <w:rsid w:val="00800D3B"/>
    <w:rsid w:val="00800DF5"/>
    <w:rsid w:val="008041FD"/>
    <w:rsid w:val="00806D36"/>
    <w:rsid w:val="00808DF8"/>
    <w:rsid w:val="00810238"/>
    <w:rsid w:val="00811913"/>
    <w:rsid w:val="008121C4"/>
    <w:rsid w:val="008123E5"/>
    <w:rsid w:val="00812F7C"/>
    <w:rsid w:val="0081473F"/>
    <w:rsid w:val="00814D01"/>
    <w:rsid w:val="00815BE1"/>
    <w:rsid w:val="00816BAD"/>
    <w:rsid w:val="0081711A"/>
    <w:rsid w:val="008221B5"/>
    <w:rsid w:val="00823C62"/>
    <w:rsid w:val="00824585"/>
    <w:rsid w:val="00825F20"/>
    <w:rsid w:val="00846626"/>
    <w:rsid w:val="00846C30"/>
    <w:rsid w:val="008474D4"/>
    <w:rsid w:val="00854A9B"/>
    <w:rsid w:val="0086344E"/>
    <w:rsid w:val="00865F41"/>
    <w:rsid w:val="0087570D"/>
    <w:rsid w:val="0088098B"/>
    <w:rsid w:val="00882151"/>
    <w:rsid w:val="00882B25"/>
    <w:rsid w:val="008851D8"/>
    <w:rsid w:val="00890222"/>
    <w:rsid w:val="00891CD1"/>
    <w:rsid w:val="00893A2E"/>
    <w:rsid w:val="00895323"/>
    <w:rsid w:val="0089532E"/>
    <w:rsid w:val="008A0A1A"/>
    <w:rsid w:val="008A300D"/>
    <w:rsid w:val="008A6DEA"/>
    <w:rsid w:val="008C235B"/>
    <w:rsid w:val="008C47BE"/>
    <w:rsid w:val="008D0086"/>
    <w:rsid w:val="008D1557"/>
    <w:rsid w:val="008D17D1"/>
    <w:rsid w:val="008D44CD"/>
    <w:rsid w:val="008E1EB3"/>
    <w:rsid w:val="008E3DC1"/>
    <w:rsid w:val="008E448F"/>
    <w:rsid w:val="008F0665"/>
    <w:rsid w:val="008F1B52"/>
    <w:rsid w:val="008F4BCB"/>
    <w:rsid w:val="00901DB8"/>
    <w:rsid w:val="009027E7"/>
    <w:rsid w:val="00905FD9"/>
    <w:rsid w:val="00906FFE"/>
    <w:rsid w:val="00907226"/>
    <w:rsid w:val="00910C7F"/>
    <w:rsid w:val="00911E94"/>
    <w:rsid w:val="00912093"/>
    <w:rsid w:val="009159C3"/>
    <w:rsid w:val="0091679A"/>
    <w:rsid w:val="00920502"/>
    <w:rsid w:val="009206C8"/>
    <w:rsid w:val="0092635F"/>
    <w:rsid w:val="009405CF"/>
    <w:rsid w:val="009504E6"/>
    <w:rsid w:val="009550C2"/>
    <w:rsid w:val="00955A36"/>
    <w:rsid w:val="0096347B"/>
    <w:rsid w:val="00965C2B"/>
    <w:rsid w:val="00967B94"/>
    <w:rsid w:val="009724B0"/>
    <w:rsid w:val="00972A01"/>
    <w:rsid w:val="0098200B"/>
    <w:rsid w:val="00990A89"/>
    <w:rsid w:val="00992448"/>
    <w:rsid w:val="009933A5"/>
    <w:rsid w:val="009A018C"/>
    <w:rsid w:val="009A1955"/>
    <w:rsid w:val="009A26BC"/>
    <w:rsid w:val="009B6262"/>
    <w:rsid w:val="009B71E8"/>
    <w:rsid w:val="009B7482"/>
    <w:rsid w:val="009B7688"/>
    <w:rsid w:val="009C0D48"/>
    <w:rsid w:val="009C383F"/>
    <w:rsid w:val="009C766D"/>
    <w:rsid w:val="009C7F43"/>
    <w:rsid w:val="009D1366"/>
    <w:rsid w:val="009D1A94"/>
    <w:rsid w:val="009D545B"/>
    <w:rsid w:val="009D5ED9"/>
    <w:rsid w:val="009E3396"/>
    <w:rsid w:val="009E37A6"/>
    <w:rsid w:val="009F324B"/>
    <w:rsid w:val="009F500E"/>
    <w:rsid w:val="00A06633"/>
    <w:rsid w:val="00A069B1"/>
    <w:rsid w:val="00A07799"/>
    <w:rsid w:val="00A07973"/>
    <w:rsid w:val="00A11F4B"/>
    <w:rsid w:val="00A154A6"/>
    <w:rsid w:val="00A24CAD"/>
    <w:rsid w:val="00A255EC"/>
    <w:rsid w:val="00A2594B"/>
    <w:rsid w:val="00A308C7"/>
    <w:rsid w:val="00A32140"/>
    <w:rsid w:val="00A336DB"/>
    <w:rsid w:val="00A43027"/>
    <w:rsid w:val="00A460A8"/>
    <w:rsid w:val="00A47B82"/>
    <w:rsid w:val="00A5309E"/>
    <w:rsid w:val="00A61404"/>
    <w:rsid w:val="00A62419"/>
    <w:rsid w:val="00A72A64"/>
    <w:rsid w:val="00A743CA"/>
    <w:rsid w:val="00A76496"/>
    <w:rsid w:val="00A77240"/>
    <w:rsid w:val="00A8136A"/>
    <w:rsid w:val="00A82B29"/>
    <w:rsid w:val="00A8309A"/>
    <w:rsid w:val="00A84A4C"/>
    <w:rsid w:val="00A8572E"/>
    <w:rsid w:val="00A8609C"/>
    <w:rsid w:val="00A87C75"/>
    <w:rsid w:val="00A87D64"/>
    <w:rsid w:val="00A91234"/>
    <w:rsid w:val="00A9529B"/>
    <w:rsid w:val="00A97876"/>
    <w:rsid w:val="00AA3614"/>
    <w:rsid w:val="00AB3943"/>
    <w:rsid w:val="00AB46D5"/>
    <w:rsid w:val="00AB76BB"/>
    <w:rsid w:val="00AC11EC"/>
    <w:rsid w:val="00AC1B9D"/>
    <w:rsid w:val="00AC2AA8"/>
    <w:rsid w:val="00AD2F10"/>
    <w:rsid w:val="00AD34CA"/>
    <w:rsid w:val="00AD42C6"/>
    <w:rsid w:val="00AE25C0"/>
    <w:rsid w:val="00AE4CE3"/>
    <w:rsid w:val="00AE59F6"/>
    <w:rsid w:val="00AE5A2B"/>
    <w:rsid w:val="00AE7BE4"/>
    <w:rsid w:val="00AF52A4"/>
    <w:rsid w:val="00B04E95"/>
    <w:rsid w:val="00B07B54"/>
    <w:rsid w:val="00B104A9"/>
    <w:rsid w:val="00B1153C"/>
    <w:rsid w:val="00B11E0C"/>
    <w:rsid w:val="00B12A15"/>
    <w:rsid w:val="00B136BE"/>
    <w:rsid w:val="00B2095B"/>
    <w:rsid w:val="00B22A2F"/>
    <w:rsid w:val="00B3282D"/>
    <w:rsid w:val="00B33A17"/>
    <w:rsid w:val="00B45D1E"/>
    <w:rsid w:val="00B4745C"/>
    <w:rsid w:val="00B51D38"/>
    <w:rsid w:val="00B529F4"/>
    <w:rsid w:val="00B548BD"/>
    <w:rsid w:val="00B554C0"/>
    <w:rsid w:val="00B6002E"/>
    <w:rsid w:val="00B610A0"/>
    <w:rsid w:val="00B70BBA"/>
    <w:rsid w:val="00B7269B"/>
    <w:rsid w:val="00B731F6"/>
    <w:rsid w:val="00B75184"/>
    <w:rsid w:val="00B828AE"/>
    <w:rsid w:val="00B83D70"/>
    <w:rsid w:val="00B83EC5"/>
    <w:rsid w:val="00B845BB"/>
    <w:rsid w:val="00B92C56"/>
    <w:rsid w:val="00BA3434"/>
    <w:rsid w:val="00BA35FB"/>
    <w:rsid w:val="00BB0F41"/>
    <w:rsid w:val="00BB27D0"/>
    <w:rsid w:val="00BB2F35"/>
    <w:rsid w:val="00BB5967"/>
    <w:rsid w:val="00BB7789"/>
    <w:rsid w:val="00BB7B04"/>
    <w:rsid w:val="00BC2F80"/>
    <w:rsid w:val="00BC5AB8"/>
    <w:rsid w:val="00BF34E0"/>
    <w:rsid w:val="00BF5DAB"/>
    <w:rsid w:val="00BF72D2"/>
    <w:rsid w:val="00C000DE"/>
    <w:rsid w:val="00C0189C"/>
    <w:rsid w:val="00C12DE7"/>
    <w:rsid w:val="00C208BA"/>
    <w:rsid w:val="00C24FFF"/>
    <w:rsid w:val="00C25098"/>
    <w:rsid w:val="00C25A5E"/>
    <w:rsid w:val="00C25C05"/>
    <w:rsid w:val="00C27667"/>
    <w:rsid w:val="00C424A5"/>
    <w:rsid w:val="00C4447B"/>
    <w:rsid w:val="00C510C0"/>
    <w:rsid w:val="00C5224E"/>
    <w:rsid w:val="00C57DEA"/>
    <w:rsid w:val="00C60567"/>
    <w:rsid w:val="00C63DC5"/>
    <w:rsid w:val="00C64280"/>
    <w:rsid w:val="00C64442"/>
    <w:rsid w:val="00C645BC"/>
    <w:rsid w:val="00C76108"/>
    <w:rsid w:val="00C775F7"/>
    <w:rsid w:val="00C802AF"/>
    <w:rsid w:val="00C83281"/>
    <w:rsid w:val="00C875B2"/>
    <w:rsid w:val="00C90B24"/>
    <w:rsid w:val="00CA1706"/>
    <w:rsid w:val="00CA4C77"/>
    <w:rsid w:val="00CB0AF6"/>
    <w:rsid w:val="00CB38A1"/>
    <w:rsid w:val="00CB593B"/>
    <w:rsid w:val="00CB6A3D"/>
    <w:rsid w:val="00CB6EA5"/>
    <w:rsid w:val="00CC6BD3"/>
    <w:rsid w:val="00CD0348"/>
    <w:rsid w:val="00CD1EDA"/>
    <w:rsid w:val="00CD306E"/>
    <w:rsid w:val="00CE0B13"/>
    <w:rsid w:val="00CF53D1"/>
    <w:rsid w:val="00CF571E"/>
    <w:rsid w:val="00D059B2"/>
    <w:rsid w:val="00D1431A"/>
    <w:rsid w:val="00D14CEA"/>
    <w:rsid w:val="00D238B5"/>
    <w:rsid w:val="00D3014F"/>
    <w:rsid w:val="00D31E40"/>
    <w:rsid w:val="00D323C3"/>
    <w:rsid w:val="00D41074"/>
    <w:rsid w:val="00D4489D"/>
    <w:rsid w:val="00D52DC0"/>
    <w:rsid w:val="00D61ADE"/>
    <w:rsid w:val="00D61D70"/>
    <w:rsid w:val="00D74566"/>
    <w:rsid w:val="00D906EB"/>
    <w:rsid w:val="00D92B7E"/>
    <w:rsid w:val="00D93636"/>
    <w:rsid w:val="00DA013A"/>
    <w:rsid w:val="00DA1BE1"/>
    <w:rsid w:val="00DA6D92"/>
    <w:rsid w:val="00DB2EC2"/>
    <w:rsid w:val="00DB695C"/>
    <w:rsid w:val="00DC0A39"/>
    <w:rsid w:val="00DC1E5D"/>
    <w:rsid w:val="00DC53DE"/>
    <w:rsid w:val="00DC73FE"/>
    <w:rsid w:val="00DC7A4A"/>
    <w:rsid w:val="00DC7A82"/>
    <w:rsid w:val="00DD36F6"/>
    <w:rsid w:val="00DD56D7"/>
    <w:rsid w:val="00DE0EAC"/>
    <w:rsid w:val="00DF048F"/>
    <w:rsid w:val="00DF06FB"/>
    <w:rsid w:val="00DF149B"/>
    <w:rsid w:val="00DF1856"/>
    <w:rsid w:val="00DF239B"/>
    <w:rsid w:val="00DF2A7C"/>
    <w:rsid w:val="00DF3853"/>
    <w:rsid w:val="00DF6B05"/>
    <w:rsid w:val="00E011A2"/>
    <w:rsid w:val="00E011D3"/>
    <w:rsid w:val="00E01461"/>
    <w:rsid w:val="00E01A64"/>
    <w:rsid w:val="00E031E9"/>
    <w:rsid w:val="00E03275"/>
    <w:rsid w:val="00E033AE"/>
    <w:rsid w:val="00E077C7"/>
    <w:rsid w:val="00E13319"/>
    <w:rsid w:val="00E17991"/>
    <w:rsid w:val="00E26252"/>
    <w:rsid w:val="00E32EC3"/>
    <w:rsid w:val="00E33346"/>
    <w:rsid w:val="00E40597"/>
    <w:rsid w:val="00E423FA"/>
    <w:rsid w:val="00E4563B"/>
    <w:rsid w:val="00E5070C"/>
    <w:rsid w:val="00E52455"/>
    <w:rsid w:val="00E572FA"/>
    <w:rsid w:val="00E625CF"/>
    <w:rsid w:val="00E6774D"/>
    <w:rsid w:val="00E71A69"/>
    <w:rsid w:val="00E71DE5"/>
    <w:rsid w:val="00E72702"/>
    <w:rsid w:val="00E73702"/>
    <w:rsid w:val="00E76157"/>
    <w:rsid w:val="00E776D5"/>
    <w:rsid w:val="00E812EE"/>
    <w:rsid w:val="00E82D9F"/>
    <w:rsid w:val="00E82F31"/>
    <w:rsid w:val="00E865E8"/>
    <w:rsid w:val="00E87789"/>
    <w:rsid w:val="00E93A0C"/>
    <w:rsid w:val="00E952F9"/>
    <w:rsid w:val="00E97CD8"/>
    <w:rsid w:val="00EA6953"/>
    <w:rsid w:val="00EB1ECC"/>
    <w:rsid w:val="00EC21ED"/>
    <w:rsid w:val="00ED0B9B"/>
    <w:rsid w:val="00ED2C9C"/>
    <w:rsid w:val="00ED5FDA"/>
    <w:rsid w:val="00ED6A0F"/>
    <w:rsid w:val="00ED7084"/>
    <w:rsid w:val="00ED719E"/>
    <w:rsid w:val="00EE0FD7"/>
    <w:rsid w:val="00EE698E"/>
    <w:rsid w:val="00EE6A79"/>
    <w:rsid w:val="00EF021B"/>
    <w:rsid w:val="00EF2549"/>
    <w:rsid w:val="00F064E0"/>
    <w:rsid w:val="00F111F8"/>
    <w:rsid w:val="00F13BB5"/>
    <w:rsid w:val="00F13D13"/>
    <w:rsid w:val="00F16F46"/>
    <w:rsid w:val="00F352F0"/>
    <w:rsid w:val="00F3532C"/>
    <w:rsid w:val="00F3575A"/>
    <w:rsid w:val="00F36160"/>
    <w:rsid w:val="00F37BCC"/>
    <w:rsid w:val="00F40D98"/>
    <w:rsid w:val="00F42550"/>
    <w:rsid w:val="00F45499"/>
    <w:rsid w:val="00F463BC"/>
    <w:rsid w:val="00F51B5A"/>
    <w:rsid w:val="00F546CF"/>
    <w:rsid w:val="00F62493"/>
    <w:rsid w:val="00F66E86"/>
    <w:rsid w:val="00F672DC"/>
    <w:rsid w:val="00F709B8"/>
    <w:rsid w:val="00F73057"/>
    <w:rsid w:val="00F81A1B"/>
    <w:rsid w:val="00F8450A"/>
    <w:rsid w:val="00F865B4"/>
    <w:rsid w:val="00F870CE"/>
    <w:rsid w:val="00F87CB9"/>
    <w:rsid w:val="00FA45B8"/>
    <w:rsid w:val="00FB180B"/>
    <w:rsid w:val="00FB3AAB"/>
    <w:rsid w:val="00FE3405"/>
    <w:rsid w:val="00FE5FF5"/>
    <w:rsid w:val="00FE6DCD"/>
    <w:rsid w:val="00FE78CC"/>
    <w:rsid w:val="00FF0709"/>
    <w:rsid w:val="00FF2DC4"/>
    <w:rsid w:val="00FF67DF"/>
    <w:rsid w:val="00FF7408"/>
    <w:rsid w:val="010C73C7"/>
    <w:rsid w:val="011BBB93"/>
    <w:rsid w:val="01223A39"/>
    <w:rsid w:val="012FF43B"/>
    <w:rsid w:val="01357195"/>
    <w:rsid w:val="0143FE94"/>
    <w:rsid w:val="0156554F"/>
    <w:rsid w:val="015738B2"/>
    <w:rsid w:val="0162D630"/>
    <w:rsid w:val="0173C7AA"/>
    <w:rsid w:val="01A65FC3"/>
    <w:rsid w:val="0205466A"/>
    <w:rsid w:val="020688AC"/>
    <w:rsid w:val="020D5931"/>
    <w:rsid w:val="0236AE2E"/>
    <w:rsid w:val="02526653"/>
    <w:rsid w:val="0254E1C0"/>
    <w:rsid w:val="02567CD4"/>
    <w:rsid w:val="02CB3273"/>
    <w:rsid w:val="02D17712"/>
    <w:rsid w:val="02D41DEC"/>
    <w:rsid w:val="02D7726F"/>
    <w:rsid w:val="02DB2AC4"/>
    <w:rsid w:val="02F311F6"/>
    <w:rsid w:val="02FBAE5D"/>
    <w:rsid w:val="030E9939"/>
    <w:rsid w:val="033F4682"/>
    <w:rsid w:val="03484921"/>
    <w:rsid w:val="034C01EC"/>
    <w:rsid w:val="0382BED1"/>
    <w:rsid w:val="039768C0"/>
    <w:rsid w:val="039BF881"/>
    <w:rsid w:val="03A3E974"/>
    <w:rsid w:val="03D4EC88"/>
    <w:rsid w:val="03E008B9"/>
    <w:rsid w:val="03EDBD95"/>
    <w:rsid w:val="043C14FA"/>
    <w:rsid w:val="0472DC70"/>
    <w:rsid w:val="047567EA"/>
    <w:rsid w:val="0489A378"/>
    <w:rsid w:val="0498087A"/>
    <w:rsid w:val="04C34C0B"/>
    <w:rsid w:val="04D0AAEB"/>
    <w:rsid w:val="04D43DE9"/>
    <w:rsid w:val="04D557AA"/>
    <w:rsid w:val="04DB56AE"/>
    <w:rsid w:val="04E2526D"/>
    <w:rsid w:val="04E9F570"/>
    <w:rsid w:val="052585EF"/>
    <w:rsid w:val="052B67BC"/>
    <w:rsid w:val="0533CB2E"/>
    <w:rsid w:val="0536D8AD"/>
    <w:rsid w:val="055784C2"/>
    <w:rsid w:val="05742FF9"/>
    <w:rsid w:val="05887F4D"/>
    <w:rsid w:val="059C2A47"/>
    <w:rsid w:val="05A29D41"/>
    <w:rsid w:val="05B006BC"/>
    <w:rsid w:val="05C3FAE4"/>
    <w:rsid w:val="05E7ECC1"/>
    <w:rsid w:val="0604A1C6"/>
    <w:rsid w:val="0641C2DC"/>
    <w:rsid w:val="064358BB"/>
    <w:rsid w:val="0683B340"/>
    <w:rsid w:val="068DDFB4"/>
    <w:rsid w:val="06A5DC98"/>
    <w:rsid w:val="06C47382"/>
    <w:rsid w:val="06CA3F7A"/>
    <w:rsid w:val="074C8184"/>
    <w:rsid w:val="075669B3"/>
    <w:rsid w:val="077BF973"/>
    <w:rsid w:val="07977D9E"/>
    <w:rsid w:val="07CBC5F8"/>
    <w:rsid w:val="07CF8DE6"/>
    <w:rsid w:val="07F3B4AD"/>
    <w:rsid w:val="08285913"/>
    <w:rsid w:val="0840B08F"/>
    <w:rsid w:val="084216F3"/>
    <w:rsid w:val="08568C1F"/>
    <w:rsid w:val="086BFE42"/>
    <w:rsid w:val="0879B7E3"/>
    <w:rsid w:val="087EF01C"/>
    <w:rsid w:val="0893C4B6"/>
    <w:rsid w:val="08AE7B84"/>
    <w:rsid w:val="08C6AE77"/>
    <w:rsid w:val="08CC9FDA"/>
    <w:rsid w:val="08CF5532"/>
    <w:rsid w:val="08DE4DBD"/>
    <w:rsid w:val="08DEC667"/>
    <w:rsid w:val="091F23AF"/>
    <w:rsid w:val="09257682"/>
    <w:rsid w:val="0937B821"/>
    <w:rsid w:val="0937C45D"/>
    <w:rsid w:val="093B89EA"/>
    <w:rsid w:val="09497990"/>
    <w:rsid w:val="098B84EE"/>
    <w:rsid w:val="09D42A21"/>
    <w:rsid w:val="09F936B0"/>
    <w:rsid w:val="0A30C79D"/>
    <w:rsid w:val="0A34EA6B"/>
    <w:rsid w:val="0A499042"/>
    <w:rsid w:val="0A6C654A"/>
    <w:rsid w:val="0A704964"/>
    <w:rsid w:val="0A77A985"/>
    <w:rsid w:val="0AB267A6"/>
    <w:rsid w:val="0AE1A5B5"/>
    <w:rsid w:val="0AF06C52"/>
    <w:rsid w:val="0B50671E"/>
    <w:rsid w:val="0B5FBFB7"/>
    <w:rsid w:val="0B68E308"/>
    <w:rsid w:val="0BA12F01"/>
    <w:rsid w:val="0BB27F35"/>
    <w:rsid w:val="0BBC8DDB"/>
    <w:rsid w:val="0BE97FB0"/>
    <w:rsid w:val="0BF5DBCD"/>
    <w:rsid w:val="0C0296FB"/>
    <w:rsid w:val="0C2B1A9F"/>
    <w:rsid w:val="0C521FD5"/>
    <w:rsid w:val="0C6BC83F"/>
    <w:rsid w:val="0C90B774"/>
    <w:rsid w:val="0CBCA9A8"/>
    <w:rsid w:val="0CE08649"/>
    <w:rsid w:val="0CFF8C23"/>
    <w:rsid w:val="0D037761"/>
    <w:rsid w:val="0D0DEB34"/>
    <w:rsid w:val="0D10CC34"/>
    <w:rsid w:val="0D25D839"/>
    <w:rsid w:val="0D59A9A0"/>
    <w:rsid w:val="0D6C62E9"/>
    <w:rsid w:val="0D725BCE"/>
    <w:rsid w:val="0D7F2172"/>
    <w:rsid w:val="0DBEB200"/>
    <w:rsid w:val="0DF69C98"/>
    <w:rsid w:val="0DFA1CBF"/>
    <w:rsid w:val="0E04244E"/>
    <w:rsid w:val="0E075F23"/>
    <w:rsid w:val="0E3719CF"/>
    <w:rsid w:val="0E45CDD0"/>
    <w:rsid w:val="0EE2DD88"/>
    <w:rsid w:val="0EFA16CF"/>
    <w:rsid w:val="0F099C1C"/>
    <w:rsid w:val="0F164B82"/>
    <w:rsid w:val="0F17952C"/>
    <w:rsid w:val="0F192A87"/>
    <w:rsid w:val="0F29E53D"/>
    <w:rsid w:val="0F307002"/>
    <w:rsid w:val="0F3BDCF8"/>
    <w:rsid w:val="0F5647D5"/>
    <w:rsid w:val="0F5FAF9D"/>
    <w:rsid w:val="0F7DDAA7"/>
    <w:rsid w:val="0F9A7708"/>
    <w:rsid w:val="0FB8E7F5"/>
    <w:rsid w:val="0FC746D0"/>
    <w:rsid w:val="0FCF603F"/>
    <w:rsid w:val="0FF72AEE"/>
    <w:rsid w:val="1002B3F1"/>
    <w:rsid w:val="100C776F"/>
    <w:rsid w:val="1026D47A"/>
    <w:rsid w:val="10366955"/>
    <w:rsid w:val="1092B895"/>
    <w:rsid w:val="1096F1DA"/>
    <w:rsid w:val="10D8FBF1"/>
    <w:rsid w:val="111DA27D"/>
    <w:rsid w:val="1129D9CB"/>
    <w:rsid w:val="1138118F"/>
    <w:rsid w:val="11569B0F"/>
    <w:rsid w:val="116B0F41"/>
    <w:rsid w:val="117AAA92"/>
    <w:rsid w:val="1184EF6A"/>
    <w:rsid w:val="11898DE9"/>
    <w:rsid w:val="118BC29C"/>
    <w:rsid w:val="11BA08F9"/>
    <w:rsid w:val="1201CAF1"/>
    <w:rsid w:val="1239569A"/>
    <w:rsid w:val="125E1EF3"/>
    <w:rsid w:val="12738ABF"/>
    <w:rsid w:val="1297DA9A"/>
    <w:rsid w:val="12A4CBCE"/>
    <w:rsid w:val="12C9CFAD"/>
    <w:rsid w:val="12D088CD"/>
    <w:rsid w:val="12D63911"/>
    <w:rsid w:val="12D6B853"/>
    <w:rsid w:val="12D94680"/>
    <w:rsid w:val="12EABF96"/>
    <w:rsid w:val="12F66793"/>
    <w:rsid w:val="133A7BF4"/>
    <w:rsid w:val="1341CD99"/>
    <w:rsid w:val="13625E23"/>
    <w:rsid w:val="1384EA43"/>
    <w:rsid w:val="13A1C577"/>
    <w:rsid w:val="13BD0C96"/>
    <w:rsid w:val="13CADBAE"/>
    <w:rsid w:val="13D124AB"/>
    <w:rsid w:val="140D65A5"/>
    <w:rsid w:val="140E751B"/>
    <w:rsid w:val="142D6990"/>
    <w:rsid w:val="1440D66A"/>
    <w:rsid w:val="144A5BC3"/>
    <w:rsid w:val="144CE945"/>
    <w:rsid w:val="146314A2"/>
    <w:rsid w:val="14751314"/>
    <w:rsid w:val="147F9CBF"/>
    <w:rsid w:val="148862D8"/>
    <w:rsid w:val="148EF7A0"/>
    <w:rsid w:val="14B10E57"/>
    <w:rsid w:val="14B43918"/>
    <w:rsid w:val="14BCC8D6"/>
    <w:rsid w:val="14CC9E47"/>
    <w:rsid w:val="14D661B4"/>
    <w:rsid w:val="14DA0017"/>
    <w:rsid w:val="14EDF440"/>
    <w:rsid w:val="14FB7E20"/>
    <w:rsid w:val="1501DEC2"/>
    <w:rsid w:val="15255C31"/>
    <w:rsid w:val="152A25CA"/>
    <w:rsid w:val="158E2C04"/>
    <w:rsid w:val="15A63745"/>
    <w:rsid w:val="15A88F01"/>
    <w:rsid w:val="15BC6B38"/>
    <w:rsid w:val="15C0EBAF"/>
    <w:rsid w:val="15F16426"/>
    <w:rsid w:val="160ED91A"/>
    <w:rsid w:val="161F7C82"/>
    <w:rsid w:val="16285577"/>
    <w:rsid w:val="16386DBA"/>
    <w:rsid w:val="1647B4ED"/>
    <w:rsid w:val="16B394ED"/>
    <w:rsid w:val="16B5C181"/>
    <w:rsid w:val="16B800C7"/>
    <w:rsid w:val="16D3EBDD"/>
    <w:rsid w:val="16D6B267"/>
    <w:rsid w:val="16E1D1DF"/>
    <w:rsid w:val="16E1FDAF"/>
    <w:rsid w:val="16F9C669"/>
    <w:rsid w:val="16FCDD7A"/>
    <w:rsid w:val="16FEFBC3"/>
    <w:rsid w:val="1708CD22"/>
    <w:rsid w:val="170BA4B7"/>
    <w:rsid w:val="171A2707"/>
    <w:rsid w:val="172BC628"/>
    <w:rsid w:val="174440E6"/>
    <w:rsid w:val="17A96E8E"/>
    <w:rsid w:val="17E1AAEA"/>
    <w:rsid w:val="17E84D47"/>
    <w:rsid w:val="18387601"/>
    <w:rsid w:val="1846C118"/>
    <w:rsid w:val="184A8D67"/>
    <w:rsid w:val="1892ADF7"/>
    <w:rsid w:val="18989C05"/>
    <w:rsid w:val="18C9E2BD"/>
    <w:rsid w:val="18D1A7DA"/>
    <w:rsid w:val="18D99D58"/>
    <w:rsid w:val="18E4B932"/>
    <w:rsid w:val="190F8E8A"/>
    <w:rsid w:val="192AFD18"/>
    <w:rsid w:val="19364F5E"/>
    <w:rsid w:val="19411404"/>
    <w:rsid w:val="1947D19D"/>
    <w:rsid w:val="1971787D"/>
    <w:rsid w:val="19A4C77E"/>
    <w:rsid w:val="19C04979"/>
    <w:rsid w:val="19D33F7F"/>
    <w:rsid w:val="1A4A922F"/>
    <w:rsid w:val="1A6A2DFE"/>
    <w:rsid w:val="1A6D3B0F"/>
    <w:rsid w:val="1A85ECD1"/>
    <w:rsid w:val="1AA8797E"/>
    <w:rsid w:val="1AC90CC2"/>
    <w:rsid w:val="1ADB32F2"/>
    <w:rsid w:val="1B2313DF"/>
    <w:rsid w:val="1B5EABEC"/>
    <w:rsid w:val="1B5ED0C5"/>
    <w:rsid w:val="1B6AA8D1"/>
    <w:rsid w:val="1B8AE636"/>
    <w:rsid w:val="1BAAC6B9"/>
    <w:rsid w:val="1BABB39E"/>
    <w:rsid w:val="1BC09759"/>
    <w:rsid w:val="1C08E9CF"/>
    <w:rsid w:val="1C17D2B4"/>
    <w:rsid w:val="1C1ED09C"/>
    <w:rsid w:val="1C4AC324"/>
    <w:rsid w:val="1C57C309"/>
    <w:rsid w:val="1C5A4AB6"/>
    <w:rsid w:val="1C7C2FDA"/>
    <w:rsid w:val="1C8FBDC6"/>
    <w:rsid w:val="1CA4B1BB"/>
    <w:rsid w:val="1CB5B2B8"/>
    <w:rsid w:val="1CCDD414"/>
    <w:rsid w:val="1CDAD1D8"/>
    <w:rsid w:val="1CE5BA72"/>
    <w:rsid w:val="1D07C18B"/>
    <w:rsid w:val="1D18856B"/>
    <w:rsid w:val="1D2E1C38"/>
    <w:rsid w:val="1D3525C2"/>
    <w:rsid w:val="1D44F07D"/>
    <w:rsid w:val="1D57D94C"/>
    <w:rsid w:val="1D670401"/>
    <w:rsid w:val="1D67EBEF"/>
    <w:rsid w:val="1D8CAFB5"/>
    <w:rsid w:val="1D9E6094"/>
    <w:rsid w:val="1DADB67A"/>
    <w:rsid w:val="1DC9D908"/>
    <w:rsid w:val="1DE53395"/>
    <w:rsid w:val="1E0689E8"/>
    <w:rsid w:val="1E225C5A"/>
    <w:rsid w:val="1E26B3E3"/>
    <w:rsid w:val="1E65E88B"/>
    <w:rsid w:val="1E6DD695"/>
    <w:rsid w:val="1E729303"/>
    <w:rsid w:val="1EA81A0F"/>
    <w:rsid w:val="1EB2B567"/>
    <w:rsid w:val="1EBDE7E9"/>
    <w:rsid w:val="1ECF0133"/>
    <w:rsid w:val="1ED27747"/>
    <w:rsid w:val="1EEF0C7E"/>
    <w:rsid w:val="1EF22CED"/>
    <w:rsid w:val="1F0DEB92"/>
    <w:rsid w:val="1F163E5E"/>
    <w:rsid w:val="1F44E0B4"/>
    <w:rsid w:val="1F6C36CC"/>
    <w:rsid w:val="1F8F6EE0"/>
    <w:rsid w:val="1F940107"/>
    <w:rsid w:val="1F9DF013"/>
    <w:rsid w:val="1FA787A4"/>
    <w:rsid w:val="1FBE2819"/>
    <w:rsid w:val="1FC3ACE9"/>
    <w:rsid w:val="1FC9DFC6"/>
    <w:rsid w:val="1FD4F362"/>
    <w:rsid w:val="1FD99011"/>
    <w:rsid w:val="1FDDC189"/>
    <w:rsid w:val="1FF6F481"/>
    <w:rsid w:val="20383C2E"/>
    <w:rsid w:val="2045CF73"/>
    <w:rsid w:val="2053937F"/>
    <w:rsid w:val="2070F132"/>
    <w:rsid w:val="209FA1FF"/>
    <w:rsid w:val="20BD25EA"/>
    <w:rsid w:val="213F7C40"/>
    <w:rsid w:val="214E5593"/>
    <w:rsid w:val="2169E4D6"/>
    <w:rsid w:val="216F1C94"/>
    <w:rsid w:val="21E33206"/>
    <w:rsid w:val="21E41B16"/>
    <w:rsid w:val="21F0F7B1"/>
    <w:rsid w:val="2201FEAA"/>
    <w:rsid w:val="2209447E"/>
    <w:rsid w:val="22148DDC"/>
    <w:rsid w:val="2218F3E3"/>
    <w:rsid w:val="22409925"/>
    <w:rsid w:val="224A3DE3"/>
    <w:rsid w:val="224E51CE"/>
    <w:rsid w:val="22552FD5"/>
    <w:rsid w:val="227BC6D6"/>
    <w:rsid w:val="22BFF558"/>
    <w:rsid w:val="22C8CDC4"/>
    <w:rsid w:val="22F97625"/>
    <w:rsid w:val="22FABE76"/>
    <w:rsid w:val="2312233F"/>
    <w:rsid w:val="23169FA0"/>
    <w:rsid w:val="232696CB"/>
    <w:rsid w:val="23434B4B"/>
    <w:rsid w:val="23552475"/>
    <w:rsid w:val="2385CC34"/>
    <w:rsid w:val="23AB4971"/>
    <w:rsid w:val="23BCA858"/>
    <w:rsid w:val="23D7D334"/>
    <w:rsid w:val="23DCC150"/>
    <w:rsid w:val="23F31978"/>
    <w:rsid w:val="24032AAF"/>
    <w:rsid w:val="240DAA3C"/>
    <w:rsid w:val="24102143"/>
    <w:rsid w:val="24133E59"/>
    <w:rsid w:val="243CE80B"/>
    <w:rsid w:val="24614A0B"/>
    <w:rsid w:val="246B73B8"/>
    <w:rsid w:val="246EE2D0"/>
    <w:rsid w:val="24AF0FB4"/>
    <w:rsid w:val="24B24BF6"/>
    <w:rsid w:val="24BB8013"/>
    <w:rsid w:val="24F1E710"/>
    <w:rsid w:val="2505B98A"/>
    <w:rsid w:val="2533D79F"/>
    <w:rsid w:val="2544BD59"/>
    <w:rsid w:val="255D6A4C"/>
    <w:rsid w:val="256286B0"/>
    <w:rsid w:val="25779A1D"/>
    <w:rsid w:val="25BA0C78"/>
    <w:rsid w:val="25C2CBBB"/>
    <w:rsid w:val="25D1AA85"/>
    <w:rsid w:val="25D1ECCF"/>
    <w:rsid w:val="25D2AB92"/>
    <w:rsid w:val="26032422"/>
    <w:rsid w:val="26236A67"/>
    <w:rsid w:val="264B20A3"/>
    <w:rsid w:val="2684E4EA"/>
    <w:rsid w:val="268D00E7"/>
    <w:rsid w:val="26C85F3B"/>
    <w:rsid w:val="26D02F16"/>
    <w:rsid w:val="2713197D"/>
    <w:rsid w:val="27133327"/>
    <w:rsid w:val="2728A18A"/>
    <w:rsid w:val="2733DE8B"/>
    <w:rsid w:val="2793C582"/>
    <w:rsid w:val="27954C2E"/>
    <w:rsid w:val="2796B4CF"/>
    <w:rsid w:val="27A36230"/>
    <w:rsid w:val="27C56F5D"/>
    <w:rsid w:val="27CBC163"/>
    <w:rsid w:val="27FD72EA"/>
    <w:rsid w:val="280C1BD5"/>
    <w:rsid w:val="28247D52"/>
    <w:rsid w:val="283917FC"/>
    <w:rsid w:val="2841B744"/>
    <w:rsid w:val="2887A435"/>
    <w:rsid w:val="289F49CA"/>
    <w:rsid w:val="289F836E"/>
    <w:rsid w:val="28CCCAE7"/>
    <w:rsid w:val="28CEAF71"/>
    <w:rsid w:val="290955AB"/>
    <w:rsid w:val="290CF1D1"/>
    <w:rsid w:val="291DFDC1"/>
    <w:rsid w:val="29259838"/>
    <w:rsid w:val="29466BDE"/>
    <w:rsid w:val="294E92CF"/>
    <w:rsid w:val="29611533"/>
    <w:rsid w:val="2967E6B4"/>
    <w:rsid w:val="29692EF2"/>
    <w:rsid w:val="296A8693"/>
    <w:rsid w:val="2999D9CA"/>
    <w:rsid w:val="29A868BE"/>
    <w:rsid w:val="29A9CC93"/>
    <w:rsid w:val="29BFD900"/>
    <w:rsid w:val="29F56773"/>
    <w:rsid w:val="2A1CD3AD"/>
    <w:rsid w:val="2A1F0F27"/>
    <w:rsid w:val="2A299BFA"/>
    <w:rsid w:val="2A660F4C"/>
    <w:rsid w:val="2A6D67A4"/>
    <w:rsid w:val="2A7395A6"/>
    <w:rsid w:val="2A82CF4D"/>
    <w:rsid w:val="2A9DC230"/>
    <w:rsid w:val="2AB0EFC2"/>
    <w:rsid w:val="2AB5DBCF"/>
    <w:rsid w:val="2AE2A37A"/>
    <w:rsid w:val="2AF3E1B0"/>
    <w:rsid w:val="2B072CE9"/>
    <w:rsid w:val="2B100EB8"/>
    <w:rsid w:val="2B2152EB"/>
    <w:rsid w:val="2B268841"/>
    <w:rsid w:val="2B2958AD"/>
    <w:rsid w:val="2B2CCFAB"/>
    <w:rsid w:val="2B33A5A8"/>
    <w:rsid w:val="2B43B570"/>
    <w:rsid w:val="2BA3E28B"/>
    <w:rsid w:val="2BBE055D"/>
    <w:rsid w:val="2C0D67F8"/>
    <w:rsid w:val="2C185DC7"/>
    <w:rsid w:val="2C5367D8"/>
    <w:rsid w:val="2C6540C6"/>
    <w:rsid w:val="2C690984"/>
    <w:rsid w:val="2C75B103"/>
    <w:rsid w:val="2C769344"/>
    <w:rsid w:val="2C76ACE0"/>
    <w:rsid w:val="2CAD2C65"/>
    <w:rsid w:val="2CBD6EAC"/>
    <w:rsid w:val="2D22F81C"/>
    <w:rsid w:val="2D5A1BD7"/>
    <w:rsid w:val="2D7A667C"/>
    <w:rsid w:val="2D84194F"/>
    <w:rsid w:val="2D92DDFB"/>
    <w:rsid w:val="2DAC22B0"/>
    <w:rsid w:val="2DCCE17E"/>
    <w:rsid w:val="2DF40165"/>
    <w:rsid w:val="2E093BB9"/>
    <w:rsid w:val="2E0AC299"/>
    <w:rsid w:val="2E0C2645"/>
    <w:rsid w:val="2E28CC1A"/>
    <w:rsid w:val="2E2E2A3D"/>
    <w:rsid w:val="2E48527A"/>
    <w:rsid w:val="2E49FD95"/>
    <w:rsid w:val="2EA45AB6"/>
    <w:rsid w:val="2EA83A02"/>
    <w:rsid w:val="2EAD20A1"/>
    <w:rsid w:val="2EBAD28D"/>
    <w:rsid w:val="2EC05E47"/>
    <w:rsid w:val="2EC7915B"/>
    <w:rsid w:val="2ED5A8A8"/>
    <w:rsid w:val="2EE377A2"/>
    <w:rsid w:val="2EF41571"/>
    <w:rsid w:val="2EF67666"/>
    <w:rsid w:val="2EF715DB"/>
    <w:rsid w:val="2EF91ABD"/>
    <w:rsid w:val="2F0C33C2"/>
    <w:rsid w:val="2F131DE5"/>
    <w:rsid w:val="2F13DC2A"/>
    <w:rsid w:val="2F14955A"/>
    <w:rsid w:val="2F3C0842"/>
    <w:rsid w:val="2F3CF608"/>
    <w:rsid w:val="2F4A01B1"/>
    <w:rsid w:val="2F4DCE27"/>
    <w:rsid w:val="2F81E2FA"/>
    <w:rsid w:val="2F899699"/>
    <w:rsid w:val="2F8F1AD6"/>
    <w:rsid w:val="2F98DF04"/>
    <w:rsid w:val="2FA46ADF"/>
    <w:rsid w:val="2FBF6245"/>
    <w:rsid w:val="2FD84E78"/>
    <w:rsid w:val="2FEFBE4B"/>
    <w:rsid w:val="30340609"/>
    <w:rsid w:val="304BE143"/>
    <w:rsid w:val="30606155"/>
    <w:rsid w:val="30764768"/>
    <w:rsid w:val="30A04732"/>
    <w:rsid w:val="30AB9577"/>
    <w:rsid w:val="30CCB752"/>
    <w:rsid w:val="30F7954D"/>
    <w:rsid w:val="3108F9F9"/>
    <w:rsid w:val="3139E13D"/>
    <w:rsid w:val="313D67F0"/>
    <w:rsid w:val="3176FD32"/>
    <w:rsid w:val="317CE11D"/>
    <w:rsid w:val="31882FC2"/>
    <w:rsid w:val="31BB2066"/>
    <w:rsid w:val="31E79084"/>
    <w:rsid w:val="31EB830D"/>
    <w:rsid w:val="31F863E1"/>
    <w:rsid w:val="320AABA5"/>
    <w:rsid w:val="324F6E73"/>
    <w:rsid w:val="3253E936"/>
    <w:rsid w:val="32594551"/>
    <w:rsid w:val="3269F3B4"/>
    <w:rsid w:val="326B153D"/>
    <w:rsid w:val="32765534"/>
    <w:rsid w:val="32C32543"/>
    <w:rsid w:val="32D1835D"/>
    <w:rsid w:val="32DCFF12"/>
    <w:rsid w:val="32DDB900"/>
    <w:rsid w:val="32F3B9EA"/>
    <w:rsid w:val="32FA38B9"/>
    <w:rsid w:val="331355B6"/>
    <w:rsid w:val="331DBAC5"/>
    <w:rsid w:val="33263A08"/>
    <w:rsid w:val="332FFD7E"/>
    <w:rsid w:val="333147B9"/>
    <w:rsid w:val="335179F4"/>
    <w:rsid w:val="336BAC20"/>
    <w:rsid w:val="33951CCA"/>
    <w:rsid w:val="33B26688"/>
    <w:rsid w:val="33CF4F20"/>
    <w:rsid w:val="33E395E6"/>
    <w:rsid w:val="33F0475F"/>
    <w:rsid w:val="33FFBCA0"/>
    <w:rsid w:val="34480511"/>
    <w:rsid w:val="3455067A"/>
    <w:rsid w:val="345E5C22"/>
    <w:rsid w:val="34915F02"/>
    <w:rsid w:val="349C047D"/>
    <w:rsid w:val="34ADE131"/>
    <w:rsid w:val="34B89D2C"/>
    <w:rsid w:val="34C1BBC5"/>
    <w:rsid w:val="34D6BE4A"/>
    <w:rsid w:val="34E039E4"/>
    <w:rsid w:val="34F44A30"/>
    <w:rsid w:val="351186F7"/>
    <w:rsid w:val="35193788"/>
    <w:rsid w:val="352A74C7"/>
    <w:rsid w:val="35643A88"/>
    <w:rsid w:val="3572FB90"/>
    <w:rsid w:val="35CEC4D6"/>
    <w:rsid w:val="35FC04A4"/>
    <w:rsid w:val="361EDCE6"/>
    <w:rsid w:val="36243D47"/>
    <w:rsid w:val="3643B4EF"/>
    <w:rsid w:val="365F1A9A"/>
    <w:rsid w:val="367A73AC"/>
    <w:rsid w:val="3686FE3C"/>
    <w:rsid w:val="3691891D"/>
    <w:rsid w:val="36A450A4"/>
    <w:rsid w:val="36B7E0DF"/>
    <w:rsid w:val="36C8A33A"/>
    <w:rsid w:val="36DBDF5B"/>
    <w:rsid w:val="36DF7938"/>
    <w:rsid w:val="370D7756"/>
    <w:rsid w:val="37336C1D"/>
    <w:rsid w:val="37546F49"/>
    <w:rsid w:val="37A1B48F"/>
    <w:rsid w:val="37A70538"/>
    <w:rsid w:val="37ADB4C8"/>
    <w:rsid w:val="37B198E3"/>
    <w:rsid w:val="37E49A8F"/>
    <w:rsid w:val="37F06747"/>
    <w:rsid w:val="37F619FA"/>
    <w:rsid w:val="37F88BE6"/>
    <w:rsid w:val="37FC6A71"/>
    <w:rsid w:val="380FF8EB"/>
    <w:rsid w:val="381DBCC0"/>
    <w:rsid w:val="3825ED3C"/>
    <w:rsid w:val="3835632F"/>
    <w:rsid w:val="38488537"/>
    <w:rsid w:val="388F8047"/>
    <w:rsid w:val="38902106"/>
    <w:rsid w:val="3894EB02"/>
    <w:rsid w:val="38B747AB"/>
    <w:rsid w:val="38BB2E5F"/>
    <w:rsid w:val="38BFAA6E"/>
    <w:rsid w:val="38DC000F"/>
    <w:rsid w:val="38DC1DB1"/>
    <w:rsid w:val="38E2A6CD"/>
    <w:rsid w:val="38E870FE"/>
    <w:rsid w:val="38F1A272"/>
    <w:rsid w:val="3935541C"/>
    <w:rsid w:val="3968596F"/>
    <w:rsid w:val="39780EAF"/>
    <w:rsid w:val="3986C27A"/>
    <w:rsid w:val="39978BAF"/>
    <w:rsid w:val="39B35DE6"/>
    <w:rsid w:val="39B6C96D"/>
    <w:rsid w:val="39C642C1"/>
    <w:rsid w:val="3A5564F5"/>
    <w:rsid w:val="3A569055"/>
    <w:rsid w:val="3A72FBA0"/>
    <w:rsid w:val="3ABCAFD7"/>
    <w:rsid w:val="3AD89DEA"/>
    <w:rsid w:val="3AE2DD52"/>
    <w:rsid w:val="3B179EA0"/>
    <w:rsid w:val="3B28771B"/>
    <w:rsid w:val="3B45F768"/>
    <w:rsid w:val="3B48412F"/>
    <w:rsid w:val="3B4DE924"/>
    <w:rsid w:val="3B79ABBF"/>
    <w:rsid w:val="3B806D82"/>
    <w:rsid w:val="3B8D32A9"/>
    <w:rsid w:val="3B99CE4E"/>
    <w:rsid w:val="3BC694F0"/>
    <w:rsid w:val="3C1AA703"/>
    <w:rsid w:val="3C1C7946"/>
    <w:rsid w:val="3C2598EF"/>
    <w:rsid w:val="3C308AE0"/>
    <w:rsid w:val="3C37163E"/>
    <w:rsid w:val="3C4BD89F"/>
    <w:rsid w:val="3C5FBC2A"/>
    <w:rsid w:val="3C72E0EF"/>
    <w:rsid w:val="3C944F9E"/>
    <w:rsid w:val="3CBF3D64"/>
    <w:rsid w:val="3CE30068"/>
    <w:rsid w:val="3D14FF12"/>
    <w:rsid w:val="3D646F30"/>
    <w:rsid w:val="3D8CBD5E"/>
    <w:rsid w:val="3D9FCE53"/>
    <w:rsid w:val="3DADE933"/>
    <w:rsid w:val="3DAE5CDC"/>
    <w:rsid w:val="3DBEEE37"/>
    <w:rsid w:val="3DF2AA22"/>
    <w:rsid w:val="3E03A460"/>
    <w:rsid w:val="3E36D786"/>
    <w:rsid w:val="3E410F50"/>
    <w:rsid w:val="3E5937AC"/>
    <w:rsid w:val="3E6E7BDA"/>
    <w:rsid w:val="3E7DC7A5"/>
    <w:rsid w:val="3E7EB9F4"/>
    <w:rsid w:val="3E85C822"/>
    <w:rsid w:val="3E9B8515"/>
    <w:rsid w:val="3EB44ECF"/>
    <w:rsid w:val="3EB82033"/>
    <w:rsid w:val="3EBE68AA"/>
    <w:rsid w:val="3ED1E868"/>
    <w:rsid w:val="3EDC13C1"/>
    <w:rsid w:val="3EE5728B"/>
    <w:rsid w:val="3EED2716"/>
    <w:rsid w:val="3EFD2562"/>
    <w:rsid w:val="3F0866A8"/>
    <w:rsid w:val="3F126636"/>
    <w:rsid w:val="3F20C89C"/>
    <w:rsid w:val="3F22063A"/>
    <w:rsid w:val="3F2675E3"/>
    <w:rsid w:val="3F34B5BE"/>
    <w:rsid w:val="3F3617AE"/>
    <w:rsid w:val="3F401DC4"/>
    <w:rsid w:val="3F5B4D4B"/>
    <w:rsid w:val="3F7FE02A"/>
    <w:rsid w:val="3F849A1A"/>
    <w:rsid w:val="3F92AC82"/>
    <w:rsid w:val="3FA10664"/>
    <w:rsid w:val="3FAC8799"/>
    <w:rsid w:val="3FBE2025"/>
    <w:rsid w:val="3FF09072"/>
    <w:rsid w:val="3FF6667A"/>
    <w:rsid w:val="400BD433"/>
    <w:rsid w:val="40220E76"/>
    <w:rsid w:val="402290F0"/>
    <w:rsid w:val="403E3E5E"/>
    <w:rsid w:val="408062E8"/>
    <w:rsid w:val="409B0AB9"/>
    <w:rsid w:val="40B021A3"/>
    <w:rsid w:val="40C6C34B"/>
    <w:rsid w:val="40DEF65E"/>
    <w:rsid w:val="40F17479"/>
    <w:rsid w:val="40F417CD"/>
    <w:rsid w:val="413266BC"/>
    <w:rsid w:val="41470712"/>
    <w:rsid w:val="415E4361"/>
    <w:rsid w:val="41846E81"/>
    <w:rsid w:val="419451E2"/>
    <w:rsid w:val="419E06AC"/>
    <w:rsid w:val="41CD69E6"/>
    <w:rsid w:val="41DD5B38"/>
    <w:rsid w:val="41E733A0"/>
    <w:rsid w:val="4218E996"/>
    <w:rsid w:val="426AFC1A"/>
    <w:rsid w:val="428B5EDC"/>
    <w:rsid w:val="428D9FAA"/>
    <w:rsid w:val="4298E699"/>
    <w:rsid w:val="42C298FF"/>
    <w:rsid w:val="42C38E9A"/>
    <w:rsid w:val="42E66BE7"/>
    <w:rsid w:val="42E95DD0"/>
    <w:rsid w:val="432DF299"/>
    <w:rsid w:val="4334E1B5"/>
    <w:rsid w:val="43850FB8"/>
    <w:rsid w:val="43D4DF3E"/>
    <w:rsid w:val="43D70805"/>
    <w:rsid w:val="43D708D7"/>
    <w:rsid w:val="43FBAB99"/>
    <w:rsid w:val="4405B36D"/>
    <w:rsid w:val="44087898"/>
    <w:rsid w:val="4411EAA3"/>
    <w:rsid w:val="444CFBD8"/>
    <w:rsid w:val="444F67DD"/>
    <w:rsid w:val="4469712B"/>
    <w:rsid w:val="446C89E5"/>
    <w:rsid w:val="44872860"/>
    <w:rsid w:val="44944EA5"/>
    <w:rsid w:val="449A3728"/>
    <w:rsid w:val="450D9006"/>
    <w:rsid w:val="450E0ADD"/>
    <w:rsid w:val="451896A7"/>
    <w:rsid w:val="451DC7B9"/>
    <w:rsid w:val="457124CD"/>
    <w:rsid w:val="45778DA9"/>
    <w:rsid w:val="45A158AD"/>
    <w:rsid w:val="45AA2330"/>
    <w:rsid w:val="45B3BBC3"/>
    <w:rsid w:val="45BCA0F6"/>
    <w:rsid w:val="45C08842"/>
    <w:rsid w:val="45F18261"/>
    <w:rsid w:val="462B45FE"/>
    <w:rsid w:val="46818D4F"/>
    <w:rsid w:val="469A1C35"/>
    <w:rsid w:val="469A97C1"/>
    <w:rsid w:val="46AF2FA8"/>
    <w:rsid w:val="46BB7AD4"/>
    <w:rsid w:val="46E50303"/>
    <w:rsid w:val="46F15B0C"/>
    <w:rsid w:val="46F5671D"/>
    <w:rsid w:val="470F07C9"/>
    <w:rsid w:val="474D9341"/>
    <w:rsid w:val="47519A19"/>
    <w:rsid w:val="47592ED6"/>
    <w:rsid w:val="477D243E"/>
    <w:rsid w:val="477DB2C0"/>
    <w:rsid w:val="477FDC93"/>
    <w:rsid w:val="478DA813"/>
    <w:rsid w:val="47BDE34C"/>
    <w:rsid w:val="47C24D69"/>
    <w:rsid w:val="47DD2651"/>
    <w:rsid w:val="480DFB63"/>
    <w:rsid w:val="482510C4"/>
    <w:rsid w:val="48789C68"/>
    <w:rsid w:val="4885557B"/>
    <w:rsid w:val="488B868A"/>
    <w:rsid w:val="48BC9ECA"/>
    <w:rsid w:val="498CBBE8"/>
    <w:rsid w:val="49A94AA3"/>
    <w:rsid w:val="49B35C33"/>
    <w:rsid w:val="49CFFBD5"/>
    <w:rsid w:val="49DDAB75"/>
    <w:rsid w:val="49F0572B"/>
    <w:rsid w:val="4A094C44"/>
    <w:rsid w:val="4A0F1253"/>
    <w:rsid w:val="4A12C72E"/>
    <w:rsid w:val="4A29BB23"/>
    <w:rsid w:val="4A31AE1F"/>
    <w:rsid w:val="4A33DC07"/>
    <w:rsid w:val="4A3793C8"/>
    <w:rsid w:val="4A3E2C8F"/>
    <w:rsid w:val="4A5D5DAA"/>
    <w:rsid w:val="4A5DA831"/>
    <w:rsid w:val="4A75ADDE"/>
    <w:rsid w:val="4A7B9FAC"/>
    <w:rsid w:val="4A8A1355"/>
    <w:rsid w:val="4ABFB2C4"/>
    <w:rsid w:val="4AFA17B6"/>
    <w:rsid w:val="4B014B06"/>
    <w:rsid w:val="4B2D04E1"/>
    <w:rsid w:val="4B5904BE"/>
    <w:rsid w:val="4B603375"/>
    <w:rsid w:val="4B97BC7D"/>
    <w:rsid w:val="4BACCEF4"/>
    <w:rsid w:val="4BAF9092"/>
    <w:rsid w:val="4BC53DBC"/>
    <w:rsid w:val="4BD73A2F"/>
    <w:rsid w:val="4C07E099"/>
    <w:rsid w:val="4C12F2A8"/>
    <w:rsid w:val="4C1D2EE1"/>
    <w:rsid w:val="4C87E731"/>
    <w:rsid w:val="4C96BEA7"/>
    <w:rsid w:val="4CBB5EFE"/>
    <w:rsid w:val="4CD5E04F"/>
    <w:rsid w:val="4CE3ECB9"/>
    <w:rsid w:val="4D0ACA9C"/>
    <w:rsid w:val="4D0D3239"/>
    <w:rsid w:val="4D5638EA"/>
    <w:rsid w:val="4D59D70E"/>
    <w:rsid w:val="4D824CA1"/>
    <w:rsid w:val="4D8A0AAB"/>
    <w:rsid w:val="4DA9BB6B"/>
    <w:rsid w:val="4E001705"/>
    <w:rsid w:val="4E353554"/>
    <w:rsid w:val="4EA7617E"/>
    <w:rsid w:val="4EC2CB1D"/>
    <w:rsid w:val="4ECEF869"/>
    <w:rsid w:val="4ED06819"/>
    <w:rsid w:val="4EE8767D"/>
    <w:rsid w:val="4F0DA352"/>
    <w:rsid w:val="4F29EBC8"/>
    <w:rsid w:val="4F2CAA35"/>
    <w:rsid w:val="4F2F46E0"/>
    <w:rsid w:val="4F335AD9"/>
    <w:rsid w:val="4F336883"/>
    <w:rsid w:val="4F36B11F"/>
    <w:rsid w:val="4F4A7D86"/>
    <w:rsid w:val="4F4D2B3E"/>
    <w:rsid w:val="4F77F284"/>
    <w:rsid w:val="4F81F33B"/>
    <w:rsid w:val="4FC8F442"/>
    <w:rsid w:val="4FCCEA5D"/>
    <w:rsid w:val="4FE4E9BF"/>
    <w:rsid w:val="5019F6F6"/>
    <w:rsid w:val="501A307A"/>
    <w:rsid w:val="5046990F"/>
    <w:rsid w:val="50831A02"/>
    <w:rsid w:val="50CC8F06"/>
    <w:rsid w:val="50E6AE6E"/>
    <w:rsid w:val="50F0FDF0"/>
    <w:rsid w:val="5129FCC7"/>
    <w:rsid w:val="512DD778"/>
    <w:rsid w:val="5162D914"/>
    <w:rsid w:val="5219595D"/>
    <w:rsid w:val="521FE502"/>
    <w:rsid w:val="52264553"/>
    <w:rsid w:val="524ED1FD"/>
    <w:rsid w:val="5253D5A6"/>
    <w:rsid w:val="529A7B5E"/>
    <w:rsid w:val="529B903E"/>
    <w:rsid w:val="53206D7D"/>
    <w:rsid w:val="53358729"/>
    <w:rsid w:val="53361A55"/>
    <w:rsid w:val="534A2C54"/>
    <w:rsid w:val="53541A9F"/>
    <w:rsid w:val="537D245C"/>
    <w:rsid w:val="538868B8"/>
    <w:rsid w:val="53965260"/>
    <w:rsid w:val="53A4BE75"/>
    <w:rsid w:val="53AEB037"/>
    <w:rsid w:val="53CDF235"/>
    <w:rsid w:val="53E5442F"/>
    <w:rsid w:val="53E6CF24"/>
    <w:rsid w:val="53E7F0C1"/>
    <w:rsid w:val="53EF19E7"/>
    <w:rsid w:val="53EF351E"/>
    <w:rsid w:val="53F43A16"/>
    <w:rsid w:val="545F3AF5"/>
    <w:rsid w:val="546FB6CE"/>
    <w:rsid w:val="54887F9F"/>
    <w:rsid w:val="54A66324"/>
    <w:rsid w:val="54AE6152"/>
    <w:rsid w:val="54BE4996"/>
    <w:rsid w:val="54BF0D09"/>
    <w:rsid w:val="54BF456C"/>
    <w:rsid w:val="54D90B90"/>
    <w:rsid w:val="55025B91"/>
    <w:rsid w:val="55891B45"/>
    <w:rsid w:val="5593A4F7"/>
    <w:rsid w:val="55BB7C6E"/>
    <w:rsid w:val="55BD3B63"/>
    <w:rsid w:val="55E30319"/>
    <w:rsid w:val="5600CD29"/>
    <w:rsid w:val="5608B2AB"/>
    <w:rsid w:val="56099245"/>
    <w:rsid w:val="561220F9"/>
    <w:rsid w:val="56138A5A"/>
    <w:rsid w:val="5640A7D7"/>
    <w:rsid w:val="56551218"/>
    <w:rsid w:val="5694641C"/>
    <w:rsid w:val="569BBD81"/>
    <w:rsid w:val="56B27FDC"/>
    <w:rsid w:val="56C5D514"/>
    <w:rsid w:val="56D76148"/>
    <w:rsid w:val="56FAA031"/>
    <w:rsid w:val="5701CAEC"/>
    <w:rsid w:val="57041638"/>
    <w:rsid w:val="57094B66"/>
    <w:rsid w:val="5711FE52"/>
    <w:rsid w:val="5746D41A"/>
    <w:rsid w:val="5746E582"/>
    <w:rsid w:val="5768AA9E"/>
    <w:rsid w:val="578B1108"/>
    <w:rsid w:val="57A77B32"/>
    <w:rsid w:val="57C87450"/>
    <w:rsid w:val="5823A9B5"/>
    <w:rsid w:val="584A95EE"/>
    <w:rsid w:val="58AB51F5"/>
    <w:rsid w:val="58B85B2E"/>
    <w:rsid w:val="58D19CF8"/>
    <w:rsid w:val="58E11CC9"/>
    <w:rsid w:val="58EF8BBF"/>
    <w:rsid w:val="5906499C"/>
    <w:rsid w:val="590AF200"/>
    <w:rsid w:val="59514BFD"/>
    <w:rsid w:val="595156D6"/>
    <w:rsid w:val="595E96BC"/>
    <w:rsid w:val="596491E7"/>
    <w:rsid w:val="59BE0619"/>
    <w:rsid w:val="59FF0831"/>
    <w:rsid w:val="5A25B8F4"/>
    <w:rsid w:val="5A39703D"/>
    <w:rsid w:val="5A617811"/>
    <w:rsid w:val="5A67DB08"/>
    <w:rsid w:val="5A9E41EB"/>
    <w:rsid w:val="5AEB8B48"/>
    <w:rsid w:val="5AFB4985"/>
    <w:rsid w:val="5B07B91F"/>
    <w:rsid w:val="5B1CE428"/>
    <w:rsid w:val="5B533176"/>
    <w:rsid w:val="5B625DCB"/>
    <w:rsid w:val="5BBCAC14"/>
    <w:rsid w:val="5BE0249E"/>
    <w:rsid w:val="5BF33A07"/>
    <w:rsid w:val="5BFB02A8"/>
    <w:rsid w:val="5C0CAD2F"/>
    <w:rsid w:val="5C2D5907"/>
    <w:rsid w:val="5C32C726"/>
    <w:rsid w:val="5C470AC3"/>
    <w:rsid w:val="5C619590"/>
    <w:rsid w:val="5C62F9AF"/>
    <w:rsid w:val="5C6A03B1"/>
    <w:rsid w:val="5CBC7F65"/>
    <w:rsid w:val="5CC15CB4"/>
    <w:rsid w:val="5CF0ADEB"/>
    <w:rsid w:val="5D33E8A4"/>
    <w:rsid w:val="5D46B06F"/>
    <w:rsid w:val="5D793239"/>
    <w:rsid w:val="5DDE8887"/>
    <w:rsid w:val="5DE81858"/>
    <w:rsid w:val="5E74722E"/>
    <w:rsid w:val="5E78B7A4"/>
    <w:rsid w:val="5EE1ECF9"/>
    <w:rsid w:val="5F024240"/>
    <w:rsid w:val="5F2AA1A9"/>
    <w:rsid w:val="5F2EC1A5"/>
    <w:rsid w:val="5F312BCE"/>
    <w:rsid w:val="5F34AB04"/>
    <w:rsid w:val="5F59FAD1"/>
    <w:rsid w:val="5F786F2D"/>
    <w:rsid w:val="5F7A8233"/>
    <w:rsid w:val="5F809D42"/>
    <w:rsid w:val="5F899888"/>
    <w:rsid w:val="5F949724"/>
    <w:rsid w:val="5F971E96"/>
    <w:rsid w:val="5FA583CB"/>
    <w:rsid w:val="5FBE1523"/>
    <w:rsid w:val="5FCBCAA9"/>
    <w:rsid w:val="60216E48"/>
    <w:rsid w:val="6029A891"/>
    <w:rsid w:val="602EA469"/>
    <w:rsid w:val="60334DE7"/>
    <w:rsid w:val="606BE243"/>
    <w:rsid w:val="606F4372"/>
    <w:rsid w:val="6081A488"/>
    <w:rsid w:val="6085A390"/>
    <w:rsid w:val="609E3D3D"/>
    <w:rsid w:val="60A11FD3"/>
    <w:rsid w:val="60A96EB4"/>
    <w:rsid w:val="61051273"/>
    <w:rsid w:val="611A6FCE"/>
    <w:rsid w:val="611BFA3E"/>
    <w:rsid w:val="614217F2"/>
    <w:rsid w:val="616B8B56"/>
    <w:rsid w:val="61A20090"/>
    <w:rsid w:val="61C3B6F3"/>
    <w:rsid w:val="61D8FA40"/>
    <w:rsid w:val="61DF5714"/>
    <w:rsid w:val="62008118"/>
    <w:rsid w:val="620E7204"/>
    <w:rsid w:val="625A3F34"/>
    <w:rsid w:val="6261332B"/>
    <w:rsid w:val="6285F08E"/>
    <w:rsid w:val="628B7515"/>
    <w:rsid w:val="62D7E9D7"/>
    <w:rsid w:val="62EB1615"/>
    <w:rsid w:val="632EAD3F"/>
    <w:rsid w:val="635FA2BA"/>
    <w:rsid w:val="6396A512"/>
    <w:rsid w:val="63987F72"/>
    <w:rsid w:val="63B85CB7"/>
    <w:rsid w:val="63C194B9"/>
    <w:rsid w:val="63C4B0DF"/>
    <w:rsid w:val="63D3702A"/>
    <w:rsid w:val="63E02EE3"/>
    <w:rsid w:val="63F923F3"/>
    <w:rsid w:val="64134DD9"/>
    <w:rsid w:val="6420A1F5"/>
    <w:rsid w:val="643D27A1"/>
    <w:rsid w:val="6486AE52"/>
    <w:rsid w:val="648D8C01"/>
    <w:rsid w:val="64A4FC83"/>
    <w:rsid w:val="64AE3CFE"/>
    <w:rsid w:val="64DF36D3"/>
    <w:rsid w:val="6503D14B"/>
    <w:rsid w:val="65450207"/>
    <w:rsid w:val="65770B03"/>
    <w:rsid w:val="657BEC36"/>
    <w:rsid w:val="65B8D630"/>
    <w:rsid w:val="65D4ACF0"/>
    <w:rsid w:val="65D7D449"/>
    <w:rsid w:val="6607AC8E"/>
    <w:rsid w:val="6619441A"/>
    <w:rsid w:val="661C259C"/>
    <w:rsid w:val="663765CC"/>
    <w:rsid w:val="663CC607"/>
    <w:rsid w:val="6675F7AA"/>
    <w:rsid w:val="668FB52D"/>
    <w:rsid w:val="66E7EC48"/>
    <w:rsid w:val="66EB720F"/>
    <w:rsid w:val="66FEEFAA"/>
    <w:rsid w:val="671F1C80"/>
    <w:rsid w:val="6729FD64"/>
    <w:rsid w:val="6738EF39"/>
    <w:rsid w:val="67435062"/>
    <w:rsid w:val="674C9650"/>
    <w:rsid w:val="674F4F4D"/>
    <w:rsid w:val="6751CF9E"/>
    <w:rsid w:val="6778C971"/>
    <w:rsid w:val="677CFD47"/>
    <w:rsid w:val="6788473E"/>
    <w:rsid w:val="678FFB77"/>
    <w:rsid w:val="679FABD8"/>
    <w:rsid w:val="67CD30A9"/>
    <w:rsid w:val="67E48212"/>
    <w:rsid w:val="67E5F1F4"/>
    <w:rsid w:val="67FBC603"/>
    <w:rsid w:val="6802A564"/>
    <w:rsid w:val="680EFA2B"/>
    <w:rsid w:val="686260D0"/>
    <w:rsid w:val="68EF57B4"/>
    <w:rsid w:val="68F20CE5"/>
    <w:rsid w:val="690ECEB5"/>
    <w:rsid w:val="69447CC2"/>
    <w:rsid w:val="694ADC4E"/>
    <w:rsid w:val="694B0F61"/>
    <w:rsid w:val="6988E76C"/>
    <w:rsid w:val="69948FAC"/>
    <w:rsid w:val="69D7F843"/>
    <w:rsid w:val="6A158D09"/>
    <w:rsid w:val="6A287124"/>
    <w:rsid w:val="6A305C1C"/>
    <w:rsid w:val="6A502BB8"/>
    <w:rsid w:val="6A593F56"/>
    <w:rsid w:val="6A945FF0"/>
    <w:rsid w:val="6A9B776E"/>
    <w:rsid w:val="6A9D9E40"/>
    <w:rsid w:val="6AAC032F"/>
    <w:rsid w:val="6AB0A0CC"/>
    <w:rsid w:val="6AC7D814"/>
    <w:rsid w:val="6AD5CDEB"/>
    <w:rsid w:val="6AE0580D"/>
    <w:rsid w:val="6AEE912E"/>
    <w:rsid w:val="6B130BFC"/>
    <w:rsid w:val="6B1BE7F3"/>
    <w:rsid w:val="6B38E594"/>
    <w:rsid w:val="6B4CC960"/>
    <w:rsid w:val="6B4E19E0"/>
    <w:rsid w:val="6B5A6EB4"/>
    <w:rsid w:val="6B7C9822"/>
    <w:rsid w:val="6B8E24E6"/>
    <w:rsid w:val="6B8FD246"/>
    <w:rsid w:val="6B9AA1F9"/>
    <w:rsid w:val="6BB07E95"/>
    <w:rsid w:val="6BB11F04"/>
    <w:rsid w:val="6BDB86C4"/>
    <w:rsid w:val="6BE492B6"/>
    <w:rsid w:val="6BFB2BF2"/>
    <w:rsid w:val="6C1B2F7C"/>
    <w:rsid w:val="6CB2975B"/>
    <w:rsid w:val="6CC0F103"/>
    <w:rsid w:val="6CCA6339"/>
    <w:rsid w:val="6CD4066F"/>
    <w:rsid w:val="6CDA40FF"/>
    <w:rsid w:val="6CFA8A74"/>
    <w:rsid w:val="6CFF0B57"/>
    <w:rsid w:val="6D8CD440"/>
    <w:rsid w:val="6D98EC44"/>
    <w:rsid w:val="6DDD0A86"/>
    <w:rsid w:val="6DF87317"/>
    <w:rsid w:val="6E16C6E1"/>
    <w:rsid w:val="6E17C4A4"/>
    <w:rsid w:val="6E1AD658"/>
    <w:rsid w:val="6E8231F7"/>
    <w:rsid w:val="6E9C59DC"/>
    <w:rsid w:val="6EC9E99F"/>
    <w:rsid w:val="6EF027A3"/>
    <w:rsid w:val="6F04669E"/>
    <w:rsid w:val="6F12C2B8"/>
    <w:rsid w:val="6F24EEF6"/>
    <w:rsid w:val="6F2BC103"/>
    <w:rsid w:val="6F437F62"/>
    <w:rsid w:val="6F58C3F4"/>
    <w:rsid w:val="6F75F0AE"/>
    <w:rsid w:val="6F9EF2CC"/>
    <w:rsid w:val="6FB91B42"/>
    <w:rsid w:val="6FDDB890"/>
    <w:rsid w:val="6FF43CD1"/>
    <w:rsid w:val="70050259"/>
    <w:rsid w:val="700F6776"/>
    <w:rsid w:val="7039E71B"/>
    <w:rsid w:val="7050C705"/>
    <w:rsid w:val="705D313E"/>
    <w:rsid w:val="70BF8C27"/>
    <w:rsid w:val="70D4529A"/>
    <w:rsid w:val="70E0F7B7"/>
    <w:rsid w:val="70E4DFE7"/>
    <w:rsid w:val="70F16545"/>
    <w:rsid w:val="710B9405"/>
    <w:rsid w:val="710D866E"/>
    <w:rsid w:val="7117B38A"/>
    <w:rsid w:val="7169150B"/>
    <w:rsid w:val="718A3083"/>
    <w:rsid w:val="7196225A"/>
    <w:rsid w:val="719FC455"/>
    <w:rsid w:val="71CC95C2"/>
    <w:rsid w:val="71EEB673"/>
    <w:rsid w:val="71FAB49F"/>
    <w:rsid w:val="723C3378"/>
    <w:rsid w:val="724CEFF5"/>
    <w:rsid w:val="72628B33"/>
    <w:rsid w:val="72666C5D"/>
    <w:rsid w:val="72946ABF"/>
    <w:rsid w:val="72C4EF52"/>
    <w:rsid w:val="72D9D41A"/>
    <w:rsid w:val="72DD19D9"/>
    <w:rsid w:val="72FDAE58"/>
    <w:rsid w:val="73013B3C"/>
    <w:rsid w:val="731946F8"/>
    <w:rsid w:val="7321DBCA"/>
    <w:rsid w:val="733CB12D"/>
    <w:rsid w:val="7363B7DD"/>
    <w:rsid w:val="736719A1"/>
    <w:rsid w:val="73862B16"/>
    <w:rsid w:val="7392B0AD"/>
    <w:rsid w:val="7396245F"/>
    <w:rsid w:val="73A40D5D"/>
    <w:rsid w:val="73AD4EA9"/>
    <w:rsid w:val="73F3A29B"/>
    <w:rsid w:val="7452E5D0"/>
    <w:rsid w:val="748B0A9E"/>
    <w:rsid w:val="7493FAC7"/>
    <w:rsid w:val="74B029AF"/>
    <w:rsid w:val="74CCA556"/>
    <w:rsid w:val="74CF7483"/>
    <w:rsid w:val="74FCEE72"/>
    <w:rsid w:val="75086A8D"/>
    <w:rsid w:val="750C76A1"/>
    <w:rsid w:val="753B6FFF"/>
    <w:rsid w:val="7549A24C"/>
    <w:rsid w:val="75569264"/>
    <w:rsid w:val="7563D199"/>
    <w:rsid w:val="7570DC4C"/>
    <w:rsid w:val="7579D850"/>
    <w:rsid w:val="7589E60E"/>
    <w:rsid w:val="75972F99"/>
    <w:rsid w:val="75AA2E48"/>
    <w:rsid w:val="75D4991E"/>
    <w:rsid w:val="75F51A05"/>
    <w:rsid w:val="75FD8645"/>
    <w:rsid w:val="761C8B5D"/>
    <w:rsid w:val="76281225"/>
    <w:rsid w:val="76314B8B"/>
    <w:rsid w:val="7635F378"/>
    <w:rsid w:val="7663088F"/>
    <w:rsid w:val="767BE784"/>
    <w:rsid w:val="767D0962"/>
    <w:rsid w:val="767EBE2F"/>
    <w:rsid w:val="76CC0C62"/>
    <w:rsid w:val="76D7D12C"/>
    <w:rsid w:val="76DD483A"/>
    <w:rsid w:val="774AA18F"/>
    <w:rsid w:val="7761AB2C"/>
    <w:rsid w:val="776CF028"/>
    <w:rsid w:val="777228D5"/>
    <w:rsid w:val="77806B75"/>
    <w:rsid w:val="77B1FC8F"/>
    <w:rsid w:val="77E9494E"/>
    <w:rsid w:val="78213350"/>
    <w:rsid w:val="7839BAE3"/>
    <w:rsid w:val="7843E553"/>
    <w:rsid w:val="784BF679"/>
    <w:rsid w:val="78547706"/>
    <w:rsid w:val="785FBFBE"/>
    <w:rsid w:val="78750D52"/>
    <w:rsid w:val="78F2036D"/>
    <w:rsid w:val="79073575"/>
    <w:rsid w:val="79217AE9"/>
    <w:rsid w:val="7947DEC7"/>
    <w:rsid w:val="79803877"/>
    <w:rsid w:val="79A071FE"/>
    <w:rsid w:val="79B4386C"/>
    <w:rsid w:val="79D02021"/>
    <w:rsid w:val="79DA1712"/>
    <w:rsid w:val="79F89B22"/>
    <w:rsid w:val="79F9D082"/>
    <w:rsid w:val="79FAE8FC"/>
    <w:rsid w:val="79FD6481"/>
    <w:rsid w:val="7A0C7711"/>
    <w:rsid w:val="7A4F5BBD"/>
    <w:rsid w:val="7A54B257"/>
    <w:rsid w:val="7A82AF9A"/>
    <w:rsid w:val="7A8FE9F1"/>
    <w:rsid w:val="7AA9DB57"/>
    <w:rsid w:val="7AB04DF9"/>
    <w:rsid w:val="7AC9F322"/>
    <w:rsid w:val="7AD17C87"/>
    <w:rsid w:val="7AD4A33E"/>
    <w:rsid w:val="7AD93F7F"/>
    <w:rsid w:val="7AED16C3"/>
    <w:rsid w:val="7B3608BA"/>
    <w:rsid w:val="7B377EB5"/>
    <w:rsid w:val="7B67AAF2"/>
    <w:rsid w:val="7B8C6351"/>
    <w:rsid w:val="7BC79E99"/>
    <w:rsid w:val="7BCBA20C"/>
    <w:rsid w:val="7C04E32A"/>
    <w:rsid w:val="7C08DFAD"/>
    <w:rsid w:val="7C160895"/>
    <w:rsid w:val="7C1612A9"/>
    <w:rsid w:val="7C4937C2"/>
    <w:rsid w:val="7C52B4B8"/>
    <w:rsid w:val="7C62FB41"/>
    <w:rsid w:val="7C649A2C"/>
    <w:rsid w:val="7C6685EF"/>
    <w:rsid w:val="7C7824FC"/>
    <w:rsid w:val="7C8C8511"/>
    <w:rsid w:val="7C8D2012"/>
    <w:rsid w:val="7C99ACEA"/>
    <w:rsid w:val="7CA670C9"/>
    <w:rsid w:val="7CAE38B2"/>
    <w:rsid w:val="7CD28EC2"/>
    <w:rsid w:val="7CDC11AB"/>
    <w:rsid w:val="7CE532D8"/>
    <w:rsid w:val="7D186FB3"/>
    <w:rsid w:val="7D587341"/>
    <w:rsid w:val="7D70973E"/>
    <w:rsid w:val="7DB5A42C"/>
    <w:rsid w:val="7DC51C54"/>
    <w:rsid w:val="7DCCA401"/>
    <w:rsid w:val="7DF0BC4D"/>
    <w:rsid w:val="7DF2765D"/>
    <w:rsid w:val="7DF9FE39"/>
    <w:rsid w:val="7E419F4F"/>
    <w:rsid w:val="7E440FC7"/>
    <w:rsid w:val="7E4C54C8"/>
    <w:rsid w:val="7E67D19C"/>
    <w:rsid w:val="7E8B4AAB"/>
    <w:rsid w:val="7E9E0881"/>
    <w:rsid w:val="7E9E39FA"/>
    <w:rsid w:val="7EA25751"/>
    <w:rsid w:val="7EE8869F"/>
    <w:rsid w:val="7EED0345"/>
    <w:rsid w:val="7F0ED329"/>
    <w:rsid w:val="7F265C33"/>
    <w:rsid w:val="7F35E1AE"/>
    <w:rsid w:val="7F4A012E"/>
    <w:rsid w:val="7F57EB3F"/>
    <w:rsid w:val="7F5EB837"/>
    <w:rsid w:val="7F61F7D7"/>
    <w:rsid w:val="7F76DB43"/>
    <w:rsid w:val="7F96DDA0"/>
    <w:rsid w:val="7FCE648A"/>
    <w:rsid w:val="7FD3334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9703BDB7-6FA2-4DD4-B9AF-6978F19B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52"/>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7"/>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8"/>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20069">
      <w:bodyDiv w:val="1"/>
      <w:marLeft w:val="0"/>
      <w:marRight w:val="0"/>
      <w:marTop w:val="0"/>
      <w:marBottom w:val="0"/>
      <w:divBdr>
        <w:top w:val="none" w:sz="0" w:space="0" w:color="auto"/>
        <w:left w:val="none" w:sz="0" w:space="0" w:color="auto"/>
        <w:bottom w:val="none" w:sz="0" w:space="0" w:color="auto"/>
        <w:right w:val="none" w:sz="0" w:space="0" w:color="auto"/>
      </w:divBdr>
    </w:div>
    <w:div w:id="152062734">
      <w:bodyDiv w:val="1"/>
      <w:marLeft w:val="0"/>
      <w:marRight w:val="0"/>
      <w:marTop w:val="0"/>
      <w:marBottom w:val="0"/>
      <w:divBdr>
        <w:top w:val="none" w:sz="0" w:space="0" w:color="auto"/>
        <w:left w:val="none" w:sz="0" w:space="0" w:color="auto"/>
        <w:bottom w:val="none" w:sz="0" w:space="0" w:color="auto"/>
        <w:right w:val="none" w:sz="0" w:space="0" w:color="auto"/>
      </w:divBdr>
    </w:div>
    <w:div w:id="169217773">
      <w:bodyDiv w:val="1"/>
      <w:marLeft w:val="0"/>
      <w:marRight w:val="0"/>
      <w:marTop w:val="0"/>
      <w:marBottom w:val="0"/>
      <w:divBdr>
        <w:top w:val="none" w:sz="0" w:space="0" w:color="auto"/>
        <w:left w:val="none" w:sz="0" w:space="0" w:color="auto"/>
        <w:bottom w:val="none" w:sz="0" w:space="0" w:color="auto"/>
        <w:right w:val="none" w:sz="0" w:space="0" w:color="auto"/>
      </w:divBdr>
    </w:div>
    <w:div w:id="183440950">
      <w:bodyDiv w:val="1"/>
      <w:marLeft w:val="0"/>
      <w:marRight w:val="0"/>
      <w:marTop w:val="0"/>
      <w:marBottom w:val="0"/>
      <w:divBdr>
        <w:top w:val="none" w:sz="0" w:space="0" w:color="auto"/>
        <w:left w:val="none" w:sz="0" w:space="0" w:color="auto"/>
        <w:bottom w:val="none" w:sz="0" w:space="0" w:color="auto"/>
        <w:right w:val="none" w:sz="0" w:space="0" w:color="auto"/>
      </w:divBdr>
    </w:div>
    <w:div w:id="239292290">
      <w:bodyDiv w:val="1"/>
      <w:marLeft w:val="0"/>
      <w:marRight w:val="0"/>
      <w:marTop w:val="0"/>
      <w:marBottom w:val="0"/>
      <w:divBdr>
        <w:top w:val="none" w:sz="0" w:space="0" w:color="auto"/>
        <w:left w:val="none" w:sz="0" w:space="0" w:color="auto"/>
        <w:bottom w:val="none" w:sz="0" w:space="0" w:color="auto"/>
        <w:right w:val="none" w:sz="0" w:space="0" w:color="auto"/>
      </w:divBdr>
    </w:div>
    <w:div w:id="261494901">
      <w:bodyDiv w:val="1"/>
      <w:marLeft w:val="0"/>
      <w:marRight w:val="0"/>
      <w:marTop w:val="0"/>
      <w:marBottom w:val="0"/>
      <w:divBdr>
        <w:top w:val="none" w:sz="0" w:space="0" w:color="auto"/>
        <w:left w:val="none" w:sz="0" w:space="0" w:color="auto"/>
        <w:bottom w:val="none" w:sz="0" w:space="0" w:color="auto"/>
        <w:right w:val="none" w:sz="0" w:space="0" w:color="auto"/>
      </w:divBdr>
    </w:div>
    <w:div w:id="280571514">
      <w:bodyDiv w:val="1"/>
      <w:marLeft w:val="0"/>
      <w:marRight w:val="0"/>
      <w:marTop w:val="0"/>
      <w:marBottom w:val="0"/>
      <w:divBdr>
        <w:top w:val="none" w:sz="0" w:space="0" w:color="auto"/>
        <w:left w:val="none" w:sz="0" w:space="0" w:color="auto"/>
        <w:bottom w:val="none" w:sz="0" w:space="0" w:color="auto"/>
        <w:right w:val="none" w:sz="0" w:space="0" w:color="auto"/>
      </w:divBdr>
    </w:div>
    <w:div w:id="417599564">
      <w:bodyDiv w:val="1"/>
      <w:marLeft w:val="0"/>
      <w:marRight w:val="0"/>
      <w:marTop w:val="0"/>
      <w:marBottom w:val="0"/>
      <w:divBdr>
        <w:top w:val="none" w:sz="0" w:space="0" w:color="auto"/>
        <w:left w:val="none" w:sz="0" w:space="0" w:color="auto"/>
        <w:bottom w:val="none" w:sz="0" w:space="0" w:color="auto"/>
        <w:right w:val="none" w:sz="0" w:space="0" w:color="auto"/>
      </w:divBdr>
    </w:div>
    <w:div w:id="421993944">
      <w:bodyDiv w:val="1"/>
      <w:marLeft w:val="0"/>
      <w:marRight w:val="0"/>
      <w:marTop w:val="0"/>
      <w:marBottom w:val="0"/>
      <w:divBdr>
        <w:top w:val="none" w:sz="0" w:space="0" w:color="auto"/>
        <w:left w:val="none" w:sz="0" w:space="0" w:color="auto"/>
        <w:bottom w:val="none" w:sz="0" w:space="0" w:color="auto"/>
        <w:right w:val="none" w:sz="0" w:space="0" w:color="auto"/>
      </w:divBdr>
    </w:div>
    <w:div w:id="463423743">
      <w:bodyDiv w:val="1"/>
      <w:marLeft w:val="0"/>
      <w:marRight w:val="0"/>
      <w:marTop w:val="0"/>
      <w:marBottom w:val="0"/>
      <w:divBdr>
        <w:top w:val="none" w:sz="0" w:space="0" w:color="auto"/>
        <w:left w:val="none" w:sz="0" w:space="0" w:color="auto"/>
        <w:bottom w:val="none" w:sz="0" w:space="0" w:color="auto"/>
        <w:right w:val="none" w:sz="0" w:space="0" w:color="auto"/>
      </w:divBdr>
      <w:divsChild>
        <w:div w:id="207961990">
          <w:marLeft w:val="0"/>
          <w:marRight w:val="0"/>
          <w:marTop w:val="0"/>
          <w:marBottom w:val="0"/>
          <w:divBdr>
            <w:top w:val="none" w:sz="0" w:space="0" w:color="auto"/>
            <w:left w:val="none" w:sz="0" w:space="0" w:color="auto"/>
            <w:bottom w:val="none" w:sz="0" w:space="0" w:color="auto"/>
            <w:right w:val="none" w:sz="0" w:space="0" w:color="auto"/>
          </w:divBdr>
        </w:div>
        <w:div w:id="280116781">
          <w:marLeft w:val="0"/>
          <w:marRight w:val="0"/>
          <w:marTop w:val="0"/>
          <w:marBottom w:val="0"/>
          <w:divBdr>
            <w:top w:val="none" w:sz="0" w:space="0" w:color="auto"/>
            <w:left w:val="none" w:sz="0" w:space="0" w:color="auto"/>
            <w:bottom w:val="none" w:sz="0" w:space="0" w:color="auto"/>
            <w:right w:val="none" w:sz="0" w:space="0" w:color="auto"/>
          </w:divBdr>
        </w:div>
        <w:div w:id="485127399">
          <w:marLeft w:val="0"/>
          <w:marRight w:val="0"/>
          <w:marTop w:val="0"/>
          <w:marBottom w:val="0"/>
          <w:divBdr>
            <w:top w:val="none" w:sz="0" w:space="0" w:color="auto"/>
            <w:left w:val="none" w:sz="0" w:space="0" w:color="auto"/>
            <w:bottom w:val="none" w:sz="0" w:space="0" w:color="auto"/>
            <w:right w:val="none" w:sz="0" w:space="0" w:color="auto"/>
          </w:divBdr>
        </w:div>
        <w:div w:id="533353011">
          <w:marLeft w:val="0"/>
          <w:marRight w:val="0"/>
          <w:marTop w:val="0"/>
          <w:marBottom w:val="0"/>
          <w:divBdr>
            <w:top w:val="none" w:sz="0" w:space="0" w:color="auto"/>
            <w:left w:val="none" w:sz="0" w:space="0" w:color="auto"/>
            <w:bottom w:val="none" w:sz="0" w:space="0" w:color="auto"/>
            <w:right w:val="none" w:sz="0" w:space="0" w:color="auto"/>
          </w:divBdr>
        </w:div>
        <w:div w:id="820345504">
          <w:marLeft w:val="0"/>
          <w:marRight w:val="0"/>
          <w:marTop w:val="0"/>
          <w:marBottom w:val="0"/>
          <w:divBdr>
            <w:top w:val="none" w:sz="0" w:space="0" w:color="auto"/>
            <w:left w:val="none" w:sz="0" w:space="0" w:color="auto"/>
            <w:bottom w:val="none" w:sz="0" w:space="0" w:color="auto"/>
            <w:right w:val="none" w:sz="0" w:space="0" w:color="auto"/>
          </w:divBdr>
        </w:div>
        <w:div w:id="872419685">
          <w:marLeft w:val="0"/>
          <w:marRight w:val="0"/>
          <w:marTop w:val="0"/>
          <w:marBottom w:val="0"/>
          <w:divBdr>
            <w:top w:val="none" w:sz="0" w:space="0" w:color="auto"/>
            <w:left w:val="none" w:sz="0" w:space="0" w:color="auto"/>
            <w:bottom w:val="none" w:sz="0" w:space="0" w:color="auto"/>
            <w:right w:val="none" w:sz="0" w:space="0" w:color="auto"/>
          </w:divBdr>
        </w:div>
        <w:div w:id="966348610">
          <w:marLeft w:val="0"/>
          <w:marRight w:val="0"/>
          <w:marTop w:val="0"/>
          <w:marBottom w:val="0"/>
          <w:divBdr>
            <w:top w:val="none" w:sz="0" w:space="0" w:color="auto"/>
            <w:left w:val="none" w:sz="0" w:space="0" w:color="auto"/>
            <w:bottom w:val="none" w:sz="0" w:space="0" w:color="auto"/>
            <w:right w:val="none" w:sz="0" w:space="0" w:color="auto"/>
          </w:divBdr>
        </w:div>
        <w:div w:id="969743447">
          <w:marLeft w:val="0"/>
          <w:marRight w:val="0"/>
          <w:marTop w:val="0"/>
          <w:marBottom w:val="0"/>
          <w:divBdr>
            <w:top w:val="none" w:sz="0" w:space="0" w:color="auto"/>
            <w:left w:val="none" w:sz="0" w:space="0" w:color="auto"/>
            <w:bottom w:val="none" w:sz="0" w:space="0" w:color="auto"/>
            <w:right w:val="none" w:sz="0" w:space="0" w:color="auto"/>
          </w:divBdr>
        </w:div>
        <w:div w:id="1033308555">
          <w:marLeft w:val="0"/>
          <w:marRight w:val="0"/>
          <w:marTop w:val="0"/>
          <w:marBottom w:val="0"/>
          <w:divBdr>
            <w:top w:val="none" w:sz="0" w:space="0" w:color="auto"/>
            <w:left w:val="none" w:sz="0" w:space="0" w:color="auto"/>
            <w:bottom w:val="none" w:sz="0" w:space="0" w:color="auto"/>
            <w:right w:val="none" w:sz="0" w:space="0" w:color="auto"/>
          </w:divBdr>
        </w:div>
        <w:div w:id="1065908711">
          <w:marLeft w:val="0"/>
          <w:marRight w:val="0"/>
          <w:marTop w:val="0"/>
          <w:marBottom w:val="0"/>
          <w:divBdr>
            <w:top w:val="none" w:sz="0" w:space="0" w:color="auto"/>
            <w:left w:val="none" w:sz="0" w:space="0" w:color="auto"/>
            <w:bottom w:val="none" w:sz="0" w:space="0" w:color="auto"/>
            <w:right w:val="none" w:sz="0" w:space="0" w:color="auto"/>
          </w:divBdr>
        </w:div>
        <w:div w:id="1151092345">
          <w:marLeft w:val="0"/>
          <w:marRight w:val="0"/>
          <w:marTop w:val="0"/>
          <w:marBottom w:val="0"/>
          <w:divBdr>
            <w:top w:val="none" w:sz="0" w:space="0" w:color="auto"/>
            <w:left w:val="none" w:sz="0" w:space="0" w:color="auto"/>
            <w:bottom w:val="none" w:sz="0" w:space="0" w:color="auto"/>
            <w:right w:val="none" w:sz="0" w:space="0" w:color="auto"/>
          </w:divBdr>
        </w:div>
        <w:div w:id="1485702247">
          <w:marLeft w:val="0"/>
          <w:marRight w:val="0"/>
          <w:marTop w:val="0"/>
          <w:marBottom w:val="0"/>
          <w:divBdr>
            <w:top w:val="none" w:sz="0" w:space="0" w:color="auto"/>
            <w:left w:val="none" w:sz="0" w:space="0" w:color="auto"/>
            <w:bottom w:val="none" w:sz="0" w:space="0" w:color="auto"/>
            <w:right w:val="none" w:sz="0" w:space="0" w:color="auto"/>
          </w:divBdr>
        </w:div>
        <w:div w:id="1786148815">
          <w:marLeft w:val="0"/>
          <w:marRight w:val="0"/>
          <w:marTop w:val="0"/>
          <w:marBottom w:val="0"/>
          <w:divBdr>
            <w:top w:val="none" w:sz="0" w:space="0" w:color="auto"/>
            <w:left w:val="none" w:sz="0" w:space="0" w:color="auto"/>
            <w:bottom w:val="none" w:sz="0" w:space="0" w:color="auto"/>
            <w:right w:val="none" w:sz="0" w:space="0" w:color="auto"/>
          </w:divBdr>
        </w:div>
        <w:div w:id="1809591843">
          <w:marLeft w:val="0"/>
          <w:marRight w:val="0"/>
          <w:marTop w:val="0"/>
          <w:marBottom w:val="0"/>
          <w:divBdr>
            <w:top w:val="none" w:sz="0" w:space="0" w:color="auto"/>
            <w:left w:val="none" w:sz="0" w:space="0" w:color="auto"/>
            <w:bottom w:val="none" w:sz="0" w:space="0" w:color="auto"/>
            <w:right w:val="none" w:sz="0" w:space="0" w:color="auto"/>
          </w:divBdr>
        </w:div>
        <w:div w:id="1835877213">
          <w:marLeft w:val="0"/>
          <w:marRight w:val="0"/>
          <w:marTop w:val="0"/>
          <w:marBottom w:val="0"/>
          <w:divBdr>
            <w:top w:val="none" w:sz="0" w:space="0" w:color="auto"/>
            <w:left w:val="none" w:sz="0" w:space="0" w:color="auto"/>
            <w:bottom w:val="none" w:sz="0" w:space="0" w:color="auto"/>
            <w:right w:val="none" w:sz="0" w:space="0" w:color="auto"/>
          </w:divBdr>
        </w:div>
        <w:div w:id="1855873415">
          <w:marLeft w:val="0"/>
          <w:marRight w:val="0"/>
          <w:marTop w:val="0"/>
          <w:marBottom w:val="0"/>
          <w:divBdr>
            <w:top w:val="none" w:sz="0" w:space="0" w:color="auto"/>
            <w:left w:val="none" w:sz="0" w:space="0" w:color="auto"/>
            <w:bottom w:val="none" w:sz="0" w:space="0" w:color="auto"/>
            <w:right w:val="none" w:sz="0" w:space="0" w:color="auto"/>
          </w:divBdr>
        </w:div>
        <w:div w:id="1924990163">
          <w:marLeft w:val="0"/>
          <w:marRight w:val="0"/>
          <w:marTop w:val="0"/>
          <w:marBottom w:val="0"/>
          <w:divBdr>
            <w:top w:val="none" w:sz="0" w:space="0" w:color="auto"/>
            <w:left w:val="none" w:sz="0" w:space="0" w:color="auto"/>
            <w:bottom w:val="none" w:sz="0" w:space="0" w:color="auto"/>
            <w:right w:val="none" w:sz="0" w:space="0" w:color="auto"/>
          </w:divBdr>
        </w:div>
        <w:div w:id="1943032973">
          <w:marLeft w:val="0"/>
          <w:marRight w:val="0"/>
          <w:marTop w:val="0"/>
          <w:marBottom w:val="0"/>
          <w:divBdr>
            <w:top w:val="none" w:sz="0" w:space="0" w:color="auto"/>
            <w:left w:val="none" w:sz="0" w:space="0" w:color="auto"/>
            <w:bottom w:val="none" w:sz="0" w:space="0" w:color="auto"/>
            <w:right w:val="none" w:sz="0" w:space="0" w:color="auto"/>
          </w:divBdr>
        </w:div>
      </w:divsChild>
    </w:div>
    <w:div w:id="480542330">
      <w:bodyDiv w:val="1"/>
      <w:marLeft w:val="0"/>
      <w:marRight w:val="0"/>
      <w:marTop w:val="0"/>
      <w:marBottom w:val="0"/>
      <w:divBdr>
        <w:top w:val="none" w:sz="0" w:space="0" w:color="auto"/>
        <w:left w:val="none" w:sz="0" w:space="0" w:color="auto"/>
        <w:bottom w:val="none" w:sz="0" w:space="0" w:color="auto"/>
        <w:right w:val="none" w:sz="0" w:space="0" w:color="auto"/>
      </w:divBdr>
    </w:div>
    <w:div w:id="528111101">
      <w:bodyDiv w:val="1"/>
      <w:marLeft w:val="0"/>
      <w:marRight w:val="0"/>
      <w:marTop w:val="0"/>
      <w:marBottom w:val="0"/>
      <w:divBdr>
        <w:top w:val="none" w:sz="0" w:space="0" w:color="auto"/>
        <w:left w:val="none" w:sz="0" w:space="0" w:color="auto"/>
        <w:bottom w:val="none" w:sz="0" w:space="0" w:color="auto"/>
        <w:right w:val="none" w:sz="0" w:space="0" w:color="auto"/>
      </w:divBdr>
    </w:div>
    <w:div w:id="657467181">
      <w:bodyDiv w:val="1"/>
      <w:marLeft w:val="0"/>
      <w:marRight w:val="0"/>
      <w:marTop w:val="0"/>
      <w:marBottom w:val="0"/>
      <w:divBdr>
        <w:top w:val="none" w:sz="0" w:space="0" w:color="auto"/>
        <w:left w:val="none" w:sz="0" w:space="0" w:color="auto"/>
        <w:bottom w:val="none" w:sz="0" w:space="0" w:color="auto"/>
        <w:right w:val="none" w:sz="0" w:space="0" w:color="auto"/>
      </w:divBdr>
    </w:div>
    <w:div w:id="737365659">
      <w:bodyDiv w:val="1"/>
      <w:marLeft w:val="0"/>
      <w:marRight w:val="0"/>
      <w:marTop w:val="0"/>
      <w:marBottom w:val="0"/>
      <w:divBdr>
        <w:top w:val="none" w:sz="0" w:space="0" w:color="auto"/>
        <w:left w:val="none" w:sz="0" w:space="0" w:color="auto"/>
        <w:bottom w:val="none" w:sz="0" w:space="0" w:color="auto"/>
        <w:right w:val="none" w:sz="0" w:space="0" w:color="auto"/>
      </w:divBdr>
    </w:div>
    <w:div w:id="800348729">
      <w:bodyDiv w:val="1"/>
      <w:marLeft w:val="0"/>
      <w:marRight w:val="0"/>
      <w:marTop w:val="0"/>
      <w:marBottom w:val="0"/>
      <w:divBdr>
        <w:top w:val="none" w:sz="0" w:space="0" w:color="auto"/>
        <w:left w:val="none" w:sz="0" w:space="0" w:color="auto"/>
        <w:bottom w:val="none" w:sz="0" w:space="0" w:color="auto"/>
        <w:right w:val="none" w:sz="0" w:space="0" w:color="auto"/>
      </w:divBdr>
    </w:div>
    <w:div w:id="927812635">
      <w:bodyDiv w:val="1"/>
      <w:marLeft w:val="0"/>
      <w:marRight w:val="0"/>
      <w:marTop w:val="0"/>
      <w:marBottom w:val="0"/>
      <w:divBdr>
        <w:top w:val="none" w:sz="0" w:space="0" w:color="auto"/>
        <w:left w:val="none" w:sz="0" w:space="0" w:color="auto"/>
        <w:bottom w:val="none" w:sz="0" w:space="0" w:color="auto"/>
        <w:right w:val="none" w:sz="0" w:space="0" w:color="auto"/>
      </w:divBdr>
    </w:div>
    <w:div w:id="1009409085">
      <w:bodyDiv w:val="1"/>
      <w:marLeft w:val="0"/>
      <w:marRight w:val="0"/>
      <w:marTop w:val="0"/>
      <w:marBottom w:val="0"/>
      <w:divBdr>
        <w:top w:val="none" w:sz="0" w:space="0" w:color="auto"/>
        <w:left w:val="none" w:sz="0" w:space="0" w:color="auto"/>
        <w:bottom w:val="none" w:sz="0" w:space="0" w:color="auto"/>
        <w:right w:val="none" w:sz="0" w:space="0" w:color="auto"/>
      </w:divBdr>
    </w:div>
    <w:div w:id="1053188973">
      <w:bodyDiv w:val="1"/>
      <w:marLeft w:val="0"/>
      <w:marRight w:val="0"/>
      <w:marTop w:val="0"/>
      <w:marBottom w:val="0"/>
      <w:divBdr>
        <w:top w:val="none" w:sz="0" w:space="0" w:color="auto"/>
        <w:left w:val="none" w:sz="0" w:space="0" w:color="auto"/>
        <w:bottom w:val="none" w:sz="0" w:space="0" w:color="auto"/>
        <w:right w:val="none" w:sz="0" w:space="0" w:color="auto"/>
      </w:divBdr>
    </w:div>
    <w:div w:id="1115439332">
      <w:bodyDiv w:val="1"/>
      <w:marLeft w:val="0"/>
      <w:marRight w:val="0"/>
      <w:marTop w:val="0"/>
      <w:marBottom w:val="0"/>
      <w:divBdr>
        <w:top w:val="none" w:sz="0" w:space="0" w:color="auto"/>
        <w:left w:val="none" w:sz="0" w:space="0" w:color="auto"/>
        <w:bottom w:val="none" w:sz="0" w:space="0" w:color="auto"/>
        <w:right w:val="none" w:sz="0" w:space="0" w:color="auto"/>
      </w:divBdr>
      <w:divsChild>
        <w:div w:id="1432358501">
          <w:marLeft w:val="0"/>
          <w:marRight w:val="0"/>
          <w:marTop w:val="0"/>
          <w:marBottom w:val="0"/>
          <w:divBdr>
            <w:top w:val="none" w:sz="0" w:space="0" w:color="auto"/>
            <w:left w:val="none" w:sz="0" w:space="0" w:color="auto"/>
            <w:bottom w:val="none" w:sz="0" w:space="0" w:color="auto"/>
            <w:right w:val="none" w:sz="0" w:space="0" w:color="auto"/>
          </w:divBdr>
          <w:divsChild>
            <w:div w:id="156310409">
              <w:marLeft w:val="0"/>
              <w:marRight w:val="0"/>
              <w:marTop w:val="0"/>
              <w:marBottom w:val="0"/>
              <w:divBdr>
                <w:top w:val="none" w:sz="0" w:space="0" w:color="auto"/>
                <w:left w:val="none" w:sz="0" w:space="0" w:color="auto"/>
                <w:bottom w:val="none" w:sz="0" w:space="0" w:color="auto"/>
                <w:right w:val="none" w:sz="0" w:space="0" w:color="auto"/>
              </w:divBdr>
              <w:divsChild>
                <w:div w:id="766510094">
                  <w:marLeft w:val="0"/>
                  <w:marRight w:val="0"/>
                  <w:marTop w:val="0"/>
                  <w:marBottom w:val="0"/>
                  <w:divBdr>
                    <w:top w:val="none" w:sz="0" w:space="0" w:color="auto"/>
                    <w:left w:val="none" w:sz="0" w:space="0" w:color="auto"/>
                    <w:bottom w:val="none" w:sz="0" w:space="0" w:color="auto"/>
                    <w:right w:val="none" w:sz="0" w:space="0" w:color="auto"/>
                  </w:divBdr>
                  <w:divsChild>
                    <w:div w:id="1662199818">
                      <w:marLeft w:val="0"/>
                      <w:marRight w:val="0"/>
                      <w:marTop w:val="0"/>
                      <w:marBottom w:val="0"/>
                      <w:divBdr>
                        <w:top w:val="none" w:sz="0" w:space="0" w:color="auto"/>
                        <w:left w:val="none" w:sz="0" w:space="0" w:color="auto"/>
                        <w:bottom w:val="none" w:sz="0" w:space="0" w:color="auto"/>
                        <w:right w:val="none" w:sz="0" w:space="0" w:color="auto"/>
                      </w:divBdr>
                      <w:divsChild>
                        <w:div w:id="1523665814">
                          <w:marLeft w:val="0"/>
                          <w:marRight w:val="0"/>
                          <w:marTop w:val="0"/>
                          <w:marBottom w:val="0"/>
                          <w:divBdr>
                            <w:top w:val="none" w:sz="0" w:space="0" w:color="auto"/>
                            <w:left w:val="none" w:sz="0" w:space="0" w:color="auto"/>
                            <w:bottom w:val="none" w:sz="0" w:space="0" w:color="auto"/>
                            <w:right w:val="none" w:sz="0" w:space="0" w:color="auto"/>
                          </w:divBdr>
                          <w:divsChild>
                            <w:div w:id="1100565548">
                              <w:marLeft w:val="0"/>
                              <w:marRight w:val="0"/>
                              <w:marTop w:val="0"/>
                              <w:marBottom w:val="0"/>
                              <w:divBdr>
                                <w:top w:val="none" w:sz="0" w:space="0" w:color="auto"/>
                                <w:left w:val="none" w:sz="0" w:space="0" w:color="auto"/>
                                <w:bottom w:val="none" w:sz="0" w:space="0" w:color="auto"/>
                                <w:right w:val="none" w:sz="0" w:space="0" w:color="auto"/>
                              </w:divBdr>
                              <w:divsChild>
                                <w:div w:id="653602587">
                                  <w:marLeft w:val="0"/>
                                  <w:marRight w:val="0"/>
                                  <w:marTop w:val="0"/>
                                  <w:marBottom w:val="0"/>
                                  <w:divBdr>
                                    <w:top w:val="none" w:sz="0" w:space="0" w:color="auto"/>
                                    <w:left w:val="none" w:sz="0" w:space="0" w:color="auto"/>
                                    <w:bottom w:val="none" w:sz="0" w:space="0" w:color="auto"/>
                                    <w:right w:val="none" w:sz="0" w:space="0" w:color="auto"/>
                                  </w:divBdr>
                                  <w:divsChild>
                                    <w:div w:id="1561558029">
                                      <w:marLeft w:val="0"/>
                                      <w:marRight w:val="0"/>
                                      <w:marTop w:val="0"/>
                                      <w:marBottom w:val="0"/>
                                      <w:divBdr>
                                        <w:top w:val="none" w:sz="0" w:space="0" w:color="auto"/>
                                        <w:left w:val="none" w:sz="0" w:space="0" w:color="auto"/>
                                        <w:bottom w:val="none" w:sz="0" w:space="0" w:color="auto"/>
                                        <w:right w:val="none" w:sz="0" w:space="0" w:color="auto"/>
                                      </w:divBdr>
                                      <w:divsChild>
                                        <w:div w:id="283580894">
                                          <w:marLeft w:val="0"/>
                                          <w:marRight w:val="0"/>
                                          <w:marTop w:val="0"/>
                                          <w:marBottom w:val="0"/>
                                          <w:divBdr>
                                            <w:top w:val="none" w:sz="0" w:space="0" w:color="auto"/>
                                            <w:left w:val="none" w:sz="0" w:space="0" w:color="auto"/>
                                            <w:bottom w:val="none" w:sz="0" w:space="0" w:color="auto"/>
                                            <w:right w:val="none" w:sz="0" w:space="0" w:color="auto"/>
                                          </w:divBdr>
                                          <w:divsChild>
                                            <w:div w:id="1218518846">
                                              <w:marLeft w:val="0"/>
                                              <w:marRight w:val="0"/>
                                              <w:marTop w:val="0"/>
                                              <w:marBottom w:val="0"/>
                                              <w:divBdr>
                                                <w:top w:val="none" w:sz="0" w:space="0" w:color="auto"/>
                                                <w:left w:val="none" w:sz="0" w:space="0" w:color="auto"/>
                                                <w:bottom w:val="none" w:sz="0" w:space="0" w:color="auto"/>
                                                <w:right w:val="none" w:sz="0" w:space="0" w:color="auto"/>
                                              </w:divBdr>
                                              <w:divsChild>
                                                <w:div w:id="1475490254">
                                                  <w:marLeft w:val="0"/>
                                                  <w:marRight w:val="0"/>
                                                  <w:marTop w:val="0"/>
                                                  <w:marBottom w:val="0"/>
                                                  <w:divBdr>
                                                    <w:top w:val="none" w:sz="0" w:space="0" w:color="auto"/>
                                                    <w:left w:val="none" w:sz="0" w:space="0" w:color="auto"/>
                                                    <w:bottom w:val="none" w:sz="0" w:space="0" w:color="auto"/>
                                                    <w:right w:val="none" w:sz="0" w:space="0" w:color="auto"/>
                                                  </w:divBdr>
                                                  <w:divsChild>
                                                    <w:div w:id="193050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1387723">
      <w:bodyDiv w:val="1"/>
      <w:marLeft w:val="0"/>
      <w:marRight w:val="0"/>
      <w:marTop w:val="0"/>
      <w:marBottom w:val="0"/>
      <w:divBdr>
        <w:top w:val="none" w:sz="0" w:space="0" w:color="auto"/>
        <w:left w:val="none" w:sz="0" w:space="0" w:color="auto"/>
        <w:bottom w:val="none" w:sz="0" w:space="0" w:color="auto"/>
        <w:right w:val="none" w:sz="0" w:space="0" w:color="auto"/>
      </w:divBdr>
    </w:div>
    <w:div w:id="1153907023">
      <w:bodyDiv w:val="1"/>
      <w:marLeft w:val="0"/>
      <w:marRight w:val="0"/>
      <w:marTop w:val="0"/>
      <w:marBottom w:val="0"/>
      <w:divBdr>
        <w:top w:val="none" w:sz="0" w:space="0" w:color="auto"/>
        <w:left w:val="none" w:sz="0" w:space="0" w:color="auto"/>
        <w:bottom w:val="none" w:sz="0" w:space="0" w:color="auto"/>
        <w:right w:val="none" w:sz="0" w:space="0" w:color="auto"/>
      </w:divBdr>
    </w:div>
    <w:div w:id="1162352845">
      <w:bodyDiv w:val="1"/>
      <w:marLeft w:val="0"/>
      <w:marRight w:val="0"/>
      <w:marTop w:val="0"/>
      <w:marBottom w:val="0"/>
      <w:divBdr>
        <w:top w:val="none" w:sz="0" w:space="0" w:color="auto"/>
        <w:left w:val="none" w:sz="0" w:space="0" w:color="auto"/>
        <w:bottom w:val="none" w:sz="0" w:space="0" w:color="auto"/>
        <w:right w:val="none" w:sz="0" w:space="0" w:color="auto"/>
      </w:divBdr>
    </w:div>
    <w:div w:id="1176962232">
      <w:bodyDiv w:val="1"/>
      <w:marLeft w:val="0"/>
      <w:marRight w:val="0"/>
      <w:marTop w:val="0"/>
      <w:marBottom w:val="0"/>
      <w:divBdr>
        <w:top w:val="none" w:sz="0" w:space="0" w:color="auto"/>
        <w:left w:val="none" w:sz="0" w:space="0" w:color="auto"/>
        <w:bottom w:val="none" w:sz="0" w:space="0" w:color="auto"/>
        <w:right w:val="none" w:sz="0" w:space="0" w:color="auto"/>
      </w:divBdr>
    </w:div>
    <w:div w:id="1183327400">
      <w:bodyDiv w:val="1"/>
      <w:marLeft w:val="0"/>
      <w:marRight w:val="0"/>
      <w:marTop w:val="0"/>
      <w:marBottom w:val="0"/>
      <w:divBdr>
        <w:top w:val="none" w:sz="0" w:space="0" w:color="auto"/>
        <w:left w:val="none" w:sz="0" w:space="0" w:color="auto"/>
        <w:bottom w:val="none" w:sz="0" w:space="0" w:color="auto"/>
        <w:right w:val="none" w:sz="0" w:space="0" w:color="auto"/>
      </w:divBdr>
    </w:div>
    <w:div w:id="1309092397">
      <w:bodyDiv w:val="1"/>
      <w:marLeft w:val="0"/>
      <w:marRight w:val="0"/>
      <w:marTop w:val="0"/>
      <w:marBottom w:val="0"/>
      <w:divBdr>
        <w:top w:val="none" w:sz="0" w:space="0" w:color="auto"/>
        <w:left w:val="none" w:sz="0" w:space="0" w:color="auto"/>
        <w:bottom w:val="none" w:sz="0" w:space="0" w:color="auto"/>
        <w:right w:val="none" w:sz="0" w:space="0" w:color="auto"/>
      </w:divBdr>
    </w:div>
    <w:div w:id="1366171133">
      <w:bodyDiv w:val="1"/>
      <w:marLeft w:val="0"/>
      <w:marRight w:val="0"/>
      <w:marTop w:val="0"/>
      <w:marBottom w:val="0"/>
      <w:divBdr>
        <w:top w:val="none" w:sz="0" w:space="0" w:color="auto"/>
        <w:left w:val="none" w:sz="0" w:space="0" w:color="auto"/>
        <w:bottom w:val="none" w:sz="0" w:space="0" w:color="auto"/>
        <w:right w:val="none" w:sz="0" w:space="0" w:color="auto"/>
      </w:divBdr>
    </w:div>
    <w:div w:id="1391926199">
      <w:bodyDiv w:val="1"/>
      <w:marLeft w:val="0"/>
      <w:marRight w:val="0"/>
      <w:marTop w:val="0"/>
      <w:marBottom w:val="0"/>
      <w:divBdr>
        <w:top w:val="none" w:sz="0" w:space="0" w:color="auto"/>
        <w:left w:val="none" w:sz="0" w:space="0" w:color="auto"/>
        <w:bottom w:val="none" w:sz="0" w:space="0" w:color="auto"/>
        <w:right w:val="none" w:sz="0" w:space="0" w:color="auto"/>
      </w:divBdr>
    </w:div>
    <w:div w:id="1415130135">
      <w:bodyDiv w:val="1"/>
      <w:marLeft w:val="0"/>
      <w:marRight w:val="0"/>
      <w:marTop w:val="0"/>
      <w:marBottom w:val="0"/>
      <w:divBdr>
        <w:top w:val="none" w:sz="0" w:space="0" w:color="auto"/>
        <w:left w:val="none" w:sz="0" w:space="0" w:color="auto"/>
        <w:bottom w:val="none" w:sz="0" w:space="0" w:color="auto"/>
        <w:right w:val="none" w:sz="0" w:space="0" w:color="auto"/>
      </w:divBdr>
    </w:div>
    <w:div w:id="1524905909">
      <w:bodyDiv w:val="1"/>
      <w:marLeft w:val="0"/>
      <w:marRight w:val="0"/>
      <w:marTop w:val="0"/>
      <w:marBottom w:val="0"/>
      <w:divBdr>
        <w:top w:val="none" w:sz="0" w:space="0" w:color="auto"/>
        <w:left w:val="none" w:sz="0" w:space="0" w:color="auto"/>
        <w:bottom w:val="none" w:sz="0" w:space="0" w:color="auto"/>
        <w:right w:val="none" w:sz="0" w:space="0" w:color="auto"/>
      </w:divBdr>
    </w:div>
    <w:div w:id="1528836578">
      <w:bodyDiv w:val="1"/>
      <w:marLeft w:val="0"/>
      <w:marRight w:val="0"/>
      <w:marTop w:val="0"/>
      <w:marBottom w:val="0"/>
      <w:divBdr>
        <w:top w:val="none" w:sz="0" w:space="0" w:color="auto"/>
        <w:left w:val="none" w:sz="0" w:space="0" w:color="auto"/>
        <w:bottom w:val="none" w:sz="0" w:space="0" w:color="auto"/>
        <w:right w:val="none" w:sz="0" w:space="0" w:color="auto"/>
      </w:divBdr>
    </w:div>
    <w:div w:id="1559629951">
      <w:bodyDiv w:val="1"/>
      <w:marLeft w:val="0"/>
      <w:marRight w:val="0"/>
      <w:marTop w:val="0"/>
      <w:marBottom w:val="0"/>
      <w:divBdr>
        <w:top w:val="none" w:sz="0" w:space="0" w:color="auto"/>
        <w:left w:val="none" w:sz="0" w:space="0" w:color="auto"/>
        <w:bottom w:val="none" w:sz="0" w:space="0" w:color="auto"/>
        <w:right w:val="none" w:sz="0" w:space="0" w:color="auto"/>
      </w:divBdr>
    </w:div>
    <w:div w:id="1643970921">
      <w:bodyDiv w:val="1"/>
      <w:marLeft w:val="0"/>
      <w:marRight w:val="0"/>
      <w:marTop w:val="0"/>
      <w:marBottom w:val="0"/>
      <w:divBdr>
        <w:top w:val="none" w:sz="0" w:space="0" w:color="auto"/>
        <w:left w:val="none" w:sz="0" w:space="0" w:color="auto"/>
        <w:bottom w:val="none" w:sz="0" w:space="0" w:color="auto"/>
        <w:right w:val="none" w:sz="0" w:space="0" w:color="auto"/>
      </w:divBdr>
      <w:divsChild>
        <w:div w:id="1090586907">
          <w:marLeft w:val="0"/>
          <w:marRight w:val="0"/>
          <w:marTop w:val="0"/>
          <w:marBottom w:val="0"/>
          <w:divBdr>
            <w:top w:val="none" w:sz="0" w:space="0" w:color="auto"/>
            <w:left w:val="none" w:sz="0" w:space="0" w:color="auto"/>
            <w:bottom w:val="none" w:sz="0" w:space="0" w:color="auto"/>
            <w:right w:val="none" w:sz="0" w:space="0" w:color="auto"/>
          </w:divBdr>
          <w:divsChild>
            <w:div w:id="398871182">
              <w:marLeft w:val="0"/>
              <w:marRight w:val="0"/>
              <w:marTop w:val="0"/>
              <w:marBottom w:val="0"/>
              <w:divBdr>
                <w:top w:val="none" w:sz="0" w:space="0" w:color="auto"/>
                <w:left w:val="none" w:sz="0" w:space="0" w:color="auto"/>
                <w:bottom w:val="none" w:sz="0" w:space="0" w:color="auto"/>
                <w:right w:val="none" w:sz="0" w:space="0" w:color="auto"/>
              </w:divBdr>
              <w:divsChild>
                <w:div w:id="619457099">
                  <w:marLeft w:val="0"/>
                  <w:marRight w:val="0"/>
                  <w:marTop w:val="0"/>
                  <w:marBottom w:val="0"/>
                  <w:divBdr>
                    <w:top w:val="none" w:sz="0" w:space="0" w:color="auto"/>
                    <w:left w:val="none" w:sz="0" w:space="0" w:color="auto"/>
                    <w:bottom w:val="none" w:sz="0" w:space="0" w:color="auto"/>
                    <w:right w:val="none" w:sz="0" w:space="0" w:color="auto"/>
                  </w:divBdr>
                  <w:divsChild>
                    <w:div w:id="2069528429">
                      <w:marLeft w:val="0"/>
                      <w:marRight w:val="0"/>
                      <w:marTop w:val="0"/>
                      <w:marBottom w:val="0"/>
                      <w:divBdr>
                        <w:top w:val="none" w:sz="0" w:space="0" w:color="auto"/>
                        <w:left w:val="none" w:sz="0" w:space="0" w:color="auto"/>
                        <w:bottom w:val="none" w:sz="0" w:space="0" w:color="auto"/>
                        <w:right w:val="none" w:sz="0" w:space="0" w:color="auto"/>
                      </w:divBdr>
                      <w:divsChild>
                        <w:div w:id="695812707">
                          <w:marLeft w:val="0"/>
                          <w:marRight w:val="0"/>
                          <w:marTop w:val="0"/>
                          <w:marBottom w:val="0"/>
                          <w:divBdr>
                            <w:top w:val="none" w:sz="0" w:space="0" w:color="auto"/>
                            <w:left w:val="none" w:sz="0" w:space="0" w:color="auto"/>
                            <w:bottom w:val="none" w:sz="0" w:space="0" w:color="auto"/>
                            <w:right w:val="none" w:sz="0" w:space="0" w:color="auto"/>
                          </w:divBdr>
                          <w:divsChild>
                            <w:div w:id="1192187230">
                              <w:marLeft w:val="0"/>
                              <w:marRight w:val="0"/>
                              <w:marTop w:val="0"/>
                              <w:marBottom w:val="0"/>
                              <w:divBdr>
                                <w:top w:val="none" w:sz="0" w:space="0" w:color="auto"/>
                                <w:left w:val="none" w:sz="0" w:space="0" w:color="auto"/>
                                <w:bottom w:val="none" w:sz="0" w:space="0" w:color="auto"/>
                                <w:right w:val="none" w:sz="0" w:space="0" w:color="auto"/>
                              </w:divBdr>
                              <w:divsChild>
                                <w:div w:id="1259562486">
                                  <w:marLeft w:val="0"/>
                                  <w:marRight w:val="0"/>
                                  <w:marTop w:val="0"/>
                                  <w:marBottom w:val="0"/>
                                  <w:divBdr>
                                    <w:top w:val="none" w:sz="0" w:space="0" w:color="auto"/>
                                    <w:left w:val="none" w:sz="0" w:space="0" w:color="auto"/>
                                    <w:bottom w:val="none" w:sz="0" w:space="0" w:color="auto"/>
                                    <w:right w:val="none" w:sz="0" w:space="0" w:color="auto"/>
                                  </w:divBdr>
                                  <w:divsChild>
                                    <w:div w:id="36702431">
                                      <w:marLeft w:val="0"/>
                                      <w:marRight w:val="0"/>
                                      <w:marTop w:val="0"/>
                                      <w:marBottom w:val="0"/>
                                      <w:divBdr>
                                        <w:top w:val="none" w:sz="0" w:space="0" w:color="auto"/>
                                        <w:left w:val="none" w:sz="0" w:space="0" w:color="auto"/>
                                        <w:bottom w:val="none" w:sz="0" w:space="0" w:color="auto"/>
                                        <w:right w:val="none" w:sz="0" w:space="0" w:color="auto"/>
                                      </w:divBdr>
                                      <w:divsChild>
                                        <w:div w:id="180045649">
                                          <w:marLeft w:val="0"/>
                                          <w:marRight w:val="0"/>
                                          <w:marTop w:val="0"/>
                                          <w:marBottom w:val="0"/>
                                          <w:divBdr>
                                            <w:top w:val="none" w:sz="0" w:space="0" w:color="auto"/>
                                            <w:left w:val="none" w:sz="0" w:space="0" w:color="auto"/>
                                            <w:bottom w:val="none" w:sz="0" w:space="0" w:color="auto"/>
                                            <w:right w:val="none" w:sz="0" w:space="0" w:color="auto"/>
                                          </w:divBdr>
                                          <w:divsChild>
                                            <w:div w:id="1443912944">
                                              <w:marLeft w:val="0"/>
                                              <w:marRight w:val="0"/>
                                              <w:marTop w:val="0"/>
                                              <w:marBottom w:val="0"/>
                                              <w:divBdr>
                                                <w:top w:val="none" w:sz="0" w:space="0" w:color="auto"/>
                                                <w:left w:val="none" w:sz="0" w:space="0" w:color="auto"/>
                                                <w:bottom w:val="none" w:sz="0" w:space="0" w:color="auto"/>
                                                <w:right w:val="none" w:sz="0" w:space="0" w:color="auto"/>
                                              </w:divBdr>
                                              <w:divsChild>
                                                <w:div w:id="411852008">
                                                  <w:marLeft w:val="0"/>
                                                  <w:marRight w:val="0"/>
                                                  <w:marTop w:val="0"/>
                                                  <w:marBottom w:val="0"/>
                                                  <w:divBdr>
                                                    <w:top w:val="none" w:sz="0" w:space="0" w:color="auto"/>
                                                    <w:left w:val="none" w:sz="0" w:space="0" w:color="auto"/>
                                                    <w:bottom w:val="none" w:sz="0" w:space="0" w:color="auto"/>
                                                    <w:right w:val="none" w:sz="0" w:space="0" w:color="auto"/>
                                                  </w:divBdr>
                                                  <w:divsChild>
                                                    <w:div w:id="80717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1443172">
      <w:bodyDiv w:val="1"/>
      <w:marLeft w:val="0"/>
      <w:marRight w:val="0"/>
      <w:marTop w:val="0"/>
      <w:marBottom w:val="0"/>
      <w:divBdr>
        <w:top w:val="none" w:sz="0" w:space="0" w:color="auto"/>
        <w:left w:val="none" w:sz="0" w:space="0" w:color="auto"/>
        <w:bottom w:val="none" w:sz="0" w:space="0" w:color="auto"/>
        <w:right w:val="none" w:sz="0" w:space="0" w:color="auto"/>
      </w:divBdr>
    </w:div>
    <w:div w:id="1701471929">
      <w:bodyDiv w:val="1"/>
      <w:marLeft w:val="0"/>
      <w:marRight w:val="0"/>
      <w:marTop w:val="0"/>
      <w:marBottom w:val="0"/>
      <w:divBdr>
        <w:top w:val="none" w:sz="0" w:space="0" w:color="auto"/>
        <w:left w:val="none" w:sz="0" w:space="0" w:color="auto"/>
        <w:bottom w:val="none" w:sz="0" w:space="0" w:color="auto"/>
        <w:right w:val="none" w:sz="0" w:space="0" w:color="auto"/>
      </w:divBdr>
    </w:div>
    <w:div w:id="1712680951">
      <w:bodyDiv w:val="1"/>
      <w:marLeft w:val="0"/>
      <w:marRight w:val="0"/>
      <w:marTop w:val="0"/>
      <w:marBottom w:val="0"/>
      <w:divBdr>
        <w:top w:val="none" w:sz="0" w:space="0" w:color="auto"/>
        <w:left w:val="none" w:sz="0" w:space="0" w:color="auto"/>
        <w:bottom w:val="none" w:sz="0" w:space="0" w:color="auto"/>
        <w:right w:val="none" w:sz="0" w:space="0" w:color="auto"/>
      </w:divBdr>
    </w:div>
    <w:div w:id="1715151947">
      <w:bodyDiv w:val="1"/>
      <w:marLeft w:val="0"/>
      <w:marRight w:val="0"/>
      <w:marTop w:val="0"/>
      <w:marBottom w:val="0"/>
      <w:divBdr>
        <w:top w:val="none" w:sz="0" w:space="0" w:color="auto"/>
        <w:left w:val="none" w:sz="0" w:space="0" w:color="auto"/>
        <w:bottom w:val="none" w:sz="0" w:space="0" w:color="auto"/>
        <w:right w:val="none" w:sz="0" w:space="0" w:color="auto"/>
      </w:divBdr>
    </w:div>
    <w:div w:id="1784762272">
      <w:bodyDiv w:val="1"/>
      <w:marLeft w:val="0"/>
      <w:marRight w:val="0"/>
      <w:marTop w:val="0"/>
      <w:marBottom w:val="0"/>
      <w:divBdr>
        <w:top w:val="none" w:sz="0" w:space="0" w:color="auto"/>
        <w:left w:val="none" w:sz="0" w:space="0" w:color="auto"/>
        <w:bottom w:val="none" w:sz="0" w:space="0" w:color="auto"/>
        <w:right w:val="none" w:sz="0" w:space="0" w:color="auto"/>
      </w:divBdr>
      <w:divsChild>
        <w:div w:id="31150652">
          <w:marLeft w:val="0"/>
          <w:marRight w:val="0"/>
          <w:marTop w:val="0"/>
          <w:marBottom w:val="0"/>
          <w:divBdr>
            <w:top w:val="none" w:sz="0" w:space="0" w:color="auto"/>
            <w:left w:val="none" w:sz="0" w:space="0" w:color="auto"/>
            <w:bottom w:val="none" w:sz="0" w:space="0" w:color="auto"/>
            <w:right w:val="none" w:sz="0" w:space="0" w:color="auto"/>
          </w:divBdr>
        </w:div>
        <w:div w:id="88743699">
          <w:marLeft w:val="0"/>
          <w:marRight w:val="0"/>
          <w:marTop w:val="0"/>
          <w:marBottom w:val="0"/>
          <w:divBdr>
            <w:top w:val="none" w:sz="0" w:space="0" w:color="auto"/>
            <w:left w:val="none" w:sz="0" w:space="0" w:color="auto"/>
            <w:bottom w:val="none" w:sz="0" w:space="0" w:color="auto"/>
            <w:right w:val="none" w:sz="0" w:space="0" w:color="auto"/>
          </w:divBdr>
        </w:div>
        <w:div w:id="132138959">
          <w:marLeft w:val="0"/>
          <w:marRight w:val="0"/>
          <w:marTop w:val="0"/>
          <w:marBottom w:val="0"/>
          <w:divBdr>
            <w:top w:val="none" w:sz="0" w:space="0" w:color="auto"/>
            <w:left w:val="none" w:sz="0" w:space="0" w:color="auto"/>
            <w:bottom w:val="none" w:sz="0" w:space="0" w:color="auto"/>
            <w:right w:val="none" w:sz="0" w:space="0" w:color="auto"/>
          </w:divBdr>
        </w:div>
        <w:div w:id="138887656">
          <w:marLeft w:val="0"/>
          <w:marRight w:val="0"/>
          <w:marTop w:val="0"/>
          <w:marBottom w:val="0"/>
          <w:divBdr>
            <w:top w:val="none" w:sz="0" w:space="0" w:color="auto"/>
            <w:left w:val="none" w:sz="0" w:space="0" w:color="auto"/>
            <w:bottom w:val="none" w:sz="0" w:space="0" w:color="auto"/>
            <w:right w:val="none" w:sz="0" w:space="0" w:color="auto"/>
          </w:divBdr>
        </w:div>
        <w:div w:id="285090094">
          <w:marLeft w:val="0"/>
          <w:marRight w:val="0"/>
          <w:marTop w:val="0"/>
          <w:marBottom w:val="0"/>
          <w:divBdr>
            <w:top w:val="none" w:sz="0" w:space="0" w:color="auto"/>
            <w:left w:val="none" w:sz="0" w:space="0" w:color="auto"/>
            <w:bottom w:val="none" w:sz="0" w:space="0" w:color="auto"/>
            <w:right w:val="none" w:sz="0" w:space="0" w:color="auto"/>
          </w:divBdr>
        </w:div>
        <w:div w:id="403189360">
          <w:marLeft w:val="0"/>
          <w:marRight w:val="0"/>
          <w:marTop w:val="0"/>
          <w:marBottom w:val="0"/>
          <w:divBdr>
            <w:top w:val="none" w:sz="0" w:space="0" w:color="auto"/>
            <w:left w:val="none" w:sz="0" w:space="0" w:color="auto"/>
            <w:bottom w:val="none" w:sz="0" w:space="0" w:color="auto"/>
            <w:right w:val="none" w:sz="0" w:space="0" w:color="auto"/>
          </w:divBdr>
        </w:div>
        <w:div w:id="557210173">
          <w:marLeft w:val="0"/>
          <w:marRight w:val="0"/>
          <w:marTop w:val="0"/>
          <w:marBottom w:val="0"/>
          <w:divBdr>
            <w:top w:val="none" w:sz="0" w:space="0" w:color="auto"/>
            <w:left w:val="none" w:sz="0" w:space="0" w:color="auto"/>
            <w:bottom w:val="none" w:sz="0" w:space="0" w:color="auto"/>
            <w:right w:val="none" w:sz="0" w:space="0" w:color="auto"/>
          </w:divBdr>
        </w:div>
        <w:div w:id="703864317">
          <w:marLeft w:val="0"/>
          <w:marRight w:val="0"/>
          <w:marTop w:val="0"/>
          <w:marBottom w:val="0"/>
          <w:divBdr>
            <w:top w:val="none" w:sz="0" w:space="0" w:color="auto"/>
            <w:left w:val="none" w:sz="0" w:space="0" w:color="auto"/>
            <w:bottom w:val="none" w:sz="0" w:space="0" w:color="auto"/>
            <w:right w:val="none" w:sz="0" w:space="0" w:color="auto"/>
          </w:divBdr>
        </w:div>
        <w:div w:id="760415447">
          <w:marLeft w:val="0"/>
          <w:marRight w:val="0"/>
          <w:marTop w:val="0"/>
          <w:marBottom w:val="0"/>
          <w:divBdr>
            <w:top w:val="none" w:sz="0" w:space="0" w:color="auto"/>
            <w:left w:val="none" w:sz="0" w:space="0" w:color="auto"/>
            <w:bottom w:val="none" w:sz="0" w:space="0" w:color="auto"/>
            <w:right w:val="none" w:sz="0" w:space="0" w:color="auto"/>
          </w:divBdr>
        </w:div>
        <w:div w:id="1015499115">
          <w:marLeft w:val="0"/>
          <w:marRight w:val="0"/>
          <w:marTop w:val="0"/>
          <w:marBottom w:val="0"/>
          <w:divBdr>
            <w:top w:val="none" w:sz="0" w:space="0" w:color="auto"/>
            <w:left w:val="none" w:sz="0" w:space="0" w:color="auto"/>
            <w:bottom w:val="none" w:sz="0" w:space="0" w:color="auto"/>
            <w:right w:val="none" w:sz="0" w:space="0" w:color="auto"/>
          </w:divBdr>
        </w:div>
        <w:div w:id="1047992928">
          <w:marLeft w:val="0"/>
          <w:marRight w:val="0"/>
          <w:marTop w:val="0"/>
          <w:marBottom w:val="0"/>
          <w:divBdr>
            <w:top w:val="none" w:sz="0" w:space="0" w:color="auto"/>
            <w:left w:val="none" w:sz="0" w:space="0" w:color="auto"/>
            <w:bottom w:val="none" w:sz="0" w:space="0" w:color="auto"/>
            <w:right w:val="none" w:sz="0" w:space="0" w:color="auto"/>
          </w:divBdr>
        </w:div>
        <w:div w:id="1147480172">
          <w:marLeft w:val="0"/>
          <w:marRight w:val="0"/>
          <w:marTop w:val="0"/>
          <w:marBottom w:val="0"/>
          <w:divBdr>
            <w:top w:val="none" w:sz="0" w:space="0" w:color="auto"/>
            <w:left w:val="none" w:sz="0" w:space="0" w:color="auto"/>
            <w:bottom w:val="none" w:sz="0" w:space="0" w:color="auto"/>
            <w:right w:val="none" w:sz="0" w:space="0" w:color="auto"/>
          </w:divBdr>
        </w:div>
        <w:div w:id="1363021548">
          <w:marLeft w:val="0"/>
          <w:marRight w:val="0"/>
          <w:marTop w:val="0"/>
          <w:marBottom w:val="0"/>
          <w:divBdr>
            <w:top w:val="none" w:sz="0" w:space="0" w:color="auto"/>
            <w:left w:val="none" w:sz="0" w:space="0" w:color="auto"/>
            <w:bottom w:val="none" w:sz="0" w:space="0" w:color="auto"/>
            <w:right w:val="none" w:sz="0" w:space="0" w:color="auto"/>
          </w:divBdr>
        </w:div>
        <w:div w:id="1467510939">
          <w:marLeft w:val="0"/>
          <w:marRight w:val="0"/>
          <w:marTop w:val="0"/>
          <w:marBottom w:val="0"/>
          <w:divBdr>
            <w:top w:val="none" w:sz="0" w:space="0" w:color="auto"/>
            <w:left w:val="none" w:sz="0" w:space="0" w:color="auto"/>
            <w:bottom w:val="none" w:sz="0" w:space="0" w:color="auto"/>
            <w:right w:val="none" w:sz="0" w:space="0" w:color="auto"/>
          </w:divBdr>
        </w:div>
        <w:div w:id="1908372775">
          <w:marLeft w:val="0"/>
          <w:marRight w:val="0"/>
          <w:marTop w:val="0"/>
          <w:marBottom w:val="0"/>
          <w:divBdr>
            <w:top w:val="none" w:sz="0" w:space="0" w:color="auto"/>
            <w:left w:val="none" w:sz="0" w:space="0" w:color="auto"/>
            <w:bottom w:val="none" w:sz="0" w:space="0" w:color="auto"/>
            <w:right w:val="none" w:sz="0" w:space="0" w:color="auto"/>
          </w:divBdr>
        </w:div>
        <w:div w:id="2065567692">
          <w:marLeft w:val="0"/>
          <w:marRight w:val="0"/>
          <w:marTop w:val="0"/>
          <w:marBottom w:val="0"/>
          <w:divBdr>
            <w:top w:val="none" w:sz="0" w:space="0" w:color="auto"/>
            <w:left w:val="none" w:sz="0" w:space="0" w:color="auto"/>
            <w:bottom w:val="none" w:sz="0" w:space="0" w:color="auto"/>
            <w:right w:val="none" w:sz="0" w:space="0" w:color="auto"/>
          </w:divBdr>
        </w:div>
        <w:div w:id="2091191686">
          <w:marLeft w:val="0"/>
          <w:marRight w:val="0"/>
          <w:marTop w:val="0"/>
          <w:marBottom w:val="0"/>
          <w:divBdr>
            <w:top w:val="none" w:sz="0" w:space="0" w:color="auto"/>
            <w:left w:val="none" w:sz="0" w:space="0" w:color="auto"/>
            <w:bottom w:val="none" w:sz="0" w:space="0" w:color="auto"/>
            <w:right w:val="none" w:sz="0" w:space="0" w:color="auto"/>
          </w:divBdr>
        </w:div>
        <w:div w:id="2139100424">
          <w:marLeft w:val="0"/>
          <w:marRight w:val="0"/>
          <w:marTop w:val="0"/>
          <w:marBottom w:val="0"/>
          <w:divBdr>
            <w:top w:val="none" w:sz="0" w:space="0" w:color="auto"/>
            <w:left w:val="none" w:sz="0" w:space="0" w:color="auto"/>
            <w:bottom w:val="none" w:sz="0" w:space="0" w:color="auto"/>
            <w:right w:val="none" w:sz="0" w:space="0" w:color="auto"/>
          </w:divBdr>
        </w:div>
      </w:divsChild>
    </w:div>
    <w:div w:id="1840460454">
      <w:bodyDiv w:val="1"/>
      <w:marLeft w:val="0"/>
      <w:marRight w:val="0"/>
      <w:marTop w:val="0"/>
      <w:marBottom w:val="0"/>
      <w:divBdr>
        <w:top w:val="none" w:sz="0" w:space="0" w:color="auto"/>
        <w:left w:val="none" w:sz="0" w:space="0" w:color="auto"/>
        <w:bottom w:val="none" w:sz="0" w:space="0" w:color="auto"/>
        <w:right w:val="none" w:sz="0" w:space="0" w:color="auto"/>
      </w:divBdr>
    </w:div>
    <w:div w:id="1849321508">
      <w:bodyDiv w:val="1"/>
      <w:marLeft w:val="0"/>
      <w:marRight w:val="0"/>
      <w:marTop w:val="0"/>
      <w:marBottom w:val="0"/>
      <w:divBdr>
        <w:top w:val="none" w:sz="0" w:space="0" w:color="auto"/>
        <w:left w:val="none" w:sz="0" w:space="0" w:color="auto"/>
        <w:bottom w:val="none" w:sz="0" w:space="0" w:color="auto"/>
        <w:right w:val="none" w:sz="0" w:space="0" w:color="auto"/>
      </w:divBdr>
    </w:div>
    <w:div w:id="1863280624">
      <w:bodyDiv w:val="1"/>
      <w:marLeft w:val="0"/>
      <w:marRight w:val="0"/>
      <w:marTop w:val="0"/>
      <w:marBottom w:val="0"/>
      <w:divBdr>
        <w:top w:val="none" w:sz="0" w:space="0" w:color="auto"/>
        <w:left w:val="none" w:sz="0" w:space="0" w:color="auto"/>
        <w:bottom w:val="none" w:sz="0" w:space="0" w:color="auto"/>
        <w:right w:val="none" w:sz="0" w:space="0" w:color="auto"/>
      </w:divBdr>
    </w:div>
    <w:div w:id="1880314975">
      <w:bodyDiv w:val="1"/>
      <w:marLeft w:val="0"/>
      <w:marRight w:val="0"/>
      <w:marTop w:val="0"/>
      <w:marBottom w:val="0"/>
      <w:divBdr>
        <w:top w:val="none" w:sz="0" w:space="0" w:color="auto"/>
        <w:left w:val="none" w:sz="0" w:space="0" w:color="auto"/>
        <w:bottom w:val="none" w:sz="0" w:space="0" w:color="auto"/>
        <w:right w:val="none" w:sz="0" w:space="0" w:color="auto"/>
      </w:divBdr>
    </w:div>
    <w:div w:id="1942570851">
      <w:bodyDiv w:val="1"/>
      <w:marLeft w:val="0"/>
      <w:marRight w:val="0"/>
      <w:marTop w:val="0"/>
      <w:marBottom w:val="0"/>
      <w:divBdr>
        <w:top w:val="none" w:sz="0" w:space="0" w:color="auto"/>
        <w:left w:val="none" w:sz="0" w:space="0" w:color="auto"/>
        <w:bottom w:val="none" w:sz="0" w:space="0" w:color="auto"/>
        <w:right w:val="none" w:sz="0" w:space="0" w:color="auto"/>
      </w:divBdr>
    </w:div>
    <w:div w:id="1973824919">
      <w:bodyDiv w:val="1"/>
      <w:marLeft w:val="0"/>
      <w:marRight w:val="0"/>
      <w:marTop w:val="0"/>
      <w:marBottom w:val="0"/>
      <w:divBdr>
        <w:top w:val="none" w:sz="0" w:space="0" w:color="auto"/>
        <w:left w:val="none" w:sz="0" w:space="0" w:color="auto"/>
        <w:bottom w:val="none" w:sz="0" w:space="0" w:color="auto"/>
        <w:right w:val="none" w:sz="0" w:space="0" w:color="auto"/>
      </w:divBdr>
    </w:div>
    <w:div w:id="1979875196">
      <w:bodyDiv w:val="1"/>
      <w:marLeft w:val="0"/>
      <w:marRight w:val="0"/>
      <w:marTop w:val="0"/>
      <w:marBottom w:val="0"/>
      <w:divBdr>
        <w:top w:val="none" w:sz="0" w:space="0" w:color="auto"/>
        <w:left w:val="none" w:sz="0" w:space="0" w:color="auto"/>
        <w:bottom w:val="none" w:sz="0" w:space="0" w:color="auto"/>
        <w:right w:val="none" w:sz="0" w:space="0" w:color="auto"/>
      </w:divBdr>
    </w:div>
    <w:div w:id="2086370688">
      <w:bodyDiv w:val="1"/>
      <w:marLeft w:val="0"/>
      <w:marRight w:val="0"/>
      <w:marTop w:val="0"/>
      <w:marBottom w:val="0"/>
      <w:divBdr>
        <w:top w:val="none" w:sz="0" w:space="0" w:color="auto"/>
        <w:left w:val="none" w:sz="0" w:space="0" w:color="auto"/>
        <w:bottom w:val="none" w:sz="0" w:space="0" w:color="auto"/>
        <w:right w:val="none" w:sz="0" w:space="0" w:color="auto"/>
      </w:divBdr>
    </w:div>
    <w:div w:id="2138450364">
      <w:bodyDiv w:val="1"/>
      <w:marLeft w:val="0"/>
      <w:marRight w:val="0"/>
      <w:marTop w:val="0"/>
      <w:marBottom w:val="0"/>
      <w:divBdr>
        <w:top w:val="none" w:sz="0" w:space="0" w:color="auto"/>
        <w:left w:val="none" w:sz="0" w:space="0" w:color="auto"/>
        <w:bottom w:val="none" w:sz="0" w:space="0" w:color="auto"/>
        <w:right w:val="none" w:sz="0" w:space="0" w:color="auto"/>
      </w:divBdr>
    </w:div>
    <w:div w:id="214126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eceuropaeu.sharepoint.com/teams/GRP-EuropeanSemesterCNECT/Shared%20Documents/General/02_DDPP/State%20of%20the%20Digital%20Decade%20reports/4th%20Report%20on%20the%20state%20of%20the%20Digital%20Decade/03_Country%20Reports/Prisijungusi%20Lietuva"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igital-strategy.ec.europa.eu/en/news-redirect/938549"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lithuania.lt/governance-in-lithuania/lithuania-launches-e130-million-national-ai-centre-litai/"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59741-D098-42F8-9951-785E683E4B7D}">
  <ds:schemaRefs>
    <ds:schemaRef ds:uri="http://schemas.microsoft.com/sharepoint/v3/contenttype/forms"/>
  </ds:schemaRefs>
</ds:datastoreItem>
</file>

<file path=customXml/itemProps2.xml><?xml version="1.0" encoding="utf-8"?>
<ds:datastoreItem xmlns:ds="http://schemas.openxmlformats.org/officeDocument/2006/customXml" ds:itemID="{E374513E-2522-44BE-85FD-257414880AF7}">
  <ds:schemaRefs>
    <ds:schemaRef ds:uri="http://schemas.microsoft.com/office/2006/metadata/properties"/>
    <ds:schemaRef ds:uri="http://schemas.microsoft.com/office/infopath/2007/PartnerControls"/>
    <ds:schemaRef ds:uri="http://schemas.openxmlformats.org/package/2006/metadata/core-properties"/>
    <ds:schemaRef ds:uri="e1debc6b-b43f-4dc7-a7b0-dc87a290d3c1"/>
    <ds:schemaRef ds:uri="http://purl.org/dc/dcmitype/"/>
    <ds:schemaRef ds:uri="http://www.w3.org/XML/1998/namespace"/>
    <ds:schemaRef ds:uri="http://schemas.microsoft.com/office/2006/documentManagement/types"/>
    <ds:schemaRef ds:uri="1bece07b-d03c-423c-b8a0-beed4db0bbc2"/>
    <ds:schemaRef ds:uri="http://schemas.microsoft.com/sharepoint/v3"/>
    <ds:schemaRef ds:uri="http://purl.org/dc/terms/"/>
    <ds:schemaRef ds:uri="http://purl.org/dc/elements/1.1/"/>
  </ds:schemaRefs>
</ds:datastoreItem>
</file>

<file path=customXml/itemProps3.xml><?xml version="1.0" encoding="utf-8"?>
<ds:datastoreItem xmlns:ds="http://schemas.openxmlformats.org/officeDocument/2006/customXml" ds:itemID="{1E7E2394-2B8E-4A2A-B2DB-782C569E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E4F897-9D5F-4507-B7AC-D1EF2FB2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2179</Words>
  <Characters>12425</Characters>
  <Application>Microsoft Office Word</Application>
  <DocSecurity>0</DocSecurity>
  <Lines>103</Lines>
  <Paragraphs>29</Paragraphs>
  <ScaleCrop>false</ScaleCrop>
  <Manager/>
  <Company/>
  <LinksUpToDate>false</LinksUpToDate>
  <CharactersWithSpaces>14575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2026-01-31T04:37:00Z</cp:lastPrinted>
  <dcterms:created xsi:type="dcterms:W3CDTF">2026-06-11T14:52:00Z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17</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