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788CD407" w:rsidR="00717869" w:rsidRPr="007C0C4B" w:rsidRDefault="009B29AD" w:rsidP="009B29AD">
      <w:pPr>
        <w:pStyle w:val="Pagedecouverture"/>
        <w:rPr>
          <w:noProof/>
        </w:rPr>
      </w:pPr>
      <w:bookmarkStart w:id="0" w:name="LW_BM_COVERPAGE"/>
      <w:r>
        <w:rPr>
          <w:noProof/>
        </w:rPr>
        <w:pict w14:anchorId="21D63F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18A683B-46E6-4F6D-8C1B-2A51439DAB97" style="width:455.25pt;height:399.75pt">
            <v:imagedata r:id="rId11" o:title=""/>
          </v:shape>
        </w:pict>
      </w:r>
    </w:p>
    <w:bookmarkEnd w:id="0"/>
    <w:p w14:paraId="342343E1" w14:textId="77777777" w:rsidR="00EF71D3" w:rsidRDefault="00EF71D3" w:rsidP="00EF71D3">
      <w:pPr>
        <w:rPr>
          <w:noProof/>
        </w:rPr>
        <w:sectPr w:rsidR="00EF71D3" w:rsidSect="009B29A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7C0C4B" w:rsidRDefault="0092635F" w:rsidP="00717869">
      <w:pPr>
        <w:rPr>
          <w:b/>
          <w:bCs/>
          <w:noProof/>
        </w:rPr>
      </w:pPr>
      <w:bookmarkStart w:id="1" w:name="_GoBack"/>
      <w:bookmarkEnd w:id="1"/>
    </w:p>
    <w:p w14:paraId="4DA445F2" w14:textId="0920D1A0" w:rsidR="0092635F" w:rsidRPr="007C0C4B" w:rsidRDefault="0092635F" w:rsidP="00717869">
      <w:pPr>
        <w:rPr>
          <w:b/>
          <w:bCs/>
          <w:noProof/>
        </w:rPr>
      </w:pPr>
    </w:p>
    <w:p w14:paraId="0432DD8B" w14:textId="77777777" w:rsidR="0092635F" w:rsidRPr="007C0C4B" w:rsidRDefault="0092635F" w:rsidP="00717869">
      <w:pPr>
        <w:rPr>
          <w:b/>
          <w:bCs/>
          <w:noProof/>
        </w:rPr>
      </w:pPr>
    </w:p>
    <w:p w14:paraId="2A5ACAF6" w14:textId="3B7BF4FB" w:rsidR="0092635F" w:rsidRPr="007C0C4B" w:rsidRDefault="0092635F" w:rsidP="00717869">
      <w:pPr>
        <w:rPr>
          <w:b/>
          <w:bCs/>
          <w:noProof/>
        </w:rPr>
      </w:pPr>
    </w:p>
    <w:p w14:paraId="597FB188" w14:textId="0C8A8AAB" w:rsidR="0092635F" w:rsidRPr="007C0C4B" w:rsidRDefault="0092635F" w:rsidP="00717869">
      <w:pPr>
        <w:rPr>
          <w:b/>
          <w:bCs/>
          <w:noProof/>
        </w:rPr>
      </w:pPr>
    </w:p>
    <w:p w14:paraId="0055197E" w14:textId="1D720A8A" w:rsidR="0092635F" w:rsidRPr="007C0C4B" w:rsidRDefault="00362EBD" w:rsidP="00717869">
      <w:pPr>
        <w:rPr>
          <w:b/>
          <w:bCs/>
          <w:noProof/>
        </w:rPr>
      </w:pPr>
      <w:r>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314C46D3">
                <wp:simplePos x="0" y="0"/>
                <wp:positionH relativeFrom="column">
                  <wp:posOffset>554539</wp:posOffset>
                </wp:positionH>
                <wp:positionV relativeFrom="paragraph">
                  <wp:posOffset>34351</wp:posOffset>
                </wp:positionV>
                <wp:extent cx="5279923" cy="2037144"/>
                <wp:effectExtent l="0" t="0" r="0" b="1270"/>
                <wp:wrapNone/>
                <wp:docPr id="942667389" name="Zone de texte 7"/>
                <wp:cNvGraphicFramePr/>
                <a:graphic xmlns:a="http://schemas.openxmlformats.org/drawingml/2006/main">
                  <a:graphicData uri="http://schemas.microsoft.com/office/word/2010/wordprocessingShape">
                    <wps:wsp>
                      <wps:cNvSpPr txBox="1"/>
                      <wps:spPr>
                        <a:xfrm>
                          <a:off x="0" y="0"/>
                          <a:ext cx="5279923" cy="2037144"/>
                        </a:xfrm>
                        <a:prstGeom prst="rect">
                          <a:avLst/>
                        </a:prstGeom>
                        <a:noFill/>
                        <a:ln w="6350">
                          <a:noFill/>
                        </a:ln>
                      </wps:spPr>
                      <wps:txb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047223B1" w:rsidR="00362EBD" w:rsidRPr="00362EBD" w:rsidRDefault="00EF71D3"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65pt;margin-top:2.7pt;width:415.75pt;height:160.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" filled="f" stroked="f" strokeweight=".5pt">
                <v:textbo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047223B1" w:rsidR="00362EBD" w:rsidRPr="00362EBD" w:rsidRDefault="00EF71D3"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v:textbox>
              </v:shape>
            </w:pict>
          </mc:Fallback>
        </mc:AlternateContent>
      </w:r>
    </w:p>
    <w:p w14:paraId="7F936443" w14:textId="25551F7F"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6DB0A82C" w:rsidR="0092635F" w:rsidRPr="007C0C4B" w:rsidRDefault="000D69AE" w:rsidP="00717869">
      <w:pPr>
        <w:rPr>
          <w:b/>
          <w:bCs/>
          <w:noProof/>
        </w:rPr>
      </w:pPr>
      <w:r>
        <w:rPr>
          <w:b/>
          <w:bCs/>
          <w:noProof/>
        </w:rPr>
        <w:t xml:space="preserve"> </w:t>
      </w:r>
    </w:p>
    <w:p w14:paraId="3ABE615B" w14:textId="57FA3A87" w:rsidR="00717869" w:rsidRPr="007C0C4B" w:rsidRDefault="000D69AE" w:rsidP="00717869">
      <w:pPr>
        <w:rPr>
          <w:b/>
          <w:bCs/>
          <w:noProof/>
          <w:sz w:val="48"/>
          <w:szCs w:val="48"/>
        </w:rPr>
      </w:pPr>
      <w:r w:rsidRPr="007C0C4B">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5C150EDB">
                <wp:simplePos x="0" y="0"/>
                <wp:positionH relativeFrom="column">
                  <wp:posOffset>1092200</wp:posOffset>
                </wp:positionH>
                <wp:positionV relativeFrom="paragraph">
                  <wp:posOffset>213360</wp:posOffset>
                </wp:positionV>
                <wp:extent cx="2273300" cy="550545"/>
                <wp:effectExtent l="0" t="0" r="0" b="1905"/>
                <wp:wrapNone/>
                <wp:docPr id="1327156838" name="Text Box 2"/>
                <wp:cNvGraphicFramePr/>
                <a:graphic xmlns:a="http://schemas.openxmlformats.org/drawingml/2006/main">
                  <a:graphicData uri="http://schemas.microsoft.com/office/word/2010/wordprocessingShape">
                    <wps:wsp>
                      <wps:cNvSpPr txBox="1"/>
                      <wps:spPr>
                        <a:xfrm>
                          <a:off x="0" y="0"/>
                          <a:ext cx="2273300" cy="550545"/>
                        </a:xfrm>
                        <a:prstGeom prst="rect">
                          <a:avLst/>
                        </a:prstGeom>
                        <a:noFill/>
                        <a:ln w="6350">
                          <a:noFill/>
                        </a:ln>
                      </wps:spPr>
                      <wps:txbx>
                        <w:txbxContent>
                          <w:p w14:paraId="2E200B4F" w14:textId="07734BCB" w:rsidR="0092635F" w:rsidRPr="00CB0AF6" w:rsidRDefault="00AE7BE4"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Luxembourg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86pt;margin-top:16.8pt;width:179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" filled="f" stroked="f" strokeweight=".5pt">
                <v:textbox>
                  <w:txbxContent>
                    <w:p w14:paraId="2E200B4F" w14:textId="07734BCB" w:rsidR="0092635F" w:rsidRPr="00CB0AF6" w:rsidRDefault="00AE7BE4"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Luxembourg</w:t>
                      </w:r>
                    </w:p>
                  </w:txbxContent>
                </v:textbox>
              </v:shape>
            </w:pict>
          </mc:Fallback>
        </mc:AlternateContent>
      </w: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6942D61">
              <v:roundrect id="Rounded Rectangle 3" style="position:absolute;margin-left:51.3pt;margin-top:16.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" arcsize=".5" w14:anchorId="707B6972">
                <v:stroke joinstyle="miter"/>
              </v:roundrect>
            </w:pict>
          </mc:Fallback>
        </mc:AlternateContent>
      </w:r>
      <w:r w:rsidR="00717869" w:rsidRPr="007C0C4B">
        <w:rPr>
          <w:b/>
          <w:bCs/>
          <w:noProof/>
        </w:rPr>
        <w:br/>
      </w:r>
      <w:r w:rsidR="00717869" w:rsidRPr="007C0C4B">
        <w:rPr>
          <w:b/>
          <w:bCs/>
          <w:noProof/>
        </w:rPr>
        <w:br/>
      </w:r>
    </w:p>
    <w:p w14:paraId="222CDAFD" w14:textId="74A25747" w:rsidR="001835C7" w:rsidRDefault="001835C7">
      <w:pPr>
        <w:spacing w:after="0" w:line="240" w:lineRule="auto"/>
        <w:rPr>
          <w:noProof/>
        </w:rPr>
        <w:sectPr w:rsidR="001835C7" w:rsidSect="00EF71D3">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p>
    <w:p w14:paraId="333CFF33" w14:textId="135D12AE" w:rsidR="00397AD4" w:rsidRPr="00A57D56" w:rsidRDefault="00397AD4" w:rsidP="00A57D56">
      <w:pPr>
        <w:pStyle w:val="TOCHeading"/>
        <w:rPr>
          <w:noProof/>
          <w:color w:val="0046FF"/>
        </w:rPr>
        <w:sectPr w:rsidR="00397AD4" w:rsidRPr="00A57D56" w:rsidSect="001835C7">
          <w:headerReference w:type="default" r:id="rId24"/>
          <w:footerReference w:type="default" r:id="rId25"/>
          <w:type w:val="continuous"/>
          <w:pgSz w:w="11906" w:h="16838"/>
          <w:pgMar w:top="1636" w:right="1440" w:bottom="1440" w:left="1440" w:header="708" w:footer="708" w:gutter="0"/>
          <w:cols w:space="708"/>
          <w:docGrid w:linePitch="360"/>
        </w:sectPr>
      </w:pPr>
    </w:p>
    <w:p w14:paraId="6A95C9C4" w14:textId="77777777" w:rsidR="00A57D56" w:rsidRDefault="00A57D56">
      <w:pPr>
        <w:spacing w:after="0" w:line="240" w:lineRule="auto"/>
        <w:rPr>
          <w:b/>
          <w:bCs/>
          <w:noProof/>
          <w:color w:val="0046FF"/>
          <w:sz w:val="52"/>
          <w:szCs w:val="52"/>
          <w:lang w:val="en-GB"/>
        </w:rPr>
      </w:pPr>
      <w:bookmarkStart w:id="2" w:name="_Toc220422727"/>
      <w:bookmarkStart w:id="3" w:name="_Hlk225709922"/>
      <w:bookmarkStart w:id="4" w:name="_Toc229042778"/>
      <w:r>
        <w:rPr>
          <w:noProof/>
          <w:lang w:val="en-GB"/>
        </w:rPr>
        <w:br w:type="page"/>
      </w:r>
    </w:p>
    <w:p w14:paraId="4894A53A" w14:textId="0F5C7F8C" w:rsidR="00887B34" w:rsidRDefault="7F724FA5" w:rsidP="00887B34">
      <w:pPr>
        <w:pStyle w:val="Heading1"/>
        <w:jc w:val="both"/>
        <w:rPr>
          <w:noProof/>
          <w:lang w:val="en-GB"/>
        </w:rPr>
      </w:pPr>
      <w:r w:rsidRPr="6917DAFC">
        <w:rPr>
          <w:noProof/>
          <w:lang w:val="en-GB"/>
        </w:rPr>
        <w:t>Executive summary</w:t>
      </w:r>
      <w:bookmarkEnd w:id="2"/>
      <w:bookmarkEnd w:id="3"/>
      <w:bookmarkEnd w:id="4"/>
    </w:p>
    <w:p w14:paraId="60D1F4D0" w14:textId="77777777" w:rsidR="001E4C78" w:rsidRDefault="001E4C78" w:rsidP="001E4C78">
      <w:pPr>
        <w:pStyle w:val="paragraph"/>
        <w:spacing w:before="0" w:beforeAutospacing="0" w:after="0" w:afterAutospacing="0"/>
        <w:jc w:val="both"/>
        <w:textAlignment w:val="baseline"/>
        <w:rPr>
          <w:rStyle w:val="eop"/>
          <w:rFonts w:asciiTheme="minorHAnsi" w:hAnsiTheme="minorHAnsi" w:cstheme="minorHAnsi"/>
          <w:noProof/>
          <w:sz w:val="22"/>
          <w:szCs w:val="22"/>
        </w:rPr>
      </w:pPr>
      <w:bookmarkStart w:id="5" w:name="_Toc231830435"/>
      <w:r w:rsidRPr="001E4C78">
        <w:rPr>
          <w:rStyle w:val="normaltextrun"/>
          <w:rFonts w:asciiTheme="minorHAnsi" w:hAnsiTheme="minorHAnsi" w:cstheme="minorHAnsi"/>
          <w:noProof/>
          <w:sz w:val="22"/>
          <w:szCs w:val="22"/>
        </w:rPr>
        <w:t>Overall, Luxembourg combines near-universal connectivity with a sovereign digital infrastructure strategy anchored in quantum technologies, AI Factory investment and world-class cybersecurity. However, cloud and data analytics adoption among companies trails the EU average despite strong AI performance, and basic digital skills are growing too slowly, with persistent gaps among those with a low level of education and older citizens.</w:t>
      </w:r>
      <w:r w:rsidRPr="001E4C78">
        <w:rPr>
          <w:rStyle w:val="eop"/>
          <w:rFonts w:asciiTheme="minorHAnsi" w:hAnsiTheme="minorHAnsi" w:cstheme="minorHAnsi"/>
          <w:noProof/>
          <w:sz w:val="22"/>
          <w:szCs w:val="22"/>
        </w:rPr>
        <w:t> </w:t>
      </w:r>
    </w:p>
    <w:p w14:paraId="28124EB1" w14:textId="77777777" w:rsidR="00B253B9" w:rsidRPr="001E4C78" w:rsidRDefault="00B253B9" w:rsidP="001E4C78">
      <w:pPr>
        <w:pStyle w:val="paragraph"/>
        <w:spacing w:before="0" w:beforeAutospacing="0" w:after="0" w:afterAutospacing="0"/>
        <w:jc w:val="both"/>
        <w:textAlignment w:val="baseline"/>
        <w:rPr>
          <w:rFonts w:asciiTheme="minorHAnsi" w:hAnsiTheme="minorHAnsi" w:cstheme="minorHAnsi"/>
          <w:noProof/>
          <w:sz w:val="22"/>
          <w:szCs w:val="22"/>
        </w:rPr>
      </w:pPr>
    </w:p>
    <w:p w14:paraId="77EC6A6B" w14:textId="2F0F3781" w:rsidR="00B253B9" w:rsidRDefault="001E4C78" w:rsidP="001E4C78">
      <w:pPr>
        <w:pStyle w:val="paragraph"/>
        <w:spacing w:before="0" w:beforeAutospacing="0" w:after="0" w:afterAutospacing="0"/>
        <w:jc w:val="both"/>
        <w:textAlignment w:val="baseline"/>
        <w:rPr>
          <w:rStyle w:val="eop"/>
          <w:rFonts w:asciiTheme="minorHAnsi" w:hAnsiTheme="minorHAnsi" w:cstheme="minorHAnsi"/>
          <w:noProof/>
          <w:sz w:val="22"/>
          <w:szCs w:val="22"/>
        </w:rPr>
      </w:pPr>
      <w:r w:rsidRPr="001E4C78">
        <w:rPr>
          <w:rStyle w:val="normaltextrun"/>
          <w:rFonts w:asciiTheme="minorHAnsi" w:hAnsiTheme="minorHAnsi" w:cstheme="minorHAnsi"/>
          <w:noProof/>
          <w:sz w:val="22"/>
          <w:szCs w:val="22"/>
        </w:rPr>
        <w:t>The weaknesses identified in business digitalisation have direct implications for Luxembourg’s competitiveness and economic resilience. An economy as specialised and internationally exposed as Luxembourg’s depends critically on the ability of its enterprise base to adopt productivity-enhancing digital tools. Cloud and data analytics gaps in particular limit businesses’ ability to scale operations, access cross-border markets and leverage the data infrastructure Luxembourg is building at national level. The drop observed in 2024 in the share of women ICT specialists has only been partially corrected in 2025, signalling a structural vulnerability in a labour market already reliant on attracting international talent.</w:t>
      </w:r>
      <w:r w:rsidRPr="001E4C78">
        <w:rPr>
          <w:rStyle w:val="eop"/>
          <w:rFonts w:asciiTheme="minorHAnsi" w:hAnsiTheme="minorHAnsi" w:cstheme="minorHAnsi"/>
          <w:noProof/>
          <w:sz w:val="22"/>
          <w:szCs w:val="22"/>
        </w:rPr>
        <w:t> </w:t>
      </w:r>
    </w:p>
    <w:p w14:paraId="6FE421FB" w14:textId="77777777" w:rsidR="004F0253" w:rsidRPr="001E4C78" w:rsidRDefault="004F0253" w:rsidP="001E4C78">
      <w:pPr>
        <w:pStyle w:val="paragraph"/>
        <w:spacing w:before="0" w:beforeAutospacing="0" w:after="0" w:afterAutospacing="0"/>
        <w:jc w:val="both"/>
        <w:textAlignment w:val="baseline"/>
        <w:rPr>
          <w:rFonts w:asciiTheme="minorHAnsi" w:hAnsiTheme="minorHAnsi" w:cstheme="minorHAnsi"/>
          <w:noProof/>
          <w:sz w:val="22"/>
          <w:szCs w:val="22"/>
        </w:rPr>
      </w:pPr>
    </w:p>
    <w:p w14:paraId="5714D7D8" w14:textId="472FDD7C" w:rsidR="001E4C78" w:rsidRDefault="001E4C78" w:rsidP="001E4C78">
      <w:pPr>
        <w:pStyle w:val="paragraph"/>
        <w:spacing w:before="0" w:beforeAutospacing="0" w:after="0" w:afterAutospacing="0"/>
        <w:jc w:val="both"/>
        <w:textAlignment w:val="baseline"/>
        <w:rPr>
          <w:rStyle w:val="eop"/>
          <w:rFonts w:asciiTheme="minorHAnsi" w:hAnsiTheme="minorHAnsi" w:cstheme="minorHAnsi"/>
          <w:noProof/>
          <w:sz w:val="22"/>
          <w:szCs w:val="22"/>
        </w:rPr>
      </w:pPr>
      <w:r w:rsidRPr="001E4C78">
        <w:rPr>
          <w:rStyle w:val="normaltextrun"/>
          <w:rFonts w:asciiTheme="minorHAnsi" w:hAnsiTheme="minorHAnsi" w:cstheme="minorHAnsi"/>
          <w:noProof/>
          <w:sz w:val="22"/>
          <w:szCs w:val="22"/>
        </w:rPr>
        <w:t>Luxembourg can, however, count on several digital leadership assets that position it well for the decade ahead. In 2025, the Government of Luxembourg launched the national strategic initiative </w:t>
      </w:r>
      <w:hyperlink r:id="rId26" w:tgtFrame="_blank" w:history="1">
        <w:r w:rsidRPr="001E4C78">
          <w:rPr>
            <w:rStyle w:val="normaltextrun"/>
            <w:rFonts w:asciiTheme="minorHAnsi" w:hAnsiTheme="minorHAnsi" w:cstheme="minorHAnsi"/>
            <w:noProof/>
            <w:color w:val="0563C1"/>
            <w:sz w:val="22"/>
            <w:szCs w:val="22"/>
            <w:u w:val="single"/>
          </w:rPr>
          <w:t>“Accelerating Digital Sovereignty 2030”</w:t>
        </w:r>
      </w:hyperlink>
      <w:r w:rsidRPr="001E4C78">
        <w:rPr>
          <w:rStyle w:val="normaltextrun"/>
          <w:rFonts w:asciiTheme="minorHAnsi" w:hAnsiTheme="minorHAnsi" w:cstheme="minorHAnsi"/>
          <w:noProof/>
          <w:sz w:val="22"/>
          <w:szCs w:val="22"/>
        </w:rPr>
        <w:t>, comprising three complementary strategies on data, artificial intelligence, and quantum technologies, supported by strategic actions and flagship projects in priority domains, aimed at benefiting public authorities, citizens and businesses. Selected in December 2024 as one of the first seven countries to host an </w:t>
      </w:r>
      <w:hyperlink r:id="rId27" w:tgtFrame="_blank" w:history="1">
        <w:r w:rsidRPr="001E4C78">
          <w:rPr>
            <w:rStyle w:val="normaltextrun"/>
            <w:rFonts w:asciiTheme="minorHAnsi" w:hAnsiTheme="minorHAnsi" w:cstheme="minorHAnsi"/>
            <w:noProof/>
            <w:color w:val="0563C1"/>
            <w:sz w:val="22"/>
            <w:szCs w:val="22"/>
            <w:u w:val="single"/>
          </w:rPr>
          <w:t>EuroHPC AI Factory</w:t>
        </w:r>
      </w:hyperlink>
      <w:r w:rsidRPr="001E4C78">
        <w:rPr>
          <w:rStyle w:val="normaltextrun"/>
          <w:rFonts w:asciiTheme="minorHAnsi" w:hAnsiTheme="minorHAnsi" w:cstheme="minorHAnsi"/>
          <w:noProof/>
          <w:sz w:val="22"/>
          <w:szCs w:val="22"/>
        </w:rPr>
        <w:t>, Luxembourg is deploying </w:t>
      </w:r>
      <w:hyperlink r:id="rId28" w:tgtFrame="_blank" w:history="1">
        <w:r w:rsidRPr="001E4C78">
          <w:rPr>
            <w:rStyle w:val="normaltextrun"/>
            <w:rFonts w:asciiTheme="minorHAnsi" w:hAnsiTheme="minorHAnsi" w:cstheme="minorHAnsi"/>
            <w:noProof/>
            <w:color w:val="0563C1"/>
            <w:sz w:val="22"/>
            <w:szCs w:val="22"/>
            <w:u w:val="single"/>
          </w:rPr>
          <w:t>MeluXina-AI</w:t>
        </w:r>
      </w:hyperlink>
      <w:r w:rsidRPr="001E4C78">
        <w:rPr>
          <w:rStyle w:val="normaltextrun"/>
          <w:rFonts w:asciiTheme="minorHAnsi" w:hAnsiTheme="minorHAnsi" w:cstheme="minorHAnsi"/>
          <w:noProof/>
          <w:sz w:val="22"/>
          <w:szCs w:val="22"/>
        </w:rPr>
        <w:t>, a new AI-optimised supercomputer operated by LuxProvide alongside the existing MeluXina infrastructure, providing sovereign high-performance computing to businesses, researchers and public administrations from the second half of 2026. The landmark cross-border quantum key distribution link achieved in June 2025, and the forthcoming </w:t>
      </w:r>
      <w:hyperlink r:id="rId29" w:tgtFrame="_blank" w:history="1">
        <w:r w:rsidRPr="001E4C78">
          <w:rPr>
            <w:rStyle w:val="normaltextrun"/>
            <w:rFonts w:asciiTheme="minorHAnsi" w:hAnsiTheme="minorHAnsi" w:cstheme="minorHAnsi"/>
            <w:noProof/>
            <w:color w:val="0563C1"/>
            <w:sz w:val="22"/>
            <w:szCs w:val="22"/>
            <w:u w:val="single"/>
          </w:rPr>
          <w:t>MeluXina-Q</w:t>
        </w:r>
      </w:hyperlink>
      <w:r w:rsidRPr="001E4C78">
        <w:rPr>
          <w:rStyle w:val="normaltextrun"/>
          <w:rFonts w:asciiTheme="minorHAnsi" w:hAnsiTheme="minorHAnsi" w:cstheme="minorHAnsi"/>
          <w:noProof/>
          <w:sz w:val="22"/>
          <w:szCs w:val="22"/>
        </w:rPr>
        <w:t> quantum computer confirm Luxembourg’s ambition to be a strategically significant node in Europe’s emerging quantum infrastructure. The Mistral AI partnership and the </w:t>
      </w:r>
      <w:hyperlink r:id="rId30" w:tgtFrame="_blank" w:history="1">
        <w:r w:rsidRPr="001E4C78">
          <w:rPr>
            <w:rStyle w:val="normaltextrun"/>
            <w:rFonts w:asciiTheme="minorHAnsi" w:hAnsiTheme="minorHAnsi" w:cstheme="minorHAnsi"/>
            <w:noProof/>
            <w:color w:val="0563C1"/>
            <w:sz w:val="22"/>
            <w:szCs w:val="22"/>
            <w:u w:val="single"/>
          </w:rPr>
          <w:t>AI4LUX</w:t>
        </w:r>
      </w:hyperlink>
      <w:r w:rsidRPr="001E4C78">
        <w:rPr>
          <w:rStyle w:val="normaltextrun"/>
          <w:rFonts w:asciiTheme="minorHAnsi" w:hAnsiTheme="minorHAnsi" w:cstheme="minorHAnsi"/>
          <w:noProof/>
          <w:sz w:val="22"/>
          <w:szCs w:val="22"/>
        </w:rPr>
        <w:t> campaign signal a new model of sovereign AI deployment in public services. Luxembourg’s dual positioning as a financial centre and a data-sovereign digital hub offers a distinctive basis for developing integrated public-private financing vehicles for the next generation of digital ventures.</w:t>
      </w:r>
      <w:r w:rsidRPr="001E4C78">
        <w:rPr>
          <w:rStyle w:val="eop"/>
          <w:rFonts w:asciiTheme="minorHAnsi" w:hAnsiTheme="minorHAnsi" w:cstheme="minorHAnsi"/>
          <w:noProof/>
          <w:sz w:val="22"/>
          <w:szCs w:val="22"/>
        </w:rPr>
        <w:t> </w:t>
      </w:r>
    </w:p>
    <w:p w14:paraId="0A57E64F" w14:textId="77777777" w:rsidR="00B253B9" w:rsidRPr="001E4C78" w:rsidRDefault="00B253B9" w:rsidP="001E4C78">
      <w:pPr>
        <w:pStyle w:val="paragraph"/>
        <w:spacing w:before="0" w:beforeAutospacing="0" w:after="0" w:afterAutospacing="0"/>
        <w:jc w:val="both"/>
        <w:textAlignment w:val="baseline"/>
        <w:rPr>
          <w:rFonts w:asciiTheme="minorHAnsi" w:hAnsiTheme="minorHAnsi" w:cstheme="minorHAnsi"/>
          <w:noProof/>
          <w:sz w:val="22"/>
          <w:szCs w:val="22"/>
        </w:rPr>
      </w:pPr>
    </w:p>
    <w:p w14:paraId="2AD1DCC5" w14:textId="49B8F17B" w:rsidR="00E92F98" w:rsidRPr="002A2B0C" w:rsidRDefault="00E92F98" w:rsidP="00E92F98">
      <w:pPr>
        <w:pStyle w:val="Heading1"/>
        <w:jc w:val="both"/>
        <w:rPr>
          <w:rFonts w:eastAsia="Times New Roman"/>
          <w:noProof/>
          <w:kern w:val="0"/>
          <w:lang w:eastAsia="en-GB"/>
          <w14:ligatures w14:val="none"/>
        </w:rPr>
      </w:pPr>
      <w:r w:rsidRPr="00495803">
        <w:rPr>
          <w:rStyle w:val="normaltextrun"/>
          <w:rFonts w:ascii="Calibri Light" w:eastAsia="Times New Roman" w:hAnsi="Calibri Light" w:cs="Calibri Light"/>
          <w:noProof/>
          <w:kern w:val="0"/>
          <w:sz w:val="30"/>
          <w:szCs w:val="30"/>
          <w:lang w:val="en-GB" w:eastAsia="en-GB"/>
          <w14:ligatures w14:val="none"/>
        </w:rPr>
        <w:t>Luxembourg in the Digital Decade</w:t>
      </w:r>
      <w:bookmarkEnd w:id="5"/>
    </w:p>
    <w:p w14:paraId="500F3CA5" w14:textId="77777777" w:rsidR="00E92F98" w:rsidRPr="00646AFA" w:rsidRDefault="00E92F98" w:rsidP="00E92F98">
      <w:pPr>
        <w:jc w:val="both"/>
        <w:rPr>
          <w:rFonts w:eastAsiaTheme="minorEastAsia"/>
          <w:noProof/>
          <w:color w:val="000000" w:themeColor="text1"/>
        </w:rPr>
      </w:pPr>
      <w:r w:rsidRPr="3FA55A92">
        <w:rPr>
          <w:rFonts w:ascii="Calibri" w:eastAsia="Calibri" w:hAnsi="Calibri" w:cs="Calibri"/>
          <w:noProof/>
          <w:color w:val="000000" w:themeColor="text1"/>
        </w:rPr>
        <w:t>Luxembourg shows a high level of ambition in its contribution to the Digital Decade having set 12 national targets (out of 14 possible), 100% of which aligned with the EU 2030 targets</w:t>
      </w:r>
      <w:r w:rsidRPr="00A013CC">
        <w:rPr>
          <w:rFonts w:ascii="Calibri" w:eastAsia="Calibri" w:hAnsi="Calibri" w:cs="Calibri"/>
          <w:noProof/>
          <w:color w:val="000000" w:themeColor="text1"/>
        </w:rPr>
        <w:t xml:space="preserve"> </w:t>
      </w:r>
      <w:r w:rsidRPr="00604291">
        <w:rPr>
          <w:rFonts w:ascii="Calibri" w:eastAsia="Calibri" w:hAnsi="Calibri" w:cs="Calibri"/>
          <w:noProof/>
          <w:color w:val="000000" w:themeColor="text1"/>
        </w:rPr>
        <w:t xml:space="preserve">In its national roadmap, Luxembourg provided 12 trajectory points for 2025 (out of 13 analysed). The country is following them moderately well with 67% considered </w:t>
      </w:r>
      <w:r>
        <w:rPr>
          <w:rFonts w:ascii="Calibri" w:eastAsia="Calibri" w:hAnsi="Calibri" w:cs="Calibri"/>
          <w:noProof/>
          <w:color w:val="000000" w:themeColor="text1"/>
        </w:rPr>
        <w:t xml:space="preserve">to be </w:t>
      </w:r>
      <w:r w:rsidRPr="00604291">
        <w:rPr>
          <w:rFonts w:ascii="Calibri" w:eastAsia="Calibri" w:hAnsi="Calibri" w:cs="Calibri"/>
          <w:noProof/>
          <w:color w:val="000000" w:themeColor="text1"/>
        </w:rPr>
        <w:t>on track.</w:t>
      </w:r>
      <w:r w:rsidRPr="3FA55A92">
        <w:rPr>
          <w:rFonts w:ascii="Calibri" w:eastAsia="Calibri" w:hAnsi="Calibri" w:cs="Calibri"/>
          <w:noProof/>
          <w:color w:val="000000" w:themeColor="text1"/>
        </w:rPr>
        <w:t xml:space="preserve"> </w:t>
      </w:r>
      <w:r w:rsidRPr="3FA55A92">
        <w:rPr>
          <w:rFonts w:eastAsiaTheme="minorEastAsia"/>
          <w:noProof/>
          <w:color w:val="000000" w:themeColor="text1"/>
        </w:rPr>
        <w:t>Luxembourg addressed 100% of the 6 recommendations issued by the Commission in 2025, either by implementing significant policy changes (17%) or making some changes (83%) through new measures</w:t>
      </w:r>
      <w:r w:rsidRPr="3FA55A92">
        <w:rPr>
          <w:rFonts w:eastAsiaTheme="minorEastAsia"/>
          <w:noProof/>
          <w:color w:val="000000" w:themeColor="text1"/>
          <w:lang w:val="en-US"/>
        </w:rPr>
        <w:t>.</w:t>
      </w:r>
      <w:r w:rsidRPr="3FA55A92">
        <w:rPr>
          <w:rFonts w:eastAsiaTheme="minorEastAsia"/>
          <w:noProof/>
          <w:color w:val="000000" w:themeColor="text1"/>
        </w:rPr>
        <w:t xml:space="preserve"> According to the national roadmap, by the end of 2026, 1</w:t>
      </w:r>
      <w:r>
        <w:rPr>
          <w:rFonts w:eastAsiaTheme="minorEastAsia"/>
          <w:noProof/>
          <w:color w:val="000000" w:themeColor="text1"/>
        </w:rPr>
        <w:t>8</w:t>
      </w:r>
      <w:r w:rsidRPr="3FA55A92">
        <w:rPr>
          <w:rFonts w:eastAsiaTheme="minorEastAsia"/>
          <w:noProof/>
          <w:color w:val="000000" w:themeColor="text1"/>
        </w:rPr>
        <w:t xml:space="preserve">% of the measures will </w:t>
      </w:r>
      <w:r w:rsidRPr="3FA55A92">
        <w:rPr>
          <w:rFonts w:ascii="Calibri" w:eastAsia="Calibri" w:hAnsi="Calibri" w:cs="Calibri"/>
          <w:noProof/>
          <w:color w:val="000000" w:themeColor="text1"/>
        </w:rPr>
        <w:t>come to an end. The total public budget associated to these measures is EUR 40 million, representing 8% of the total public budget outlined in the roadmap.</w:t>
      </w:r>
    </w:p>
    <w:p w14:paraId="73965FED" w14:textId="411C525C" w:rsidR="00E92F98" w:rsidRPr="00604291" w:rsidRDefault="00E92F98" w:rsidP="00E92F98">
      <w:pPr>
        <w:spacing w:before="240" w:after="240"/>
        <w:jc w:val="both"/>
        <w:rPr>
          <w:noProof/>
        </w:rPr>
      </w:pPr>
      <w:r w:rsidRPr="0D7A4743">
        <w:rPr>
          <w:rFonts w:ascii="Calibri" w:eastAsia="Calibri" w:hAnsi="Calibri" w:cs="Calibri"/>
          <w:noProof/>
        </w:rPr>
        <w:t xml:space="preserve">According to the special Eurobarometer on the Digital Decade 2026, 79% of Luxembourg people consider that digital policy should have a </w:t>
      </w:r>
      <w:r w:rsidR="5DCC4850" w:rsidRPr="0D7A4743">
        <w:rPr>
          <w:rFonts w:ascii="Calibri" w:eastAsia="Calibri" w:hAnsi="Calibri" w:cs="Calibri"/>
          <w:noProof/>
        </w:rPr>
        <w:t xml:space="preserve">high or </w:t>
      </w:r>
      <w:r w:rsidRPr="0D7A4743">
        <w:rPr>
          <w:rFonts w:ascii="Calibri" w:eastAsia="Calibri" w:hAnsi="Calibri" w:cs="Calibri"/>
          <w:noProof/>
        </w:rPr>
        <w:t>very high priority for the EU in shaping our future in Europe. They also think that, in the next 10 years, the EU should cooperate with Member States to reinforce cybersecurity and protection from online threats (100%), build an independent European digital infrastructure including broadband, 5G, cloud and semiconductors (90%), and promote digital education and skills programs (86%).</w:t>
      </w:r>
    </w:p>
    <w:p w14:paraId="6AEB0D11" w14:textId="77777777" w:rsidR="00E92F98" w:rsidRPr="00604291" w:rsidRDefault="00E92F98" w:rsidP="00E92F98">
      <w:pPr>
        <w:spacing w:before="240" w:after="240"/>
        <w:jc w:val="both"/>
        <w:rPr>
          <w:rStyle w:val="normaltextrun"/>
          <w:noProof/>
        </w:rPr>
      </w:pPr>
      <w:r w:rsidRPr="00604291">
        <w:rPr>
          <w:rFonts w:ascii="Calibri" w:eastAsia="Calibri" w:hAnsi="Calibri" w:cs="Calibri"/>
          <w:noProof/>
        </w:rPr>
        <w:t>In addition, 87% of Luxembourg respondents think that the EU should reduce its dependencies on digital from third countries, and 89% that the EU should prioritise investments in digital infrastructure and services that are developed and controlled in Europe. Meanwhile, 69% would be willing to switch to an EU-based digital service provider even if it means slightly higher costs.</w:t>
      </w:r>
    </w:p>
    <w:p w14:paraId="6B61FAFC" w14:textId="4710FE39" w:rsidR="00E92F98" w:rsidRDefault="00E92F98" w:rsidP="00E92F98">
      <w:pPr>
        <w:pStyle w:val="paragraph"/>
        <w:spacing w:before="0" w:beforeAutospacing="0" w:after="0" w:afterAutospacing="0"/>
        <w:jc w:val="both"/>
        <w:textAlignment w:val="baseline"/>
        <w:rPr>
          <w:rStyle w:val="normaltextrun"/>
          <w:noProof/>
        </w:rPr>
      </w:pPr>
      <w:r>
        <w:rPr>
          <w:rStyle w:val="normaltextrun"/>
          <w:rFonts w:ascii="Calibri Light" w:hAnsi="Calibri Light" w:cs="Calibri Light"/>
          <w:b/>
          <w:bCs/>
          <w:noProof/>
          <w:color w:val="0046FF"/>
          <w:sz w:val="30"/>
          <w:szCs w:val="30"/>
        </w:rPr>
        <w:t>Funding for digital and multi-</w:t>
      </w:r>
      <w:r w:rsidRPr="007975FB">
        <w:rPr>
          <w:rStyle w:val="normaltextrun"/>
          <w:rFonts w:ascii="Calibri Light" w:hAnsi="Calibri Light" w:cs="Calibri Light"/>
          <w:b/>
          <w:bCs/>
          <w:noProof/>
          <w:color w:val="0046FF"/>
          <w:sz w:val="30"/>
          <w:szCs w:val="30"/>
        </w:rPr>
        <w:t>country projects </w:t>
      </w:r>
      <w:r w:rsidRPr="007975FB">
        <w:rPr>
          <w:rStyle w:val="normaltextrun"/>
          <w:noProof/>
        </w:rPr>
        <w:t> </w:t>
      </w:r>
    </w:p>
    <w:p w14:paraId="3F8B8A24" w14:textId="77777777" w:rsidR="00AB6CAA" w:rsidRPr="00E92F98" w:rsidRDefault="00AB6CAA" w:rsidP="00E92F98">
      <w:pPr>
        <w:pStyle w:val="paragraph"/>
        <w:spacing w:before="0" w:beforeAutospacing="0" w:after="0" w:afterAutospacing="0"/>
        <w:jc w:val="both"/>
        <w:textAlignment w:val="baseline"/>
        <w:rPr>
          <w:noProof/>
        </w:rPr>
      </w:pPr>
    </w:p>
    <w:p w14:paraId="28E68797" w14:textId="77777777" w:rsidR="00E92F98" w:rsidRPr="009A4B73" w:rsidRDefault="00E92F98" w:rsidP="00E92F98">
      <w:pPr>
        <w:jc w:val="both"/>
        <w:rPr>
          <w:rFonts w:ascii="Calibri" w:eastAsia="Calibri" w:hAnsi="Calibri" w:cs="Calibri"/>
          <w:noProof/>
          <w:lang w:val="en-US"/>
        </w:rPr>
      </w:pPr>
      <w:r w:rsidRPr="009A4B73">
        <w:rPr>
          <w:rFonts w:ascii="Calibri" w:eastAsia="Calibri" w:hAnsi="Calibri" w:cs="Calibri"/>
          <w:noProof/>
          <w:lang w:val="en-US"/>
        </w:rPr>
        <w:t xml:space="preserve">Luxembourg allocates </w:t>
      </w:r>
      <w:r>
        <w:rPr>
          <w:rFonts w:ascii="Calibri" w:eastAsia="Calibri" w:hAnsi="Calibri" w:cs="Calibri"/>
          <w:noProof/>
          <w:lang w:val="en-US"/>
        </w:rPr>
        <w:t>27</w:t>
      </w:r>
      <w:r w:rsidRPr="009A4B73">
        <w:rPr>
          <w:rFonts w:ascii="Calibri" w:eastAsia="Calibri" w:hAnsi="Calibri" w:cs="Calibri"/>
          <w:noProof/>
          <w:lang w:val="en-US"/>
        </w:rPr>
        <w:t xml:space="preserve">% of its total recovery and resilience plan to digital (EUR </w:t>
      </w:r>
      <w:r>
        <w:rPr>
          <w:rFonts w:ascii="Calibri" w:eastAsia="Calibri" w:hAnsi="Calibri" w:cs="Calibri"/>
          <w:noProof/>
          <w:lang w:val="en-US"/>
        </w:rPr>
        <w:t>17</w:t>
      </w:r>
      <w:r w:rsidRPr="009A4B73">
        <w:rPr>
          <w:rFonts w:ascii="Calibri" w:eastAsia="Calibri" w:hAnsi="Calibri" w:cs="Calibri"/>
          <w:noProof/>
          <w:lang w:val="en-US"/>
        </w:rPr>
        <w:t xml:space="preserve"> million). In addition, under cohesion policy, EUR 0.0</w:t>
      </w:r>
      <w:r>
        <w:rPr>
          <w:rFonts w:ascii="Calibri" w:eastAsia="Calibri" w:hAnsi="Calibri" w:cs="Calibri"/>
          <w:noProof/>
          <w:lang w:val="en-US"/>
        </w:rPr>
        <w:t>1</w:t>
      </w:r>
      <w:r w:rsidRPr="009A4B73">
        <w:rPr>
          <w:rFonts w:ascii="Calibri" w:eastAsia="Calibri" w:hAnsi="Calibri" w:cs="Calibri"/>
          <w:noProof/>
          <w:lang w:val="en-US"/>
        </w:rPr>
        <w:t xml:space="preserve"> billion, representing 17% of the country’s total cohesion policy funding, is dedicated to advancing Luxembourg’s digital transformation.  </w:t>
      </w:r>
    </w:p>
    <w:p w14:paraId="7A1AF8F9" w14:textId="2EEC7104" w:rsidR="00264561" w:rsidRPr="00B652D1" w:rsidRDefault="00E92F98" w:rsidP="00E92F98">
      <w:pPr>
        <w:jc w:val="both"/>
        <w:rPr>
          <w:rFonts w:ascii="Calibri" w:eastAsia="Calibri" w:hAnsi="Calibri" w:cs="Calibri"/>
          <w:noProof/>
          <w:lang w:val="en-US"/>
        </w:rPr>
      </w:pPr>
      <w:r w:rsidRPr="6B9C9FCD">
        <w:rPr>
          <w:rFonts w:ascii="Calibri" w:eastAsia="Calibri" w:hAnsi="Calibri" w:cs="Calibri"/>
          <w:noProof/>
          <w:lang w:val="en-US"/>
        </w:rPr>
        <w:t>Luxembourg is a member of the Alliance for Language Technologies</w:t>
      </w:r>
      <w:r>
        <w:rPr>
          <w:rFonts w:ascii="Calibri" w:eastAsia="Calibri" w:hAnsi="Calibri" w:cs="Calibri"/>
          <w:noProof/>
          <w:lang w:val="en-US"/>
        </w:rPr>
        <w:t xml:space="preserve"> </w:t>
      </w:r>
      <w:r w:rsidRPr="000B0100">
        <w:rPr>
          <w:rFonts w:ascii="Calibri" w:eastAsia="Calibri" w:hAnsi="Calibri" w:cs="Calibri"/>
          <w:noProof/>
        </w:rPr>
        <w:t>European</w:t>
      </w:r>
      <w:r w:rsidRPr="00395086">
        <w:rPr>
          <w:rFonts w:ascii="Calibri" w:eastAsia="Calibri" w:hAnsi="Calibri" w:cs="Calibri"/>
          <w:noProof/>
        </w:rPr>
        <w:t xml:space="preserve"> Digital Infrastructure Consortium</w:t>
      </w:r>
      <w:r w:rsidRPr="6B9C9FCD">
        <w:rPr>
          <w:rFonts w:ascii="Calibri" w:eastAsia="Calibri" w:hAnsi="Calibri" w:cs="Calibri"/>
          <w:noProof/>
          <w:lang w:val="en-US"/>
        </w:rPr>
        <w:t xml:space="preserve"> </w:t>
      </w:r>
      <w:r>
        <w:rPr>
          <w:rFonts w:ascii="Calibri" w:eastAsia="Calibri" w:hAnsi="Calibri" w:cs="Calibri"/>
          <w:noProof/>
          <w:lang w:val="en-US"/>
        </w:rPr>
        <w:t>(</w:t>
      </w:r>
      <w:r w:rsidRPr="6B9C9FCD">
        <w:rPr>
          <w:rFonts w:ascii="Calibri" w:eastAsia="Calibri" w:hAnsi="Calibri" w:cs="Calibri"/>
          <w:noProof/>
          <w:lang w:val="en-US"/>
        </w:rPr>
        <w:t>EDIC</w:t>
      </w:r>
      <w:r>
        <w:rPr>
          <w:rFonts w:ascii="Calibri" w:eastAsia="Calibri" w:hAnsi="Calibri" w:cs="Calibri"/>
          <w:noProof/>
          <w:lang w:val="en-US"/>
        </w:rPr>
        <w:t>)</w:t>
      </w:r>
      <w:r w:rsidRPr="6B9C9FCD">
        <w:rPr>
          <w:rFonts w:ascii="Calibri" w:eastAsia="Calibri" w:hAnsi="Calibri" w:cs="Calibri"/>
          <w:noProof/>
          <w:lang w:val="en-US"/>
        </w:rPr>
        <w:t xml:space="preserve">, of the Local Digital Twins towards the CitiVERSE EDIC, of the EUROPEUM EDIC, of the IMPACTS EDIC and of the Digital Commons EDIC. Luxembourgish entities are </w:t>
      </w:r>
      <w:r w:rsidRPr="002A2B0C">
        <w:rPr>
          <w:rFonts w:ascii="Calibri" w:eastAsia="Calibri" w:hAnsi="Calibri" w:cs="Calibri"/>
          <w:noProof/>
          <w:lang w:val="en-US"/>
        </w:rPr>
        <w:t>indirect partners in the IPCEI on Next Generation Cloud Infrastructure and Services (IPCEI-CIS).</w:t>
      </w:r>
      <w:r>
        <w:rPr>
          <w:rFonts w:ascii="Calibri" w:eastAsia="Calibri" w:hAnsi="Calibri" w:cs="Calibri"/>
          <w:noProof/>
          <w:lang w:val="en-US"/>
        </w:rPr>
        <w:t xml:space="preserve"> </w:t>
      </w:r>
      <w:r w:rsidRPr="002A2B0C">
        <w:rPr>
          <w:rFonts w:ascii="Calibri" w:eastAsia="Calibri" w:hAnsi="Calibri" w:cs="Calibri"/>
          <w:noProof/>
        </w:rPr>
        <w:t>Luxembourg also participates in the design of a new, upcoming candidate IPCEI on Artificial Intelligence.</w:t>
      </w:r>
      <w:r w:rsidRPr="002A2B0C">
        <w:rPr>
          <w:rFonts w:ascii="Calibri" w:eastAsia="Calibri" w:hAnsi="Calibri" w:cs="Calibri"/>
          <w:noProof/>
          <w:lang w:val="en-US"/>
        </w:rPr>
        <w:t xml:space="preserve"> Luxembourg is also a participating state of the EuroHPC Joint Undertaking (JU) and of the Chips JU.</w:t>
      </w:r>
    </w:p>
    <w:tbl>
      <w:tblPr>
        <w:tblStyle w:val="TableGrid"/>
        <w:tblW w:w="9262"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2508"/>
        <w:gridCol w:w="892"/>
        <w:gridCol w:w="1145"/>
        <w:gridCol w:w="786"/>
        <w:gridCol w:w="870"/>
        <w:gridCol w:w="10"/>
        <w:gridCol w:w="774"/>
        <w:gridCol w:w="786"/>
        <w:gridCol w:w="10"/>
        <w:gridCol w:w="745"/>
        <w:gridCol w:w="622"/>
        <w:gridCol w:w="114"/>
      </w:tblGrid>
      <w:tr w:rsidR="007F0E5A" w:rsidRPr="007C0C4B" w14:paraId="70353062" w14:textId="77777777" w:rsidTr="002E069A">
        <w:trPr>
          <w:trHeight w:hRule="exact" w:val="454"/>
        </w:trPr>
        <w:tc>
          <w:tcPr>
            <w:tcW w:w="2508" w:type="dxa"/>
            <w:vMerge w:val="restart"/>
            <w:tcBorders>
              <w:top w:val="single" w:sz="4" w:space="0" w:color="8B73FF"/>
              <w:left w:val="single" w:sz="4" w:space="0" w:color="8B73FF"/>
              <w:bottom w:val="single" w:sz="4" w:space="0" w:color="8B73FF"/>
              <w:right w:val="single" w:sz="4" w:space="0" w:color="8B73FF"/>
            </w:tcBorders>
            <w:shd w:val="clear" w:color="auto" w:fill="8B73FF"/>
            <w:vAlign w:val="center"/>
          </w:tcPr>
          <w:p w14:paraId="093DA137" w14:textId="77777777" w:rsidR="007F0E5A" w:rsidRPr="00A5309E" w:rsidRDefault="007F0E5A">
            <w:pPr>
              <w:rPr>
                <w:noProof/>
                <w:color w:val="FFFFFF" w:themeColor="background1"/>
              </w:rPr>
            </w:pPr>
            <w:r w:rsidRPr="00A5309E">
              <w:rPr>
                <w:rFonts w:ascii="Calibri" w:eastAsia="Times New Roman" w:hAnsi="Calibri" w:cs="Calibri"/>
                <w:noProof/>
                <w:color w:val="FFFFFF" w:themeColor="background1"/>
                <w:sz w:val="28"/>
                <w:szCs w:val="28"/>
                <w:lang w:eastAsia="en-IE"/>
              </w:rPr>
              <w:t>Digital Decade KPI</w:t>
            </w:r>
            <w:r w:rsidRPr="00A5309E">
              <w:rPr>
                <w:rFonts w:ascii="Calibri" w:eastAsia="Times New Roman" w:hAnsi="Calibri" w:cs="Calibri"/>
                <w:noProof/>
                <w:color w:val="FFFFFF" w:themeColor="background1"/>
                <w:sz w:val="24"/>
                <w:szCs w:val="24"/>
                <w:lang w:eastAsia="en-IE"/>
              </w:rPr>
              <w:t xml:space="preserve"> </w:t>
            </w:r>
            <w:r w:rsidRPr="00A5309E">
              <w:rPr>
                <w:rFonts w:ascii="Calibri" w:eastAsia="Times New Roman" w:hAnsi="Calibri" w:cs="Calibri"/>
                <w:noProof/>
                <w:color w:val="FFFFFF" w:themeColor="background1"/>
                <w:sz w:val="24"/>
                <w:szCs w:val="24"/>
                <w:vertAlign w:val="superscript"/>
                <w:lang w:eastAsia="en-IE"/>
              </w:rPr>
              <w:t>(1)</w:t>
            </w:r>
          </w:p>
        </w:tc>
        <w:tc>
          <w:tcPr>
            <w:tcW w:w="3703" w:type="dxa"/>
            <w:gridSpan w:val="5"/>
            <w:tcBorders>
              <w:top w:val="single" w:sz="4" w:space="0" w:color="8B73FF"/>
              <w:left w:val="single" w:sz="4" w:space="0" w:color="8B73FF"/>
              <w:bottom w:val="single" w:sz="4" w:space="0" w:color="8B73FF"/>
              <w:right w:val="single" w:sz="4" w:space="0" w:color="8B73FF"/>
            </w:tcBorders>
            <w:shd w:val="clear" w:color="auto" w:fill="8B73FF"/>
            <w:vAlign w:val="center"/>
          </w:tcPr>
          <w:p w14:paraId="1C5E6445" w14:textId="04B73D16" w:rsidR="007F0E5A" w:rsidRPr="00A5309E" w:rsidRDefault="00BA79BC">
            <w:pPr>
              <w:jc w:val="center"/>
              <w:rPr>
                <w:rFonts w:ascii="Calibri" w:eastAsia="Times New Roman" w:hAnsi="Calibri" w:cs="Calibri"/>
                <w:noProof/>
                <w:color w:val="FFFFFF" w:themeColor="background1"/>
                <w:sz w:val="24"/>
                <w:szCs w:val="24"/>
                <w:lang w:eastAsia="en-IE"/>
              </w:rPr>
            </w:pPr>
            <w:r>
              <w:rPr>
                <w:noProof/>
                <w:color w:val="FFFFFF" w:themeColor="background1"/>
              </w:rPr>
              <w:t>Luxembourg</w:t>
            </w:r>
          </w:p>
        </w:tc>
        <w:tc>
          <w:tcPr>
            <w:tcW w:w="1570"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6C3961C3" w14:textId="77777777" w:rsidR="007F0E5A" w:rsidRPr="00A5309E" w:rsidRDefault="007F0E5A">
            <w:pPr>
              <w:jc w:val="center"/>
              <w:rPr>
                <w:noProof/>
                <w:color w:val="FFFFFF" w:themeColor="background1"/>
              </w:rPr>
            </w:pPr>
            <w:r w:rsidRPr="00A5309E">
              <w:rPr>
                <w:rFonts w:ascii="Calibri" w:eastAsia="Times New Roman" w:hAnsi="Calibri" w:cs="Calibri"/>
                <w:noProof/>
                <w:color w:val="FFFFFF" w:themeColor="background1"/>
                <w:sz w:val="24"/>
                <w:szCs w:val="24"/>
                <w:lang w:eastAsia="en-IE"/>
              </w:rPr>
              <w:t>EU</w:t>
            </w:r>
          </w:p>
        </w:tc>
        <w:tc>
          <w:tcPr>
            <w:tcW w:w="1481"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7068669B" w14:textId="77777777" w:rsidR="007F0E5A" w:rsidRPr="00A5309E" w:rsidRDefault="007F0E5A">
            <w:pPr>
              <w:jc w:val="center"/>
              <w:rPr>
                <w:noProof/>
                <w:color w:val="FFFFFF" w:themeColor="background1"/>
              </w:rPr>
            </w:pPr>
            <w:r w:rsidRPr="00A5309E">
              <w:rPr>
                <w:rFonts w:ascii="Calibri" w:eastAsia="Times New Roman" w:hAnsi="Calibri" w:cs="Calibri"/>
                <w:noProof/>
                <w:color w:val="FFFFFF" w:themeColor="background1"/>
                <w:sz w:val="16"/>
                <w:szCs w:val="16"/>
                <w:lang w:eastAsia="en-IE"/>
              </w:rPr>
              <w:t>Digital Decade target by 2030</w:t>
            </w:r>
          </w:p>
        </w:tc>
      </w:tr>
      <w:tr w:rsidR="007F0E5A" w:rsidRPr="007C0C4B" w14:paraId="16BD1FDE" w14:textId="77777777" w:rsidTr="002E069A">
        <w:trPr>
          <w:gridAfter w:val="1"/>
          <w:wAfter w:w="114" w:type="dxa"/>
          <w:cantSplit/>
          <w:trHeight w:hRule="exact" w:val="429"/>
        </w:trPr>
        <w:tc>
          <w:tcPr>
            <w:tcW w:w="2508" w:type="dxa"/>
            <w:vMerge/>
          </w:tcPr>
          <w:p w14:paraId="438E04FB" w14:textId="77777777" w:rsidR="007F0E5A" w:rsidRPr="007C0C4B" w:rsidRDefault="007F0E5A">
            <w:pPr>
              <w:rPr>
                <w:noProof/>
              </w:rPr>
            </w:pPr>
          </w:p>
        </w:tc>
        <w:tc>
          <w:tcPr>
            <w:tcW w:w="892"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A61E1E2" w14:textId="77777777" w:rsidR="007F0E5A" w:rsidRPr="007C0C4B" w:rsidRDefault="573F94E2" w:rsidP="6917DAFC">
            <w:pPr>
              <w:jc w:val="center"/>
              <w:rPr>
                <w:noProof/>
                <w:color w:val="000000" w:themeColor="text1"/>
                <w:sz w:val="16"/>
                <w:szCs w:val="16"/>
              </w:rPr>
            </w:pPr>
            <w:r w:rsidRPr="009939AA">
              <w:rPr>
                <w:rFonts w:ascii="Calibri" w:eastAsia="Times New Roman" w:hAnsi="Calibri" w:cs="Calibri"/>
                <w:b/>
                <w:bCs/>
                <w:noProof/>
                <w:color w:val="000000"/>
                <w:kern w:val="0"/>
                <w:sz w:val="16"/>
                <w:szCs w:val="16"/>
                <w:lang w:eastAsia="en-IE"/>
                <w14:ligatures w14:val="none"/>
              </w:rPr>
              <w:t>Last available data (2)</w:t>
            </w:r>
          </w:p>
        </w:tc>
        <w:tc>
          <w:tcPr>
            <w:tcW w:w="114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82366A1" w14:textId="77777777" w:rsidR="007F0E5A" w:rsidRPr="007C0C4B" w:rsidRDefault="573F94E2" w:rsidP="6917DAFC">
            <w:pPr>
              <w:jc w:val="center"/>
              <w:rPr>
                <w:noProof/>
                <w:color w:val="000000" w:themeColor="text1"/>
                <w:sz w:val="16"/>
                <w:szCs w:val="16"/>
              </w:rPr>
            </w:pPr>
            <w:r w:rsidRPr="009939AA">
              <w:rPr>
                <w:rFonts w:ascii="Calibri" w:eastAsia="Times New Roman" w:hAnsi="Calibri" w:cs="Calibri"/>
                <w:b/>
                <w:bCs/>
                <w:noProof/>
                <w:color w:val="000000"/>
                <w:kern w:val="0"/>
                <w:sz w:val="16"/>
                <w:szCs w:val="16"/>
                <w:lang w:eastAsia="en-IE"/>
                <w14:ligatures w14:val="none"/>
              </w:rPr>
              <w:t>DESI 2026 (year 2025)</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1250BEC" w14:textId="77777777" w:rsidR="007F0E5A" w:rsidRPr="007C0C4B" w:rsidRDefault="573F94E2" w:rsidP="6917DAFC">
            <w:pPr>
              <w:jc w:val="center"/>
              <w:rPr>
                <w:noProof/>
                <w:color w:val="000000" w:themeColor="text1"/>
                <w:sz w:val="16"/>
                <w:szCs w:val="16"/>
              </w:rPr>
            </w:pPr>
            <w:r w:rsidRPr="009939AA">
              <w:rPr>
                <w:rFonts w:ascii="Calibri" w:eastAsia="Times New Roman" w:hAnsi="Calibri" w:cs="Calibri"/>
                <w:b/>
                <w:bCs/>
                <w:noProof/>
                <w:color w:val="000000"/>
                <w:kern w:val="0"/>
                <w:sz w:val="16"/>
                <w:szCs w:val="16"/>
                <w:lang w:eastAsia="en-IE"/>
                <w14:ligatures w14:val="none"/>
              </w:rPr>
              <w:t>Annual progress</w:t>
            </w:r>
          </w:p>
        </w:tc>
        <w:tc>
          <w:tcPr>
            <w:tcW w:w="8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54749FA" w14:textId="77777777" w:rsidR="007F0E5A" w:rsidRPr="007C0C4B" w:rsidRDefault="573F94E2" w:rsidP="6917DAFC">
            <w:pPr>
              <w:jc w:val="center"/>
              <w:rPr>
                <w:rFonts w:ascii="Calibri" w:eastAsia="Times New Roman" w:hAnsi="Calibri" w:cs="Calibri"/>
                <w:noProof/>
                <w:color w:val="000000" w:themeColor="text1"/>
                <w:sz w:val="16"/>
                <w:szCs w:val="16"/>
                <w:lang w:eastAsia="en-IE"/>
              </w:rPr>
            </w:pPr>
            <w:r w:rsidRPr="009939AA">
              <w:rPr>
                <w:rFonts w:ascii="Calibri" w:eastAsia="Times New Roman" w:hAnsi="Calibri" w:cs="Calibri"/>
                <w:b/>
                <w:bCs/>
                <w:noProof/>
                <w:color w:val="000000"/>
                <w:kern w:val="0"/>
                <w:sz w:val="16"/>
                <w:szCs w:val="16"/>
                <w:lang w:eastAsia="en-IE"/>
                <w14:ligatures w14:val="none"/>
              </w:rPr>
              <w:t>National trajectory 2025 (3)</w:t>
            </w:r>
          </w:p>
        </w:tc>
        <w:tc>
          <w:tcPr>
            <w:tcW w:w="784"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AEDF593" w14:textId="77777777" w:rsidR="007F0E5A" w:rsidRPr="007C0C4B" w:rsidRDefault="573F94E2" w:rsidP="6917DAFC">
            <w:pPr>
              <w:jc w:val="center"/>
              <w:rPr>
                <w:noProof/>
                <w:color w:val="000000" w:themeColor="text1"/>
                <w:sz w:val="16"/>
                <w:szCs w:val="16"/>
              </w:rPr>
            </w:pPr>
            <w:r w:rsidRPr="009939AA">
              <w:rPr>
                <w:rFonts w:ascii="Calibri" w:eastAsia="Times New Roman" w:hAnsi="Calibri" w:cs="Calibri"/>
                <w:b/>
                <w:bCs/>
                <w:noProof/>
                <w:color w:val="000000"/>
                <w:kern w:val="0"/>
                <w:sz w:val="16"/>
                <w:szCs w:val="16"/>
                <w:lang w:eastAsia="en-IE"/>
                <w14:ligatures w14:val="none"/>
              </w:rPr>
              <w:t>DESI 2026</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5F30EFA" w14:textId="77777777" w:rsidR="007F0E5A" w:rsidRPr="007C0C4B" w:rsidRDefault="573F94E2" w:rsidP="6917DAFC">
            <w:pPr>
              <w:jc w:val="center"/>
              <w:rPr>
                <w:noProof/>
                <w:color w:val="000000" w:themeColor="text1"/>
                <w:sz w:val="16"/>
                <w:szCs w:val="16"/>
              </w:rPr>
            </w:pPr>
            <w:r w:rsidRPr="009939AA">
              <w:rPr>
                <w:rFonts w:ascii="Calibri" w:eastAsia="Times New Roman" w:hAnsi="Calibri" w:cs="Calibri"/>
                <w:b/>
                <w:bCs/>
                <w:noProof/>
                <w:color w:val="000000"/>
                <w:kern w:val="0"/>
                <w:sz w:val="16"/>
                <w:szCs w:val="16"/>
                <w:lang w:eastAsia="en-IE"/>
                <w14:ligatures w14:val="none"/>
              </w:rPr>
              <w:t>Annual progress</w:t>
            </w:r>
          </w:p>
        </w:tc>
        <w:tc>
          <w:tcPr>
            <w:tcW w:w="755"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89248FD" w14:textId="3ECF670F" w:rsidR="007F0E5A" w:rsidRPr="007C0C4B" w:rsidRDefault="039B0E46" w:rsidP="6917DAFC">
            <w:pPr>
              <w:jc w:val="center"/>
              <w:rPr>
                <w:noProof/>
                <w:color w:val="000000" w:themeColor="text1"/>
                <w:sz w:val="16"/>
                <w:szCs w:val="16"/>
              </w:rPr>
            </w:pPr>
            <w:r>
              <w:rPr>
                <w:rFonts w:ascii="Calibri" w:eastAsia="Times New Roman" w:hAnsi="Calibri" w:cs="Calibri"/>
                <w:b/>
                <w:bCs/>
                <w:noProof/>
                <w:color w:val="000000"/>
                <w:kern w:val="0"/>
                <w:sz w:val="16"/>
                <w:szCs w:val="16"/>
                <w:lang w:eastAsia="en-IE"/>
                <w14:ligatures w14:val="none"/>
              </w:rPr>
              <w:t>LU</w:t>
            </w:r>
          </w:p>
        </w:tc>
        <w:tc>
          <w:tcPr>
            <w:tcW w:w="622"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F06E648" w14:textId="77777777" w:rsidR="007F0E5A" w:rsidRPr="007C0C4B" w:rsidRDefault="573F94E2" w:rsidP="6917DAFC">
            <w:pPr>
              <w:jc w:val="center"/>
              <w:rPr>
                <w:noProof/>
                <w:color w:val="000000" w:themeColor="text1"/>
                <w:sz w:val="16"/>
                <w:szCs w:val="16"/>
              </w:rPr>
            </w:pPr>
            <w:r w:rsidRPr="009939AA">
              <w:rPr>
                <w:rFonts w:ascii="Calibri" w:eastAsia="Times New Roman" w:hAnsi="Calibri" w:cs="Calibri"/>
                <w:b/>
                <w:bCs/>
                <w:noProof/>
                <w:color w:val="000000"/>
                <w:kern w:val="0"/>
                <w:sz w:val="16"/>
                <w:szCs w:val="16"/>
                <w:lang w:eastAsia="en-IE"/>
                <w14:ligatures w14:val="none"/>
              </w:rPr>
              <w:t>EU</w:t>
            </w:r>
          </w:p>
        </w:tc>
      </w:tr>
      <w:tr w:rsidR="002E069A" w:rsidRPr="007C0C4B" w14:paraId="69E5E3C1" w14:textId="77777777" w:rsidTr="002E069A">
        <w:trPr>
          <w:gridAfter w:val="1"/>
          <w:wAfter w:w="114" w:type="dxa"/>
          <w:cantSplit/>
          <w:trHeight w:hRule="exact" w:val="284"/>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07C349A" w14:textId="77777777" w:rsidR="002E069A" w:rsidRPr="007C0C4B" w:rsidRDefault="002E069A" w:rsidP="002E069A">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Fixed Very High Capacity Network coverage</w:t>
            </w:r>
          </w:p>
        </w:tc>
        <w:tc>
          <w:tcPr>
            <w:tcW w:w="892" w:type="dxa"/>
            <w:tcBorders>
              <w:top w:val="single" w:sz="4" w:space="0" w:color="8B73FF"/>
              <w:left w:val="single" w:sz="4" w:space="0" w:color="8B73FF"/>
              <w:bottom w:val="single" w:sz="4" w:space="0" w:color="8B73FF"/>
              <w:right w:val="single" w:sz="4" w:space="0" w:color="8B73FF"/>
            </w:tcBorders>
          </w:tcPr>
          <w:p w14:paraId="67FAF78C" w14:textId="57215D59" w:rsidR="002E069A" w:rsidRPr="00426F62" w:rsidRDefault="002E069A" w:rsidP="002E069A">
            <w:pPr>
              <w:jc w:val="center"/>
              <w:rPr>
                <w:noProof/>
                <w:sz w:val="16"/>
                <w:szCs w:val="16"/>
              </w:rPr>
            </w:pPr>
            <w:r w:rsidRPr="6917DAFC">
              <w:rPr>
                <w:noProof/>
                <w:sz w:val="16"/>
                <w:szCs w:val="16"/>
              </w:rPr>
              <w:t>95.2%</w:t>
            </w:r>
          </w:p>
        </w:tc>
        <w:tc>
          <w:tcPr>
            <w:tcW w:w="1145" w:type="dxa"/>
            <w:tcBorders>
              <w:top w:val="single" w:sz="4" w:space="0" w:color="8B73FF"/>
              <w:left w:val="single" w:sz="4" w:space="0" w:color="8B73FF"/>
              <w:bottom w:val="single" w:sz="4" w:space="0" w:color="8B73FF"/>
              <w:right w:val="single" w:sz="4" w:space="0" w:color="8B73FF"/>
            </w:tcBorders>
          </w:tcPr>
          <w:p w14:paraId="21F79C97" w14:textId="346EB434" w:rsidR="002E069A" w:rsidRPr="00426F62" w:rsidRDefault="002E069A" w:rsidP="002E069A">
            <w:pPr>
              <w:jc w:val="center"/>
              <w:rPr>
                <w:noProof/>
                <w:sz w:val="16"/>
                <w:szCs w:val="16"/>
              </w:rPr>
            </w:pPr>
            <w:r w:rsidRPr="6917DAFC">
              <w:rPr>
                <w:noProof/>
                <w:sz w:val="16"/>
                <w:szCs w:val="16"/>
              </w:rPr>
              <w:t>95.5%</w:t>
            </w:r>
          </w:p>
        </w:tc>
        <w:tc>
          <w:tcPr>
            <w:tcW w:w="786" w:type="dxa"/>
            <w:tcBorders>
              <w:top w:val="single" w:sz="4" w:space="0" w:color="8B73FF"/>
              <w:left w:val="single" w:sz="4" w:space="0" w:color="8B73FF"/>
              <w:bottom w:val="single" w:sz="4" w:space="0" w:color="8B73FF"/>
              <w:right w:val="single" w:sz="4" w:space="0" w:color="8B73FF"/>
            </w:tcBorders>
          </w:tcPr>
          <w:p w14:paraId="333F0175" w14:textId="11039873" w:rsidR="002E069A" w:rsidRPr="00426F62" w:rsidRDefault="002E069A" w:rsidP="002E069A">
            <w:pPr>
              <w:jc w:val="center"/>
              <w:rPr>
                <w:noProof/>
                <w:sz w:val="16"/>
                <w:szCs w:val="16"/>
              </w:rPr>
            </w:pPr>
            <w:r w:rsidRPr="6917DAFC">
              <w:rPr>
                <w:noProof/>
                <w:sz w:val="16"/>
                <w:szCs w:val="16"/>
              </w:rPr>
              <w:t>0.3%</w:t>
            </w:r>
          </w:p>
        </w:tc>
        <w:tc>
          <w:tcPr>
            <w:tcW w:w="870" w:type="dxa"/>
            <w:tcBorders>
              <w:top w:val="single" w:sz="4" w:space="0" w:color="8B73FF"/>
              <w:left w:val="single" w:sz="4" w:space="0" w:color="8B73FF"/>
              <w:bottom w:val="single" w:sz="4" w:space="0" w:color="8B73FF"/>
              <w:right w:val="single" w:sz="4" w:space="0" w:color="8B73FF"/>
            </w:tcBorders>
          </w:tcPr>
          <w:p w14:paraId="1327AC9D" w14:textId="471001F2" w:rsidR="002E069A" w:rsidRPr="00426F62" w:rsidRDefault="002E069A" w:rsidP="002E069A">
            <w:pPr>
              <w:jc w:val="center"/>
              <w:rPr>
                <w:rFonts w:eastAsia="Times New Roman"/>
                <w:noProof/>
                <w:color w:val="000000"/>
                <w:kern w:val="0"/>
                <w:sz w:val="16"/>
                <w:szCs w:val="16"/>
                <w:lang w:eastAsia="en-IE"/>
                <w14:ligatures w14:val="none"/>
              </w:rPr>
            </w:pPr>
            <w:r w:rsidRPr="6917DAFC">
              <w:rPr>
                <w:noProof/>
                <w:sz w:val="16"/>
                <w:szCs w:val="16"/>
              </w:rPr>
              <w:t xml:space="preserve"> 98.5% </w:t>
            </w:r>
          </w:p>
        </w:tc>
        <w:tc>
          <w:tcPr>
            <w:tcW w:w="784" w:type="dxa"/>
            <w:gridSpan w:val="2"/>
            <w:tcBorders>
              <w:top w:val="single" w:sz="4" w:space="0" w:color="8B73FF"/>
              <w:left w:val="single" w:sz="4" w:space="0" w:color="8B73FF"/>
              <w:bottom w:val="single" w:sz="4" w:space="0" w:color="8B73FF"/>
              <w:right w:val="single" w:sz="4" w:space="0" w:color="8B73FF"/>
            </w:tcBorders>
            <w:vAlign w:val="center"/>
          </w:tcPr>
          <w:p w14:paraId="7415C4F8" w14:textId="750A1F65" w:rsidR="002E069A" w:rsidRPr="00426F62" w:rsidRDefault="002E069A" w:rsidP="002E069A">
            <w:pPr>
              <w:jc w:val="center"/>
              <w:rPr>
                <w:noProof/>
                <w:sz w:val="16"/>
                <w:szCs w:val="16"/>
              </w:rPr>
            </w:pPr>
            <w:r>
              <w:rPr>
                <w:rFonts w:ascii="Calibri" w:hAnsi="Calibri" w:cs="Calibri"/>
                <w:noProof/>
                <w:color w:val="000000"/>
                <w:sz w:val="16"/>
                <w:szCs w:val="16"/>
              </w:rPr>
              <w:t>85.5%</w:t>
            </w:r>
          </w:p>
        </w:tc>
        <w:tc>
          <w:tcPr>
            <w:tcW w:w="786" w:type="dxa"/>
            <w:tcBorders>
              <w:top w:val="single" w:sz="4" w:space="0" w:color="8B73FF"/>
              <w:left w:val="single" w:sz="4" w:space="0" w:color="8B73FF"/>
              <w:bottom w:val="single" w:sz="4" w:space="0" w:color="8B73FF"/>
              <w:right w:val="single" w:sz="4" w:space="0" w:color="8B73FF"/>
            </w:tcBorders>
            <w:vAlign w:val="center"/>
          </w:tcPr>
          <w:p w14:paraId="0232584E" w14:textId="1E128D7E" w:rsidR="002E069A" w:rsidRPr="00426F62" w:rsidRDefault="002E069A" w:rsidP="002E069A">
            <w:pPr>
              <w:jc w:val="center"/>
              <w:rPr>
                <w:noProof/>
                <w:sz w:val="16"/>
                <w:szCs w:val="16"/>
              </w:rPr>
            </w:pPr>
            <w:r>
              <w:rPr>
                <w:rFonts w:ascii="Calibri" w:hAnsi="Calibri" w:cs="Calibri"/>
                <w:noProof/>
                <w:color w:val="000000"/>
                <w:sz w:val="16"/>
                <w:szCs w:val="16"/>
              </w:rPr>
              <w:t>3.7%</w:t>
            </w:r>
          </w:p>
        </w:tc>
        <w:tc>
          <w:tcPr>
            <w:tcW w:w="755" w:type="dxa"/>
            <w:gridSpan w:val="2"/>
            <w:tcBorders>
              <w:top w:val="single" w:sz="4" w:space="0" w:color="8B73FF"/>
              <w:left w:val="single" w:sz="4" w:space="0" w:color="8B73FF"/>
              <w:bottom w:val="single" w:sz="4" w:space="0" w:color="8B73FF"/>
              <w:right w:val="single" w:sz="4" w:space="0" w:color="8B73FF"/>
            </w:tcBorders>
          </w:tcPr>
          <w:p w14:paraId="607265B3" w14:textId="226C067A" w:rsidR="002E069A" w:rsidRPr="00426F62" w:rsidRDefault="002E069A" w:rsidP="002E069A">
            <w:pPr>
              <w:jc w:val="center"/>
              <w:rPr>
                <w:noProof/>
                <w:sz w:val="16"/>
                <w:szCs w:val="16"/>
              </w:rPr>
            </w:pPr>
            <w:r w:rsidRPr="6917DAFC">
              <w:rPr>
                <w:noProof/>
                <w:sz w:val="16"/>
                <w:szCs w:val="16"/>
              </w:rPr>
              <w:t>100.0%</w:t>
            </w:r>
          </w:p>
        </w:tc>
        <w:tc>
          <w:tcPr>
            <w:tcW w:w="622" w:type="dxa"/>
            <w:tcBorders>
              <w:top w:val="single" w:sz="4" w:space="0" w:color="8B73FF"/>
              <w:left w:val="single" w:sz="4" w:space="0" w:color="8B73FF"/>
              <w:bottom w:val="single" w:sz="4" w:space="0" w:color="8B73FF"/>
              <w:right w:val="single" w:sz="4" w:space="0" w:color="8B73FF"/>
            </w:tcBorders>
          </w:tcPr>
          <w:p w14:paraId="1FB47B2B" w14:textId="5162F7F8" w:rsidR="002E069A" w:rsidRPr="00426F62" w:rsidRDefault="002E069A" w:rsidP="002E069A">
            <w:pPr>
              <w:jc w:val="center"/>
              <w:rPr>
                <w:noProof/>
                <w:sz w:val="16"/>
                <w:szCs w:val="16"/>
              </w:rPr>
            </w:pPr>
            <w:r w:rsidRPr="6917DAFC">
              <w:rPr>
                <w:noProof/>
                <w:sz w:val="16"/>
                <w:szCs w:val="16"/>
              </w:rPr>
              <w:t>100%</w:t>
            </w:r>
          </w:p>
        </w:tc>
      </w:tr>
      <w:tr w:rsidR="00426F62" w:rsidRPr="007C0C4B" w14:paraId="3E136E87" w14:textId="77777777" w:rsidTr="002E069A">
        <w:trPr>
          <w:gridAfter w:val="1"/>
          <w:wAfter w:w="114" w:type="dxa"/>
          <w:cantSplit/>
          <w:trHeight w:hRule="exact" w:val="284"/>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35F59BA"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Fibre to the Premises (FTTP) coverage</w:t>
            </w:r>
          </w:p>
        </w:tc>
        <w:tc>
          <w:tcPr>
            <w:tcW w:w="892" w:type="dxa"/>
            <w:tcBorders>
              <w:top w:val="single" w:sz="4" w:space="0" w:color="8B73FF"/>
              <w:left w:val="single" w:sz="4" w:space="0" w:color="8B73FF"/>
              <w:bottom w:val="single" w:sz="4" w:space="0" w:color="8B73FF"/>
              <w:right w:val="single" w:sz="4" w:space="0" w:color="8B73FF"/>
            </w:tcBorders>
          </w:tcPr>
          <w:p w14:paraId="6C01FCA6" w14:textId="28FF26F2" w:rsidR="00426F62" w:rsidRPr="00426F62" w:rsidRDefault="0368D173" w:rsidP="6917DAFC">
            <w:pPr>
              <w:jc w:val="center"/>
              <w:rPr>
                <w:noProof/>
                <w:sz w:val="16"/>
                <w:szCs w:val="16"/>
              </w:rPr>
            </w:pPr>
            <w:r w:rsidRPr="6917DAFC">
              <w:rPr>
                <w:noProof/>
                <w:sz w:val="16"/>
                <w:szCs w:val="16"/>
              </w:rPr>
              <w:t>81.8%</w:t>
            </w:r>
          </w:p>
        </w:tc>
        <w:tc>
          <w:tcPr>
            <w:tcW w:w="1145" w:type="dxa"/>
            <w:tcBorders>
              <w:top w:val="single" w:sz="4" w:space="0" w:color="8B73FF"/>
              <w:left w:val="single" w:sz="4" w:space="0" w:color="8B73FF"/>
              <w:bottom w:val="single" w:sz="4" w:space="0" w:color="8B73FF"/>
              <w:right w:val="single" w:sz="4" w:space="0" w:color="8B73FF"/>
            </w:tcBorders>
          </w:tcPr>
          <w:p w14:paraId="23466278" w14:textId="0721E722" w:rsidR="00426F62" w:rsidRPr="00426F62" w:rsidRDefault="53358130" w:rsidP="6917DAFC">
            <w:pPr>
              <w:jc w:val="center"/>
              <w:rPr>
                <w:noProof/>
                <w:sz w:val="16"/>
                <w:szCs w:val="16"/>
              </w:rPr>
            </w:pPr>
            <w:r w:rsidRPr="6917DAFC">
              <w:rPr>
                <w:noProof/>
                <w:sz w:val="16"/>
                <w:szCs w:val="16"/>
              </w:rPr>
              <w:t>85.2%</w:t>
            </w:r>
          </w:p>
        </w:tc>
        <w:tc>
          <w:tcPr>
            <w:tcW w:w="786" w:type="dxa"/>
            <w:tcBorders>
              <w:top w:val="single" w:sz="4" w:space="0" w:color="8B73FF"/>
              <w:left w:val="single" w:sz="4" w:space="0" w:color="8B73FF"/>
              <w:bottom w:val="single" w:sz="4" w:space="0" w:color="8B73FF"/>
              <w:right w:val="single" w:sz="4" w:space="0" w:color="8B73FF"/>
            </w:tcBorders>
          </w:tcPr>
          <w:p w14:paraId="5E3C5A4D" w14:textId="422DAB97" w:rsidR="00426F62" w:rsidRPr="00426F62" w:rsidRDefault="53358130" w:rsidP="6917DAFC">
            <w:pPr>
              <w:jc w:val="center"/>
              <w:rPr>
                <w:noProof/>
                <w:sz w:val="16"/>
                <w:szCs w:val="16"/>
              </w:rPr>
            </w:pPr>
            <w:r w:rsidRPr="6917DAFC">
              <w:rPr>
                <w:noProof/>
                <w:sz w:val="16"/>
                <w:szCs w:val="16"/>
              </w:rPr>
              <w:t>4.2%</w:t>
            </w:r>
          </w:p>
        </w:tc>
        <w:tc>
          <w:tcPr>
            <w:tcW w:w="870" w:type="dxa"/>
            <w:tcBorders>
              <w:top w:val="single" w:sz="4" w:space="0" w:color="8B73FF"/>
              <w:left w:val="single" w:sz="4" w:space="0" w:color="8B73FF"/>
              <w:bottom w:val="single" w:sz="4" w:space="0" w:color="8B73FF"/>
              <w:right w:val="single" w:sz="4" w:space="0" w:color="8B73FF"/>
            </w:tcBorders>
          </w:tcPr>
          <w:p w14:paraId="4C612B77" w14:textId="2DF770B4"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92.9% </w:t>
            </w:r>
          </w:p>
        </w:tc>
        <w:tc>
          <w:tcPr>
            <w:tcW w:w="784" w:type="dxa"/>
            <w:gridSpan w:val="2"/>
            <w:tcBorders>
              <w:top w:val="single" w:sz="4" w:space="0" w:color="8B73FF"/>
              <w:left w:val="single" w:sz="4" w:space="0" w:color="8B73FF"/>
              <w:bottom w:val="single" w:sz="4" w:space="0" w:color="8B73FF"/>
              <w:right w:val="single" w:sz="4" w:space="0" w:color="8B73FF"/>
            </w:tcBorders>
          </w:tcPr>
          <w:p w14:paraId="46CD58DC" w14:textId="4785266B" w:rsidR="00426F62" w:rsidRPr="00426F62" w:rsidRDefault="026FDE98" w:rsidP="6917DAFC">
            <w:pPr>
              <w:jc w:val="center"/>
              <w:rPr>
                <w:noProof/>
                <w:sz w:val="16"/>
                <w:szCs w:val="16"/>
              </w:rPr>
            </w:pPr>
            <w:r w:rsidRPr="6917DAFC">
              <w:rPr>
                <w:noProof/>
                <w:sz w:val="16"/>
                <w:szCs w:val="16"/>
              </w:rPr>
              <w:t>74.1%</w:t>
            </w:r>
          </w:p>
        </w:tc>
        <w:tc>
          <w:tcPr>
            <w:tcW w:w="786" w:type="dxa"/>
            <w:tcBorders>
              <w:top w:val="single" w:sz="4" w:space="0" w:color="8B73FF"/>
              <w:left w:val="single" w:sz="4" w:space="0" w:color="8B73FF"/>
              <w:bottom w:val="single" w:sz="4" w:space="0" w:color="8B73FF"/>
              <w:right w:val="single" w:sz="4" w:space="0" w:color="8B73FF"/>
            </w:tcBorders>
          </w:tcPr>
          <w:p w14:paraId="4ED6C796" w14:textId="63E38BAB" w:rsidR="00426F62" w:rsidRPr="00426F62" w:rsidRDefault="165815A7" w:rsidP="6917DAFC">
            <w:pPr>
              <w:jc w:val="center"/>
              <w:rPr>
                <w:noProof/>
                <w:sz w:val="16"/>
                <w:szCs w:val="16"/>
              </w:rPr>
            </w:pPr>
            <w:r w:rsidRPr="6917DAFC">
              <w:rPr>
                <w:noProof/>
                <w:sz w:val="16"/>
                <w:szCs w:val="16"/>
              </w:rPr>
              <w:t>7.1%</w:t>
            </w:r>
          </w:p>
        </w:tc>
        <w:tc>
          <w:tcPr>
            <w:tcW w:w="755" w:type="dxa"/>
            <w:gridSpan w:val="2"/>
            <w:tcBorders>
              <w:top w:val="single" w:sz="4" w:space="0" w:color="8B73FF"/>
              <w:left w:val="single" w:sz="4" w:space="0" w:color="8B73FF"/>
              <w:bottom w:val="single" w:sz="4" w:space="0" w:color="8B73FF"/>
              <w:right w:val="single" w:sz="4" w:space="0" w:color="8B73FF"/>
            </w:tcBorders>
          </w:tcPr>
          <w:p w14:paraId="20B3B344" w14:textId="34245F25" w:rsidR="00426F62" w:rsidRPr="00426F62" w:rsidRDefault="0368D173" w:rsidP="6917DAFC">
            <w:pPr>
              <w:jc w:val="center"/>
              <w:rPr>
                <w:noProof/>
                <w:sz w:val="16"/>
                <w:szCs w:val="16"/>
              </w:rPr>
            </w:pPr>
            <w:r w:rsidRPr="6917DAFC">
              <w:rPr>
                <w:noProof/>
                <w:sz w:val="16"/>
                <w:szCs w:val="16"/>
              </w:rPr>
              <w:t>100.0%</w:t>
            </w:r>
          </w:p>
        </w:tc>
        <w:tc>
          <w:tcPr>
            <w:tcW w:w="622" w:type="dxa"/>
            <w:tcBorders>
              <w:top w:val="single" w:sz="4" w:space="0" w:color="8B73FF"/>
              <w:left w:val="single" w:sz="4" w:space="0" w:color="8B73FF"/>
              <w:bottom w:val="single" w:sz="4" w:space="0" w:color="8B73FF"/>
              <w:right w:val="single" w:sz="4" w:space="0" w:color="8B73FF"/>
            </w:tcBorders>
          </w:tcPr>
          <w:p w14:paraId="28F0EF27" w14:textId="5622B316" w:rsidR="00426F62" w:rsidRPr="00426F62" w:rsidRDefault="0368D173" w:rsidP="6917DAFC">
            <w:pPr>
              <w:jc w:val="center"/>
              <w:rPr>
                <w:noProof/>
                <w:sz w:val="16"/>
                <w:szCs w:val="16"/>
              </w:rPr>
            </w:pPr>
            <w:r w:rsidRPr="6917DAFC">
              <w:rPr>
                <w:noProof/>
                <w:sz w:val="16"/>
                <w:szCs w:val="16"/>
              </w:rPr>
              <w:t>-</w:t>
            </w:r>
          </w:p>
        </w:tc>
      </w:tr>
      <w:tr w:rsidR="00426F62" w:rsidRPr="007C0C4B" w14:paraId="50E970D0" w14:textId="77777777" w:rsidTr="002E069A">
        <w:trPr>
          <w:gridAfter w:val="1"/>
          <w:wAfter w:w="114" w:type="dxa"/>
          <w:cantSplit/>
          <w:trHeight w:hRule="exact" w:val="284"/>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A841633" w14:textId="1D05CCAA" w:rsidR="00426F62" w:rsidRPr="007C0C4B" w:rsidRDefault="00534B68" w:rsidP="2908E2FB">
            <w:pPr>
              <w:rPr>
                <w:b/>
                <w:bCs/>
                <w:noProof/>
                <w:color w:val="000000" w:themeColor="text1"/>
                <w:sz w:val="16"/>
                <w:szCs w:val="16"/>
              </w:rPr>
            </w:pPr>
            <w:r>
              <w:rPr>
                <w:rFonts w:ascii="Calibri" w:eastAsia="Times New Roman" w:hAnsi="Calibri" w:cs="Calibri"/>
                <w:b/>
                <w:bCs/>
                <w:noProof/>
                <w:color w:val="000000" w:themeColor="text1"/>
                <w:sz w:val="16"/>
                <w:szCs w:val="16"/>
                <w:lang w:eastAsia="en-IE"/>
              </w:rPr>
              <w:t>Basic</w:t>
            </w:r>
            <w:r w:rsidR="00426F62" w:rsidRPr="2908E2FB">
              <w:rPr>
                <w:rFonts w:ascii="Calibri" w:eastAsia="Times New Roman" w:hAnsi="Calibri" w:cs="Calibri"/>
                <w:b/>
                <w:bCs/>
                <w:noProof/>
                <w:color w:val="000000" w:themeColor="text1"/>
                <w:sz w:val="16"/>
                <w:szCs w:val="16"/>
                <w:lang w:eastAsia="en-IE"/>
              </w:rPr>
              <w:t xml:space="preserve"> 5G coverage</w:t>
            </w:r>
          </w:p>
        </w:tc>
        <w:tc>
          <w:tcPr>
            <w:tcW w:w="892" w:type="dxa"/>
            <w:tcBorders>
              <w:top w:val="single" w:sz="4" w:space="0" w:color="8B73FF"/>
              <w:left w:val="single" w:sz="4" w:space="0" w:color="8B73FF"/>
              <w:bottom w:val="single" w:sz="4" w:space="0" w:color="8B73FF"/>
              <w:right w:val="single" w:sz="4" w:space="0" w:color="8B73FF"/>
            </w:tcBorders>
          </w:tcPr>
          <w:p w14:paraId="08545E40" w14:textId="25BF0D15" w:rsidR="00426F62" w:rsidRPr="00426F62" w:rsidRDefault="0368D173" w:rsidP="6917DAFC">
            <w:pPr>
              <w:jc w:val="center"/>
              <w:rPr>
                <w:noProof/>
                <w:sz w:val="16"/>
                <w:szCs w:val="16"/>
              </w:rPr>
            </w:pPr>
            <w:r w:rsidRPr="6917DAFC">
              <w:rPr>
                <w:noProof/>
                <w:sz w:val="16"/>
                <w:szCs w:val="16"/>
              </w:rPr>
              <w:t>99.6%</w:t>
            </w:r>
          </w:p>
        </w:tc>
        <w:tc>
          <w:tcPr>
            <w:tcW w:w="1145" w:type="dxa"/>
            <w:tcBorders>
              <w:top w:val="single" w:sz="4" w:space="0" w:color="8B73FF"/>
              <w:left w:val="single" w:sz="4" w:space="0" w:color="8B73FF"/>
              <w:bottom w:val="single" w:sz="4" w:space="0" w:color="8B73FF"/>
              <w:right w:val="single" w:sz="4" w:space="0" w:color="8B73FF"/>
            </w:tcBorders>
          </w:tcPr>
          <w:p w14:paraId="27B067D0" w14:textId="0E09ADF3" w:rsidR="00426F62" w:rsidRPr="00426F62" w:rsidRDefault="2EAEAC13" w:rsidP="6917DAFC">
            <w:pPr>
              <w:jc w:val="center"/>
              <w:rPr>
                <w:noProof/>
                <w:sz w:val="16"/>
                <w:szCs w:val="16"/>
              </w:rPr>
            </w:pPr>
            <w:r w:rsidRPr="6917DAFC">
              <w:rPr>
                <w:noProof/>
                <w:sz w:val="16"/>
                <w:szCs w:val="16"/>
              </w:rPr>
              <w:t>99.9%</w:t>
            </w:r>
          </w:p>
        </w:tc>
        <w:tc>
          <w:tcPr>
            <w:tcW w:w="786" w:type="dxa"/>
            <w:tcBorders>
              <w:top w:val="single" w:sz="4" w:space="0" w:color="8B73FF"/>
              <w:left w:val="single" w:sz="4" w:space="0" w:color="8B73FF"/>
              <w:bottom w:val="single" w:sz="4" w:space="0" w:color="8B73FF"/>
              <w:right w:val="single" w:sz="4" w:space="0" w:color="8B73FF"/>
            </w:tcBorders>
          </w:tcPr>
          <w:p w14:paraId="358B50A2" w14:textId="637CF84F" w:rsidR="00426F62" w:rsidRPr="00426F62" w:rsidRDefault="27FDBB66" w:rsidP="6917DAFC">
            <w:pPr>
              <w:jc w:val="center"/>
              <w:rPr>
                <w:noProof/>
                <w:sz w:val="16"/>
                <w:szCs w:val="16"/>
              </w:rPr>
            </w:pPr>
            <w:r w:rsidRPr="6917DAFC">
              <w:rPr>
                <w:noProof/>
                <w:sz w:val="16"/>
                <w:szCs w:val="16"/>
              </w:rPr>
              <w:t>0.3%</w:t>
            </w:r>
          </w:p>
        </w:tc>
        <w:tc>
          <w:tcPr>
            <w:tcW w:w="870" w:type="dxa"/>
            <w:tcBorders>
              <w:top w:val="single" w:sz="4" w:space="0" w:color="8B73FF"/>
              <w:left w:val="single" w:sz="4" w:space="0" w:color="8B73FF"/>
              <w:bottom w:val="single" w:sz="4" w:space="0" w:color="8B73FF"/>
              <w:right w:val="single" w:sz="4" w:space="0" w:color="8B73FF"/>
            </w:tcBorders>
          </w:tcPr>
          <w:p w14:paraId="3CA127ED" w14:textId="2F4F08B4"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98.4% </w:t>
            </w:r>
          </w:p>
        </w:tc>
        <w:tc>
          <w:tcPr>
            <w:tcW w:w="784" w:type="dxa"/>
            <w:gridSpan w:val="2"/>
            <w:tcBorders>
              <w:top w:val="single" w:sz="4" w:space="0" w:color="8B73FF"/>
              <w:left w:val="single" w:sz="4" w:space="0" w:color="8B73FF"/>
              <w:bottom w:val="single" w:sz="4" w:space="0" w:color="8B73FF"/>
              <w:right w:val="single" w:sz="4" w:space="0" w:color="8B73FF"/>
            </w:tcBorders>
          </w:tcPr>
          <w:p w14:paraId="0D85771B" w14:textId="5ACF94C9" w:rsidR="00426F62" w:rsidRPr="00426F62" w:rsidRDefault="375AB10F" w:rsidP="6917DAFC">
            <w:pPr>
              <w:jc w:val="center"/>
              <w:rPr>
                <w:noProof/>
                <w:sz w:val="16"/>
                <w:szCs w:val="16"/>
              </w:rPr>
            </w:pPr>
            <w:r w:rsidRPr="0D7A4743">
              <w:rPr>
                <w:noProof/>
                <w:sz w:val="16"/>
                <w:szCs w:val="16"/>
              </w:rPr>
              <w:t>96.79</w:t>
            </w:r>
            <w:r w:rsidR="03969363" w:rsidRPr="0D7A4743">
              <w:rPr>
                <w:noProof/>
                <w:sz w:val="16"/>
                <w:szCs w:val="16"/>
              </w:rPr>
              <w:t>%</w:t>
            </w:r>
          </w:p>
        </w:tc>
        <w:tc>
          <w:tcPr>
            <w:tcW w:w="786" w:type="dxa"/>
            <w:tcBorders>
              <w:top w:val="single" w:sz="4" w:space="0" w:color="8B73FF"/>
              <w:left w:val="single" w:sz="4" w:space="0" w:color="8B73FF"/>
              <w:bottom w:val="single" w:sz="4" w:space="0" w:color="8B73FF"/>
              <w:right w:val="single" w:sz="4" w:space="0" w:color="8B73FF"/>
            </w:tcBorders>
          </w:tcPr>
          <w:p w14:paraId="54370FA3" w14:textId="13E6D4D1" w:rsidR="00426F62" w:rsidRPr="00426F62" w:rsidRDefault="1C83D434" w:rsidP="6917DAFC">
            <w:pPr>
              <w:jc w:val="center"/>
              <w:rPr>
                <w:noProof/>
                <w:sz w:val="16"/>
                <w:szCs w:val="16"/>
              </w:rPr>
            </w:pPr>
            <w:r w:rsidRPr="6917DAFC">
              <w:rPr>
                <w:noProof/>
                <w:sz w:val="16"/>
                <w:szCs w:val="16"/>
              </w:rPr>
              <w:t>2.6%</w:t>
            </w:r>
          </w:p>
        </w:tc>
        <w:tc>
          <w:tcPr>
            <w:tcW w:w="755" w:type="dxa"/>
            <w:gridSpan w:val="2"/>
            <w:tcBorders>
              <w:top w:val="single" w:sz="4" w:space="0" w:color="8B73FF"/>
              <w:left w:val="single" w:sz="4" w:space="0" w:color="8B73FF"/>
              <w:bottom w:val="single" w:sz="4" w:space="0" w:color="8B73FF"/>
              <w:right w:val="single" w:sz="4" w:space="0" w:color="8B73FF"/>
            </w:tcBorders>
          </w:tcPr>
          <w:p w14:paraId="5F5FCF55" w14:textId="5481BE63" w:rsidR="00426F62" w:rsidRPr="00426F62" w:rsidRDefault="0368D173" w:rsidP="6917DAFC">
            <w:pPr>
              <w:jc w:val="center"/>
              <w:rPr>
                <w:noProof/>
                <w:sz w:val="16"/>
                <w:szCs w:val="16"/>
              </w:rPr>
            </w:pPr>
            <w:r w:rsidRPr="6917DAFC">
              <w:rPr>
                <w:noProof/>
                <w:sz w:val="16"/>
                <w:szCs w:val="16"/>
              </w:rPr>
              <w:t>100.0%</w:t>
            </w:r>
          </w:p>
        </w:tc>
        <w:tc>
          <w:tcPr>
            <w:tcW w:w="622" w:type="dxa"/>
            <w:tcBorders>
              <w:top w:val="single" w:sz="4" w:space="0" w:color="8B73FF"/>
              <w:left w:val="single" w:sz="4" w:space="0" w:color="8B73FF"/>
              <w:bottom w:val="single" w:sz="4" w:space="0" w:color="8B73FF"/>
              <w:right w:val="single" w:sz="4" w:space="0" w:color="8B73FF"/>
            </w:tcBorders>
          </w:tcPr>
          <w:p w14:paraId="79A1D807" w14:textId="741C3FBB" w:rsidR="00426F62" w:rsidRPr="00426F62" w:rsidRDefault="0368D173" w:rsidP="6917DAFC">
            <w:pPr>
              <w:jc w:val="center"/>
              <w:rPr>
                <w:noProof/>
                <w:sz w:val="16"/>
                <w:szCs w:val="16"/>
              </w:rPr>
            </w:pPr>
            <w:r w:rsidRPr="6917DAFC">
              <w:rPr>
                <w:noProof/>
                <w:sz w:val="16"/>
                <w:szCs w:val="16"/>
              </w:rPr>
              <w:t>100%</w:t>
            </w:r>
          </w:p>
        </w:tc>
      </w:tr>
      <w:tr w:rsidR="00426F62" w:rsidRPr="007C0C4B" w14:paraId="736A1B2B" w14:textId="77777777" w:rsidTr="002E069A">
        <w:trPr>
          <w:gridAfter w:val="1"/>
          <w:wAfter w:w="114" w:type="dxa"/>
          <w:cantSplit/>
          <w:trHeight w:hRule="exact" w:val="477"/>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699C789" w14:textId="0FB28A5D"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Edge Nodes (estimate</w:t>
            </w:r>
            <w:r w:rsidR="3FCE7A40" w:rsidRPr="2908E2FB">
              <w:rPr>
                <w:rFonts w:ascii="Calibri" w:eastAsia="Times New Roman" w:hAnsi="Calibri" w:cs="Calibri"/>
                <w:b/>
                <w:bCs/>
                <w:noProof/>
                <w:color w:val="000000" w:themeColor="text1"/>
                <w:sz w:val="16"/>
                <w:szCs w:val="16"/>
                <w:lang w:eastAsia="en-IE"/>
              </w:rPr>
              <w:t>, new methodology</w:t>
            </w:r>
            <w:r w:rsidRPr="2908E2FB">
              <w:rPr>
                <w:rFonts w:ascii="Calibri" w:eastAsia="Times New Roman" w:hAnsi="Calibri" w:cs="Calibri"/>
                <w:b/>
                <w:bCs/>
                <w:noProof/>
                <w:color w:val="000000" w:themeColor="text1"/>
                <w:sz w:val="16"/>
                <w:szCs w:val="16"/>
                <w:lang w:eastAsia="en-IE"/>
              </w:rPr>
              <w:t>)</w:t>
            </w:r>
          </w:p>
        </w:tc>
        <w:tc>
          <w:tcPr>
            <w:tcW w:w="892" w:type="dxa"/>
            <w:tcBorders>
              <w:top w:val="single" w:sz="4" w:space="0" w:color="8B73FF"/>
              <w:left w:val="single" w:sz="4" w:space="0" w:color="8B73FF"/>
              <w:bottom w:val="single" w:sz="4" w:space="0" w:color="8B73FF"/>
              <w:right w:val="single" w:sz="4" w:space="0" w:color="8B73FF"/>
            </w:tcBorders>
          </w:tcPr>
          <w:p w14:paraId="7488A2CA" w14:textId="5BD4417D" w:rsidR="00426F62" w:rsidRPr="00426F62" w:rsidRDefault="09F765ED" w:rsidP="6917DAFC">
            <w:pPr>
              <w:jc w:val="center"/>
              <w:rPr>
                <w:noProof/>
                <w:sz w:val="16"/>
                <w:szCs w:val="16"/>
              </w:rPr>
            </w:pPr>
            <w:r w:rsidRPr="6917DAFC">
              <w:rPr>
                <w:noProof/>
                <w:sz w:val="16"/>
                <w:szCs w:val="16"/>
              </w:rPr>
              <w:t>-</w:t>
            </w:r>
          </w:p>
        </w:tc>
        <w:tc>
          <w:tcPr>
            <w:tcW w:w="1145" w:type="dxa"/>
            <w:tcBorders>
              <w:top w:val="single" w:sz="4" w:space="0" w:color="8B73FF"/>
              <w:left w:val="single" w:sz="4" w:space="0" w:color="8B73FF"/>
              <w:bottom w:val="single" w:sz="4" w:space="0" w:color="8B73FF"/>
              <w:right w:val="single" w:sz="4" w:space="0" w:color="8B73FF"/>
            </w:tcBorders>
          </w:tcPr>
          <w:p w14:paraId="38DA1F49" w14:textId="75EAB778" w:rsidR="00426F62" w:rsidRPr="00426F62" w:rsidRDefault="5A5A038F" w:rsidP="6917DAFC">
            <w:pPr>
              <w:jc w:val="center"/>
              <w:rPr>
                <w:noProof/>
                <w:sz w:val="16"/>
                <w:szCs w:val="16"/>
              </w:rPr>
            </w:pPr>
            <w:r w:rsidRPr="6917DAFC">
              <w:rPr>
                <w:noProof/>
                <w:sz w:val="16"/>
                <w:szCs w:val="16"/>
              </w:rPr>
              <w:t>28</w:t>
            </w:r>
          </w:p>
        </w:tc>
        <w:tc>
          <w:tcPr>
            <w:tcW w:w="786" w:type="dxa"/>
            <w:tcBorders>
              <w:top w:val="single" w:sz="4" w:space="0" w:color="8B73FF"/>
              <w:left w:val="single" w:sz="4" w:space="0" w:color="8B73FF"/>
              <w:bottom w:val="single" w:sz="4" w:space="0" w:color="8B73FF"/>
              <w:right w:val="single" w:sz="4" w:space="0" w:color="8B73FF"/>
            </w:tcBorders>
          </w:tcPr>
          <w:p w14:paraId="22EF0FC2" w14:textId="5D9E034E" w:rsidR="00426F62" w:rsidRPr="00426F62" w:rsidRDefault="781B0B68" w:rsidP="6917DAFC">
            <w:pPr>
              <w:jc w:val="center"/>
              <w:rPr>
                <w:noProof/>
                <w:sz w:val="16"/>
                <w:szCs w:val="16"/>
              </w:rPr>
            </w:pPr>
            <w:r w:rsidRPr="33E6FA42">
              <w:rPr>
                <w:noProof/>
                <w:sz w:val="16"/>
                <w:szCs w:val="16"/>
              </w:rPr>
              <w:t>-</w:t>
            </w:r>
          </w:p>
        </w:tc>
        <w:tc>
          <w:tcPr>
            <w:tcW w:w="870" w:type="dxa"/>
            <w:tcBorders>
              <w:top w:val="single" w:sz="4" w:space="0" w:color="8B73FF"/>
              <w:left w:val="single" w:sz="4" w:space="0" w:color="8B73FF"/>
              <w:bottom w:val="single" w:sz="4" w:space="0" w:color="8B73FF"/>
              <w:right w:val="single" w:sz="4" w:space="0" w:color="8B73FF"/>
            </w:tcBorders>
          </w:tcPr>
          <w:p w14:paraId="483C4FF5" w14:textId="4A8116C5"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 </w:t>
            </w:r>
          </w:p>
        </w:tc>
        <w:tc>
          <w:tcPr>
            <w:tcW w:w="784" w:type="dxa"/>
            <w:gridSpan w:val="2"/>
            <w:tcBorders>
              <w:top w:val="single" w:sz="4" w:space="0" w:color="8B73FF"/>
              <w:left w:val="single" w:sz="4" w:space="0" w:color="8B73FF"/>
              <w:bottom w:val="single" w:sz="4" w:space="0" w:color="8B73FF"/>
              <w:right w:val="single" w:sz="4" w:space="0" w:color="8B73FF"/>
            </w:tcBorders>
          </w:tcPr>
          <w:p w14:paraId="4CD4329C" w14:textId="0A244B8E" w:rsidR="00426F62" w:rsidRPr="00426F62" w:rsidRDefault="14408BD2" w:rsidP="6917DAFC">
            <w:pPr>
              <w:jc w:val="center"/>
              <w:rPr>
                <w:noProof/>
                <w:sz w:val="16"/>
                <w:szCs w:val="16"/>
              </w:rPr>
            </w:pPr>
            <w:r w:rsidRPr="6917DAFC">
              <w:rPr>
                <w:noProof/>
                <w:sz w:val="16"/>
                <w:szCs w:val="16"/>
              </w:rPr>
              <w:t>7451</w:t>
            </w:r>
          </w:p>
        </w:tc>
        <w:tc>
          <w:tcPr>
            <w:tcW w:w="786" w:type="dxa"/>
            <w:tcBorders>
              <w:top w:val="single" w:sz="4" w:space="0" w:color="8B73FF"/>
              <w:left w:val="single" w:sz="4" w:space="0" w:color="8B73FF"/>
              <w:bottom w:val="single" w:sz="4" w:space="0" w:color="8B73FF"/>
              <w:right w:val="single" w:sz="4" w:space="0" w:color="8B73FF"/>
            </w:tcBorders>
          </w:tcPr>
          <w:p w14:paraId="03A664E4" w14:textId="4C5FD418" w:rsidR="00426F62" w:rsidRPr="00426F62" w:rsidRDefault="14408BD2" w:rsidP="6917DAFC">
            <w:pPr>
              <w:jc w:val="center"/>
              <w:rPr>
                <w:rFonts w:eastAsia="Times New Roman"/>
                <w:noProof/>
                <w:color w:val="000000" w:themeColor="text1"/>
                <w:sz w:val="16"/>
                <w:szCs w:val="16"/>
                <w:lang w:eastAsia="en-IE"/>
              </w:rPr>
            </w:pPr>
            <w:r w:rsidRPr="6917DAFC">
              <w:rPr>
                <w:noProof/>
                <w:sz w:val="16"/>
                <w:szCs w:val="16"/>
              </w:rPr>
              <w:t>-</w:t>
            </w:r>
          </w:p>
        </w:tc>
        <w:tc>
          <w:tcPr>
            <w:tcW w:w="755" w:type="dxa"/>
            <w:gridSpan w:val="2"/>
            <w:tcBorders>
              <w:top w:val="single" w:sz="4" w:space="0" w:color="8B73FF"/>
              <w:left w:val="single" w:sz="4" w:space="0" w:color="8B73FF"/>
              <w:bottom w:val="single" w:sz="4" w:space="0" w:color="8B73FF"/>
              <w:right w:val="single" w:sz="4" w:space="0" w:color="8B73FF"/>
            </w:tcBorders>
          </w:tcPr>
          <w:p w14:paraId="2179269E" w14:textId="788F8355" w:rsidR="00426F62" w:rsidRPr="00426F62" w:rsidRDefault="0368D173" w:rsidP="6917DAFC">
            <w:pPr>
              <w:jc w:val="center"/>
              <w:rPr>
                <w:noProof/>
                <w:sz w:val="16"/>
                <w:szCs w:val="16"/>
              </w:rPr>
            </w:pPr>
            <w:r w:rsidRPr="6917DAFC">
              <w:rPr>
                <w:noProof/>
                <w:sz w:val="16"/>
                <w:szCs w:val="16"/>
              </w:rPr>
              <w:t>-</w:t>
            </w:r>
          </w:p>
        </w:tc>
        <w:tc>
          <w:tcPr>
            <w:tcW w:w="622" w:type="dxa"/>
            <w:tcBorders>
              <w:top w:val="single" w:sz="4" w:space="0" w:color="8B73FF"/>
              <w:left w:val="single" w:sz="4" w:space="0" w:color="8B73FF"/>
              <w:bottom w:val="single" w:sz="4" w:space="0" w:color="8B73FF"/>
              <w:right w:val="single" w:sz="4" w:space="0" w:color="8B73FF"/>
            </w:tcBorders>
          </w:tcPr>
          <w:p w14:paraId="3FCB402F" w14:textId="1CF9911B" w:rsidR="00426F62" w:rsidRPr="00426F62" w:rsidRDefault="0368D173" w:rsidP="6917DAFC">
            <w:pPr>
              <w:jc w:val="center"/>
              <w:rPr>
                <w:noProof/>
                <w:sz w:val="16"/>
                <w:szCs w:val="16"/>
              </w:rPr>
            </w:pPr>
            <w:r w:rsidRPr="6917DAFC">
              <w:rPr>
                <w:noProof/>
                <w:sz w:val="16"/>
                <w:szCs w:val="16"/>
              </w:rPr>
              <w:t>10000</w:t>
            </w:r>
          </w:p>
        </w:tc>
      </w:tr>
      <w:tr w:rsidR="00426F62" w:rsidRPr="007C0C4B" w14:paraId="333CDA79" w14:textId="77777777" w:rsidTr="002E069A">
        <w:trPr>
          <w:gridAfter w:val="1"/>
          <w:wAfter w:w="114" w:type="dxa"/>
          <w:cantSplit/>
          <w:trHeight w:hRule="exact" w:val="516"/>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8A1477E"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SMEs with at least a basic level of digital intensity *</w:t>
            </w:r>
          </w:p>
        </w:tc>
        <w:tc>
          <w:tcPr>
            <w:tcW w:w="892" w:type="dxa"/>
            <w:tcBorders>
              <w:top w:val="single" w:sz="4" w:space="0" w:color="8B73FF"/>
              <w:left w:val="single" w:sz="4" w:space="0" w:color="8B73FF"/>
              <w:bottom w:val="single" w:sz="4" w:space="0" w:color="8B73FF"/>
              <w:right w:val="single" w:sz="4" w:space="0" w:color="8B73FF"/>
            </w:tcBorders>
          </w:tcPr>
          <w:p w14:paraId="6E4084D0" w14:textId="1CC60FD7" w:rsidR="00426F62" w:rsidRPr="00426F62" w:rsidRDefault="0368D173" w:rsidP="6917DAFC">
            <w:pPr>
              <w:jc w:val="center"/>
              <w:rPr>
                <w:noProof/>
                <w:sz w:val="16"/>
                <w:szCs w:val="16"/>
              </w:rPr>
            </w:pPr>
            <w:r w:rsidRPr="6917DAFC">
              <w:rPr>
                <w:noProof/>
                <w:sz w:val="16"/>
                <w:szCs w:val="16"/>
              </w:rPr>
              <w:t>57.9%</w:t>
            </w:r>
          </w:p>
        </w:tc>
        <w:tc>
          <w:tcPr>
            <w:tcW w:w="1145" w:type="dxa"/>
            <w:tcBorders>
              <w:top w:val="single" w:sz="4" w:space="0" w:color="8B73FF"/>
              <w:left w:val="single" w:sz="4" w:space="0" w:color="8B73FF"/>
              <w:bottom w:val="single" w:sz="4" w:space="0" w:color="8B73FF"/>
              <w:right w:val="single" w:sz="4" w:space="0" w:color="8B73FF"/>
            </w:tcBorders>
          </w:tcPr>
          <w:p w14:paraId="3C3409D0" w14:textId="274A2789" w:rsidR="00426F62" w:rsidRPr="00426F62" w:rsidRDefault="0368D173" w:rsidP="6917DAFC">
            <w:pPr>
              <w:jc w:val="center"/>
              <w:rPr>
                <w:noProof/>
                <w:sz w:val="16"/>
                <w:szCs w:val="16"/>
              </w:rPr>
            </w:pPr>
            <w:r w:rsidRPr="6917DAFC">
              <w:rPr>
                <w:noProof/>
                <w:sz w:val="16"/>
                <w:szCs w:val="16"/>
              </w:rPr>
              <w:t>76.7%</w:t>
            </w:r>
          </w:p>
        </w:tc>
        <w:tc>
          <w:tcPr>
            <w:tcW w:w="786" w:type="dxa"/>
            <w:tcBorders>
              <w:top w:val="single" w:sz="4" w:space="0" w:color="8B73FF"/>
              <w:left w:val="single" w:sz="4" w:space="0" w:color="8B73FF"/>
              <w:bottom w:val="single" w:sz="4" w:space="0" w:color="8B73FF"/>
              <w:right w:val="single" w:sz="4" w:space="0" w:color="8B73FF"/>
            </w:tcBorders>
          </w:tcPr>
          <w:p w14:paraId="336939EB" w14:textId="187DB313" w:rsidR="00426F62" w:rsidRPr="00426F62" w:rsidRDefault="0368D173" w:rsidP="6917DAFC">
            <w:pPr>
              <w:jc w:val="center"/>
              <w:rPr>
                <w:noProof/>
                <w:sz w:val="16"/>
                <w:szCs w:val="16"/>
              </w:rPr>
            </w:pPr>
            <w:r w:rsidRPr="6917DAFC">
              <w:rPr>
                <w:noProof/>
                <w:sz w:val="16"/>
                <w:szCs w:val="16"/>
              </w:rPr>
              <w:t>15.1%</w:t>
            </w:r>
          </w:p>
        </w:tc>
        <w:tc>
          <w:tcPr>
            <w:tcW w:w="870" w:type="dxa"/>
            <w:tcBorders>
              <w:top w:val="single" w:sz="4" w:space="0" w:color="8B73FF"/>
              <w:left w:val="single" w:sz="4" w:space="0" w:color="8B73FF"/>
              <w:bottom w:val="single" w:sz="4" w:space="0" w:color="8B73FF"/>
              <w:right w:val="single" w:sz="4" w:space="0" w:color="8B73FF"/>
            </w:tcBorders>
          </w:tcPr>
          <w:p w14:paraId="66DFBF8A" w14:textId="563BE10F"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75.1% </w:t>
            </w:r>
          </w:p>
        </w:tc>
        <w:tc>
          <w:tcPr>
            <w:tcW w:w="784" w:type="dxa"/>
            <w:gridSpan w:val="2"/>
            <w:tcBorders>
              <w:top w:val="single" w:sz="4" w:space="0" w:color="8B73FF"/>
              <w:left w:val="single" w:sz="4" w:space="0" w:color="8B73FF"/>
              <w:bottom w:val="single" w:sz="4" w:space="0" w:color="8B73FF"/>
              <w:right w:val="single" w:sz="4" w:space="0" w:color="8B73FF"/>
            </w:tcBorders>
          </w:tcPr>
          <w:p w14:paraId="30C402CD" w14:textId="7A7577FE" w:rsidR="00426F62" w:rsidRPr="00426F62" w:rsidRDefault="0368D173" w:rsidP="6917DAFC">
            <w:pPr>
              <w:jc w:val="center"/>
              <w:rPr>
                <w:noProof/>
                <w:sz w:val="16"/>
                <w:szCs w:val="16"/>
              </w:rPr>
            </w:pPr>
            <w:r w:rsidRPr="6917DAFC">
              <w:rPr>
                <w:noProof/>
                <w:sz w:val="16"/>
                <w:szCs w:val="16"/>
              </w:rPr>
              <w:t>71.4%</w:t>
            </w:r>
          </w:p>
        </w:tc>
        <w:tc>
          <w:tcPr>
            <w:tcW w:w="786" w:type="dxa"/>
            <w:tcBorders>
              <w:top w:val="single" w:sz="4" w:space="0" w:color="8B73FF"/>
              <w:left w:val="single" w:sz="4" w:space="0" w:color="8B73FF"/>
              <w:bottom w:val="single" w:sz="4" w:space="0" w:color="8B73FF"/>
              <w:right w:val="single" w:sz="4" w:space="0" w:color="8B73FF"/>
            </w:tcBorders>
          </w:tcPr>
          <w:p w14:paraId="6AAC3B00" w14:textId="3AF3041E" w:rsidR="00426F62" w:rsidRPr="00426F62" w:rsidRDefault="0368D173" w:rsidP="6917DAFC">
            <w:pPr>
              <w:jc w:val="center"/>
              <w:rPr>
                <w:noProof/>
                <w:sz w:val="16"/>
                <w:szCs w:val="16"/>
              </w:rPr>
            </w:pPr>
            <w:r w:rsidRPr="6917DAFC">
              <w:rPr>
                <w:noProof/>
                <w:sz w:val="16"/>
                <w:szCs w:val="16"/>
              </w:rPr>
              <w:t>11.0%</w:t>
            </w:r>
          </w:p>
        </w:tc>
        <w:tc>
          <w:tcPr>
            <w:tcW w:w="755" w:type="dxa"/>
            <w:gridSpan w:val="2"/>
            <w:tcBorders>
              <w:top w:val="single" w:sz="4" w:space="0" w:color="8B73FF"/>
              <w:left w:val="single" w:sz="4" w:space="0" w:color="8B73FF"/>
              <w:bottom w:val="single" w:sz="4" w:space="0" w:color="8B73FF"/>
              <w:right w:val="single" w:sz="4" w:space="0" w:color="8B73FF"/>
            </w:tcBorders>
          </w:tcPr>
          <w:p w14:paraId="6C60689B" w14:textId="30F22FB9" w:rsidR="00426F62" w:rsidRPr="00426F62" w:rsidRDefault="0368D173" w:rsidP="6917DAFC">
            <w:pPr>
              <w:jc w:val="center"/>
              <w:rPr>
                <w:noProof/>
                <w:sz w:val="16"/>
                <w:szCs w:val="16"/>
              </w:rPr>
            </w:pPr>
            <w:r w:rsidRPr="6917DAFC">
              <w:rPr>
                <w:noProof/>
                <w:sz w:val="16"/>
                <w:szCs w:val="16"/>
              </w:rPr>
              <w:t>90.0%</w:t>
            </w:r>
          </w:p>
        </w:tc>
        <w:tc>
          <w:tcPr>
            <w:tcW w:w="622" w:type="dxa"/>
            <w:tcBorders>
              <w:top w:val="single" w:sz="4" w:space="0" w:color="8B73FF"/>
              <w:left w:val="single" w:sz="4" w:space="0" w:color="8B73FF"/>
              <w:bottom w:val="single" w:sz="4" w:space="0" w:color="8B73FF"/>
              <w:right w:val="single" w:sz="4" w:space="0" w:color="8B73FF"/>
            </w:tcBorders>
          </w:tcPr>
          <w:p w14:paraId="4999FAF1" w14:textId="49279B29" w:rsidR="00426F62" w:rsidRPr="00426F62" w:rsidRDefault="0368D173" w:rsidP="6917DAFC">
            <w:pPr>
              <w:jc w:val="center"/>
              <w:rPr>
                <w:noProof/>
                <w:sz w:val="16"/>
                <w:szCs w:val="16"/>
              </w:rPr>
            </w:pPr>
            <w:r w:rsidRPr="6917DAFC">
              <w:rPr>
                <w:noProof/>
                <w:sz w:val="16"/>
                <w:szCs w:val="16"/>
              </w:rPr>
              <w:t>90%</w:t>
            </w:r>
          </w:p>
        </w:tc>
      </w:tr>
      <w:tr w:rsidR="00426F62" w:rsidRPr="007C0C4B" w14:paraId="4383C30D" w14:textId="77777777" w:rsidTr="002E069A">
        <w:trPr>
          <w:gridAfter w:val="1"/>
          <w:wAfter w:w="114" w:type="dxa"/>
          <w:cantSplit/>
          <w:trHeight w:hRule="exact" w:val="284"/>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0963584"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Cloud *</w:t>
            </w:r>
          </w:p>
        </w:tc>
        <w:tc>
          <w:tcPr>
            <w:tcW w:w="892" w:type="dxa"/>
            <w:tcBorders>
              <w:top w:val="single" w:sz="4" w:space="0" w:color="8B73FF"/>
              <w:left w:val="single" w:sz="4" w:space="0" w:color="8B73FF"/>
              <w:bottom w:val="single" w:sz="4" w:space="0" w:color="8B73FF"/>
              <w:right w:val="single" w:sz="4" w:space="0" w:color="8B73FF"/>
            </w:tcBorders>
          </w:tcPr>
          <w:p w14:paraId="5D8FCF76" w14:textId="187E321D" w:rsidR="00426F62" w:rsidRPr="00426F62" w:rsidRDefault="0368D173" w:rsidP="6917DAFC">
            <w:pPr>
              <w:jc w:val="center"/>
              <w:rPr>
                <w:noProof/>
                <w:sz w:val="16"/>
                <w:szCs w:val="16"/>
              </w:rPr>
            </w:pPr>
            <w:r w:rsidRPr="6917DAFC">
              <w:rPr>
                <w:noProof/>
                <w:sz w:val="16"/>
                <w:szCs w:val="16"/>
              </w:rPr>
              <w:t>32.6%</w:t>
            </w:r>
          </w:p>
        </w:tc>
        <w:tc>
          <w:tcPr>
            <w:tcW w:w="1145" w:type="dxa"/>
            <w:tcBorders>
              <w:top w:val="single" w:sz="4" w:space="0" w:color="8B73FF"/>
              <w:left w:val="single" w:sz="4" w:space="0" w:color="8B73FF"/>
              <w:bottom w:val="single" w:sz="4" w:space="0" w:color="8B73FF"/>
              <w:right w:val="single" w:sz="4" w:space="0" w:color="8B73FF"/>
            </w:tcBorders>
          </w:tcPr>
          <w:p w14:paraId="7116B8C8" w14:textId="2E2AEA10" w:rsidR="00426F62" w:rsidRPr="00426F62" w:rsidRDefault="0368D173" w:rsidP="6917DAFC">
            <w:pPr>
              <w:jc w:val="center"/>
              <w:rPr>
                <w:noProof/>
                <w:sz w:val="16"/>
                <w:szCs w:val="16"/>
              </w:rPr>
            </w:pPr>
            <w:r w:rsidRPr="6917DAFC">
              <w:rPr>
                <w:noProof/>
                <w:sz w:val="16"/>
                <w:szCs w:val="16"/>
              </w:rPr>
              <w:t>43.7%</w:t>
            </w:r>
          </w:p>
        </w:tc>
        <w:tc>
          <w:tcPr>
            <w:tcW w:w="786" w:type="dxa"/>
            <w:tcBorders>
              <w:top w:val="single" w:sz="4" w:space="0" w:color="8B73FF"/>
              <w:left w:val="single" w:sz="4" w:space="0" w:color="8B73FF"/>
              <w:bottom w:val="single" w:sz="4" w:space="0" w:color="8B73FF"/>
              <w:right w:val="single" w:sz="4" w:space="0" w:color="8B73FF"/>
            </w:tcBorders>
          </w:tcPr>
          <w:p w14:paraId="0FBBC579" w14:textId="34727863" w:rsidR="00426F62" w:rsidRPr="00426F62" w:rsidRDefault="0368D173" w:rsidP="6917DAFC">
            <w:pPr>
              <w:jc w:val="center"/>
              <w:rPr>
                <w:noProof/>
                <w:sz w:val="16"/>
                <w:szCs w:val="16"/>
              </w:rPr>
            </w:pPr>
            <w:r w:rsidRPr="6917DAFC">
              <w:rPr>
                <w:noProof/>
                <w:sz w:val="16"/>
                <w:szCs w:val="16"/>
              </w:rPr>
              <w:t>15.7%</w:t>
            </w:r>
          </w:p>
        </w:tc>
        <w:tc>
          <w:tcPr>
            <w:tcW w:w="870" w:type="dxa"/>
            <w:tcBorders>
              <w:top w:val="single" w:sz="4" w:space="0" w:color="8B73FF"/>
              <w:left w:val="single" w:sz="4" w:space="0" w:color="8B73FF"/>
              <w:bottom w:val="single" w:sz="4" w:space="0" w:color="8B73FF"/>
              <w:right w:val="single" w:sz="4" w:space="0" w:color="8B73FF"/>
            </w:tcBorders>
          </w:tcPr>
          <w:p w14:paraId="31936D54" w14:textId="493F14E9"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37.8% </w:t>
            </w:r>
          </w:p>
        </w:tc>
        <w:tc>
          <w:tcPr>
            <w:tcW w:w="784" w:type="dxa"/>
            <w:gridSpan w:val="2"/>
            <w:tcBorders>
              <w:top w:val="single" w:sz="4" w:space="0" w:color="8B73FF"/>
              <w:left w:val="single" w:sz="4" w:space="0" w:color="8B73FF"/>
              <w:bottom w:val="single" w:sz="4" w:space="0" w:color="8B73FF"/>
              <w:right w:val="single" w:sz="4" w:space="0" w:color="8B73FF"/>
            </w:tcBorders>
          </w:tcPr>
          <w:p w14:paraId="7FD5F618" w14:textId="15CA8CF8" w:rsidR="00426F62" w:rsidRPr="00426F62" w:rsidRDefault="0368D173" w:rsidP="6917DAFC">
            <w:pPr>
              <w:jc w:val="center"/>
              <w:rPr>
                <w:noProof/>
                <w:sz w:val="16"/>
                <w:szCs w:val="16"/>
              </w:rPr>
            </w:pPr>
            <w:r w:rsidRPr="6917DAFC">
              <w:rPr>
                <w:noProof/>
                <w:sz w:val="16"/>
                <w:szCs w:val="16"/>
              </w:rPr>
              <w:t>46.7%</w:t>
            </w:r>
          </w:p>
        </w:tc>
        <w:tc>
          <w:tcPr>
            <w:tcW w:w="786" w:type="dxa"/>
            <w:tcBorders>
              <w:top w:val="single" w:sz="4" w:space="0" w:color="8B73FF"/>
              <w:left w:val="single" w:sz="4" w:space="0" w:color="8B73FF"/>
              <w:bottom w:val="single" w:sz="4" w:space="0" w:color="8B73FF"/>
              <w:right w:val="single" w:sz="4" w:space="0" w:color="8B73FF"/>
            </w:tcBorders>
          </w:tcPr>
          <w:p w14:paraId="4E4EFAF7" w14:textId="7C2A0AF1" w:rsidR="00426F62" w:rsidRPr="00426F62" w:rsidRDefault="0368D173" w:rsidP="6917DAFC">
            <w:pPr>
              <w:jc w:val="center"/>
              <w:rPr>
                <w:noProof/>
                <w:sz w:val="16"/>
                <w:szCs w:val="16"/>
              </w:rPr>
            </w:pPr>
            <w:r w:rsidRPr="6917DAFC">
              <w:rPr>
                <w:noProof/>
                <w:sz w:val="16"/>
                <w:szCs w:val="16"/>
              </w:rPr>
              <w:t>9.5%</w:t>
            </w:r>
          </w:p>
        </w:tc>
        <w:tc>
          <w:tcPr>
            <w:tcW w:w="755" w:type="dxa"/>
            <w:gridSpan w:val="2"/>
            <w:tcBorders>
              <w:top w:val="single" w:sz="4" w:space="0" w:color="8B73FF"/>
              <w:left w:val="single" w:sz="4" w:space="0" w:color="8B73FF"/>
              <w:bottom w:val="single" w:sz="4" w:space="0" w:color="8B73FF"/>
              <w:right w:val="single" w:sz="4" w:space="0" w:color="8B73FF"/>
            </w:tcBorders>
          </w:tcPr>
          <w:p w14:paraId="46FEC67F" w14:textId="40D31662" w:rsidR="00426F62" w:rsidRPr="00426F62" w:rsidRDefault="0368D173" w:rsidP="6917DAFC">
            <w:pPr>
              <w:jc w:val="center"/>
              <w:rPr>
                <w:noProof/>
                <w:sz w:val="16"/>
                <w:szCs w:val="16"/>
              </w:rPr>
            </w:pPr>
            <w:r w:rsidRPr="6917DAFC">
              <w:rPr>
                <w:noProof/>
                <w:sz w:val="16"/>
                <w:szCs w:val="16"/>
              </w:rPr>
              <w:t>75.0%</w:t>
            </w:r>
          </w:p>
        </w:tc>
        <w:tc>
          <w:tcPr>
            <w:tcW w:w="622" w:type="dxa"/>
            <w:tcBorders>
              <w:top w:val="single" w:sz="4" w:space="0" w:color="8B73FF"/>
              <w:left w:val="single" w:sz="4" w:space="0" w:color="8B73FF"/>
              <w:bottom w:val="single" w:sz="4" w:space="0" w:color="8B73FF"/>
              <w:right w:val="single" w:sz="4" w:space="0" w:color="8B73FF"/>
            </w:tcBorders>
          </w:tcPr>
          <w:p w14:paraId="3711DE23" w14:textId="31075061" w:rsidR="00426F62" w:rsidRPr="00426F62" w:rsidRDefault="0368D173" w:rsidP="6917DAFC">
            <w:pPr>
              <w:jc w:val="center"/>
              <w:rPr>
                <w:noProof/>
                <w:sz w:val="16"/>
                <w:szCs w:val="16"/>
              </w:rPr>
            </w:pPr>
            <w:r w:rsidRPr="6917DAFC">
              <w:rPr>
                <w:noProof/>
                <w:sz w:val="16"/>
                <w:szCs w:val="16"/>
              </w:rPr>
              <w:t>75%</w:t>
            </w:r>
          </w:p>
        </w:tc>
      </w:tr>
      <w:tr w:rsidR="00426F62" w:rsidRPr="007C0C4B" w14:paraId="71E61972" w14:textId="77777777" w:rsidTr="002E069A">
        <w:trPr>
          <w:gridAfter w:val="1"/>
          <w:wAfter w:w="114" w:type="dxa"/>
          <w:cantSplit/>
          <w:trHeight w:hRule="exact" w:val="284"/>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0DE9780"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Artificial Intelligence</w:t>
            </w:r>
          </w:p>
        </w:tc>
        <w:tc>
          <w:tcPr>
            <w:tcW w:w="892" w:type="dxa"/>
            <w:tcBorders>
              <w:top w:val="single" w:sz="4" w:space="0" w:color="8B73FF"/>
              <w:left w:val="single" w:sz="4" w:space="0" w:color="8B73FF"/>
              <w:bottom w:val="single" w:sz="4" w:space="0" w:color="8B73FF"/>
              <w:right w:val="single" w:sz="4" w:space="0" w:color="8B73FF"/>
            </w:tcBorders>
          </w:tcPr>
          <w:p w14:paraId="6666D1CE" w14:textId="18B3A140" w:rsidR="00426F62" w:rsidRPr="00426F62" w:rsidRDefault="0368D173" w:rsidP="6917DAFC">
            <w:pPr>
              <w:jc w:val="center"/>
              <w:rPr>
                <w:noProof/>
                <w:sz w:val="16"/>
                <w:szCs w:val="16"/>
              </w:rPr>
            </w:pPr>
            <w:r w:rsidRPr="6917DAFC">
              <w:rPr>
                <w:noProof/>
                <w:sz w:val="16"/>
                <w:szCs w:val="16"/>
              </w:rPr>
              <w:t>23.7%</w:t>
            </w:r>
          </w:p>
        </w:tc>
        <w:tc>
          <w:tcPr>
            <w:tcW w:w="1145" w:type="dxa"/>
            <w:tcBorders>
              <w:top w:val="single" w:sz="4" w:space="0" w:color="8B73FF"/>
              <w:left w:val="single" w:sz="4" w:space="0" w:color="8B73FF"/>
              <w:bottom w:val="single" w:sz="4" w:space="0" w:color="8B73FF"/>
              <w:right w:val="single" w:sz="4" w:space="0" w:color="8B73FF"/>
            </w:tcBorders>
          </w:tcPr>
          <w:p w14:paraId="118BB08B" w14:textId="674B97E4" w:rsidR="00426F62" w:rsidRPr="00426F62" w:rsidRDefault="0368D173" w:rsidP="6917DAFC">
            <w:pPr>
              <w:jc w:val="center"/>
              <w:rPr>
                <w:noProof/>
                <w:sz w:val="16"/>
                <w:szCs w:val="16"/>
              </w:rPr>
            </w:pPr>
            <w:r w:rsidRPr="6917DAFC">
              <w:rPr>
                <w:noProof/>
                <w:sz w:val="16"/>
                <w:szCs w:val="16"/>
              </w:rPr>
              <w:t>33.6%</w:t>
            </w:r>
          </w:p>
        </w:tc>
        <w:tc>
          <w:tcPr>
            <w:tcW w:w="786" w:type="dxa"/>
            <w:tcBorders>
              <w:top w:val="single" w:sz="4" w:space="0" w:color="8B73FF"/>
              <w:left w:val="single" w:sz="4" w:space="0" w:color="8B73FF"/>
              <w:bottom w:val="single" w:sz="4" w:space="0" w:color="8B73FF"/>
              <w:right w:val="single" w:sz="4" w:space="0" w:color="8B73FF"/>
            </w:tcBorders>
          </w:tcPr>
          <w:p w14:paraId="37007CC5" w14:textId="0B3C6B8B" w:rsidR="00426F62" w:rsidRPr="00426F62" w:rsidRDefault="0368D173" w:rsidP="6917DAFC">
            <w:pPr>
              <w:jc w:val="center"/>
              <w:rPr>
                <w:noProof/>
                <w:sz w:val="16"/>
                <w:szCs w:val="16"/>
              </w:rPr>
            </w:pPr>
            <w:r w:rsidRPr="6917DAFC">
              <w:rPr>
                <w:noProof/>
                <w:sz w:val="16"/>
                <w:szCs w:val="16"/>
              </w:rPr>
              <w:t>41.6%</w:t>
            </w:r>
          </w:p>
        </w:tc>
        <w:tc>
          <w:tcPr>
            <w:tcW w:w="870" w:type="dxa"/>
            <w:tcBorders>
              <w:top w:val="single" w:sz="4" w:space="0" w:color="8B73FF"/>
              <w:left w:val="single" w:sz="4" w:space="0" w:color="8B73FF"/>
              <w:bottom w:val="single" w:sz="4" w:space="0" w:color="8B73FF"/>
              <w:right w:val="single" w:sz="4" w:space="0" w:color="8B73FF"/>
            </w:tcBorders>
          </w:tcPr>
          <w:p w14:paraId="28BF54DB" w14:textId="313E22A0"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52.1% </w:t>
            </w:r>
          </w:p>
        </w:tc>
        <w:tc>
          <w:tcPr>
            <w:tcW w:w="784" w:type="dxa"/>
            <w:gridSpan w:val="2"/>
            <w:tcBorders>
              <w:top w:val="single" w:sz="4" w:space="0" w:color="8B73FF"/>
              <w:left w:val="single" w:sz="4" w:space="0" w:color="8B73FF"/>
              <w:bottom w:val="single" w:sz="4" w:space="0" w:color="8B73FF"/>
              <w:right w:val="single" w:sz="4" w:space="0" w:color="8B73FF"/>
            </w:tcBorders>
          </w:tcPr>
          <w:p w14:paraId="4F270D61" w14:textId="5209F978" w:rsidR="00426F62" w:rsidRPr="00426F62" w:rsidRDefault="0368D173" w:rsidP="6917DAFC">
            <w:pPr>
              <w:jc w:val="center"/>
              <w:rPr>
                <w:noProof/>
                <w:sz w:val="16"/>
                <w:szCs w:val="16"/>
              </w:rPr>
            </w:pPr>
            <w:r w:rsidRPr="6917DAFC">
              <w:rPr>
                <w:noProof/>
                <w:sz w:val="16"/>
                <w:szCs w:val="16"/>
              </w:rPr>
              <w:t>20.0%</w:t>
            </w:r>
          </w:p>
        </w:tc>
        <w:tc>
          <w:tcPr>
            <w:tcW w:w="786" w:type="dxa"/>
            <w:tcBorders>
              <w:top w:val="single" w:sz="4" w:space="0" w:color="8B73FF"/>
              <w:left w:val="single" w:sz="4" w:space="0" w:color="8B73FF"/>
              <w:bottom w:val="single" w:sz="4" w:space="0" w:color="8B73FF"/>
              <w:right w:val="single" w:sz="4" w:space="0" w:color="8B73FF"/>
            </w:tcBorders>
          </w:tcPr>
          <w:p w14:paraId="28392871" w14:textId="1536C5E8" w:rsidR="00426F62" w:rsidRPr="00426F62" w:rsidRDefault="0368D173" w:rsidP="6917DAFC">
            <w:pPr>
              <w:jc w:val="center"/>
              <w:rPr>
                <w:noProof/>
                <w:sz w:val="16"/>
                <w:szCs w:val="16"/>
              </w:rPr>
            </w:pPr>
            <w:r w:rsidRPr="6917DAFC">
              <w:rPr>
                <w:noProof/>
                <w:sz w:val="16"/>
                <w:szCs w:val="16"/>
              </w:rPr>
              <w:t>48.0%</w:t>
            </w:r>
          </w:p>
        </w:tc>
        <w:tc>
          <w:tcPr>
            <w:tcW w:w="755" w:type="dxa"/>
            <w:gridSpan w:val="2"/>
            <w:tcBorders>
              <w:top w:val="single" w:sz="4" w:space="0" w:color="8B73FF"/>
              <w:left w:val="single" w:sz="4" w:space="0" w:color="8B73FF"/>
              <w:bottom w:val="single" w:sz="4" w:space="0" w:color="8B73FF"/>
              <w:right w:val="single" w:sz="4" w:space="0" w:color="8B73FF"/>
            </w:tcBorders>
          </w:tcPr>
          <w:p w14:paraId="33D1479A" w14:textId="1AABDED5" w:rsidR="00426F62" w:rsidRPr="00426F62" w:rsidRDefault="0368D173" w:rsidP="6917DAFC">
            <w:pPr>
              <w:jc w:val="center"/>
              <w:rPr>
                <w:noProof/>
                <w:sz w:val="16"/>
                <w:szCs w:val="16"/>
              </w:rPr>
            </w:pPr>
            <w:r w:rsidRPr="6917DAFC">
              <w:rPr>
                <w:noProof/>
                <w:sz w:val="16"/>
                <w:szCs w:val="16"/>
              </w:rPr>
              <w:t>75.0%</w:t>
            </w:r>
          </w:p>
        </w:tc>
        <w:tc>
          <w:tcPr>
            <w:tcW w:w="622" w:type="dxa"/>
            <w:tcBorders>
              <w:top w:val="single" w:sz="4" w:space="0" w:color="8B73FF"/>
              <w:left w:val="single" w:sz="4" w:space="0" w:color="8B73FF"/>
              <w:bottom w:val="single" w:sz="4" w:space="0" w:color="8B73FF"/>
              <w:right w:val="single" w:sz="4" w:space="0" w:color="8B73FF"/>
            </w:tcBorders>
          </w:tcPr>
          <w:p w14:paraId="7EB49C88" w14:textId="0F411C26" w:rsidR="00426F62" w:rsidRPr="00426F62" w:rsidRDefault="0368D173" w:rsidP="6917DAFC">
            <w:pPr>
              <w:jc w:val="center"/>
              <w:rPr>
                <w:noProof/>
                <w:sz w:val="16"/>
                <w:szCs w:val="16"/>
              </w:rPr>
            </w:pPr>
            <w:r w:rsidRPr="6917DAFC">
              <w:rPr>
                <w:noProof/>
                <w:sz w:val="16"/>
                <w:szCs w:val="16"/>
              </w:rPr>
              <w:t>75%</w:t>
            </w:r>
          </w:p>
        </w:tc>
      </w:tr>
      <w:tr w:rsidR="00426F62" w:rsidRPr="007C0C4B" w14:paraId="79739510" w14:textId="77777777" w:rsidTr="002E069A">
        <w:trPr>
          <w:gridAfter w:val="1"/>
          <w:wAfter w:w="114" w:type="dxa"/>
          <w:cantSplit/>
          <w:trHeight w:hRule="exact" w:val="284"/>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36B16FD"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Data analytics *</w:t>
            </w:r>
          </w:p>
        </w:tc>
        <w:tc>
          <w:tcPr>
            <w:tcW w:w="892" w:type="dxa"/>
            <w:tcBorders>
              <w:top w:val="single" w:sz="4" w:space="0" w:color="8B73FF"/>
              <w:left w:val="single" w:sz="4" w:space="0" w:color="8B73FF"/>
              <w:bottom w:val="single" w:sz="4" w:space="0" w:color="8B73FF"/>
              <w:right w:val="single" w:sz="4" w:space="0" w:color="8B73FF"/>
            </w:tcBorders>
          </w:tcPr>
          <w:p w14:paraId="5E5DA307" w14:textId="1BF6C42D" w:rsidR="00426F62" w:rsidRPr="00426F62" w:rsidRDefault="0368D173" w:rsidP="6917DAFC">
            <w:pPr>
              <w:jc w:val="center"/>
              <w:rPr>
                <w:noProof/>
                <w:sz w:val="16"/>
                <w:szCs w:val="16"/>
              </w:rPr>
            </w:pPr>
            <w:r w:rsidRPr="6917DAFC">
              <w:rPr>
                <w:noProof/>
                <w:sz w:val="16"/>
                <w:szCs w:val="16"/>
              </w:rPr>
              <w:t>32.4%</w:t>
            </w:r>
          </w:p>
        </w:tc>
        <w:tc>
          <w:tcPr>
            <w:tcW w:w="1145" w:type="dxa"/>
            <w:tcBorders>
              <w:top w:val="single" w:sz="4" w:space="0" w:color="8B73FF"/>
              <w:left w:val="single" w:sz="4" w:space="0" w:color="8B73FF"/>
              <w:bottom w:val="single" w:sz="4" w:space="0" w:color="8B73FF"/>
              <w:right w:val="single" w:sz="4" w:space="0" w:color="8B73FF"/>
            </w:tcBorders>
          </w:tcPr>
          <w:p w14:paraId="49442972" w14:textId="3428994F" w:rsidR="00426F62" w:rsidRPr="00426F62" w:rsidRDefault="0368D173" w:rsidP="6917DAFC">
            <w:pPr>
              <w:jc w:val="center"/>
              <w:rPr>
                <w:noProof/>
                <w:sz w:val="16"/>
                <w:szCs w:val="16"/>
              </w:rPr>
            </w:pPr>
            <w:r w:rsidRPr="6917DAFC">
              <w:rPr>
                <w:noProof/>
                <w:sz w:val="16"/>
                <w:szCs w:val="16"/>
              </w:rPr>
              <w:t>38.2%</w:t>
            </w:r>
          </w:p>
        </w:tc>
        <w:tc>
          <w:tcPr>
            <w:tcW w:w="786" w:type="dxa"/>
            <w:tcBorders>
              <w:top w:val="single" w:sz="4" w:space="0" w:color="8B73FF"/>
              <w:left w:val="single" w:sz="4" w:space="0" w:color="8B73FF"/>
              <w:bottom w:val="single" w:sz="4" w:space="0" w:color="8B73FF"/>
              <w:right w:val="single" w:sz="4" w:space="0" w:color="8B73FF"/>
            </w:tcBorders>
          </w:tcPr>
          <w:p w14:paraId="56F6D573" w14:textId="2D31BD4B" w:rsidR="00426F62" w:rsidRPr="00426F62" w:rsidRDefault="0368D173" w:rsidP="6917DAFC">
            <w:pPr>
              <w:jc w:val="center"/>
              <w:rPr>
                <w:noProof/>
                <w:sz w:val="16"/>
                <w:szCs w:val="16"/>
              </w:rPr>
            </w:pPr>
            <w:r w:rsidRPr="6917DAFC">
              <w:rPr>
                <w:noProof/>
                <w:sz w:val="16"/>
                <w:szCs w:val="16"/>
              </w:rPr>
              <w:t>8.6%</w:t>
            </w:r>
          </w:p>
        </w:tc>
        <w:tc>
          <w:tcPr>
            <w:tcW w:w="870" w:type="dxa"/>
            <w:tcBorders>
              <w:top w:val="single" w:sz="4" w:space="0" w:color="8B73FF"/>
              <w:left w:val="single" w:sz="4" w:space="0" w:color="8B73FF"/>
              <w:bottom w:val="single" w:sz="4" w:space="0" w:color="8B73FF"/>
              <w:right w:val="single" w:sz="4" w:space="0" w:color="8B73FF"/>
            </w:tcBorders>
          </w:tcPr>
          <w:p w14:paraId="56679137" w14:textId="3D7AA18B"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68.6% </w:t>
            </w:r>
          </w:p>
        </w:tc>
        <w:tc>
          <w:tcPr>
            <w:tcW w:w="784" w:type="dxa"/>
            <w:gridSpan w:val="2"/>
            <w:tcBorders>
              <w:top w:val="single" w:sz="4" w:space="0" w:color="8B73FF"/>
              <w:left w:val="single" w:sz="4" w:space="0" w:color="8B73FF"/>
              <w:bottom w:val="single" w:sz="4" w:space="0" w:color="8B73FF"/>
              <w:right w:val="single" w:sz="4" w:space="0" w:color="8B73FF"/>
            </w:tcBorders>
          </w:tcPr>
          <w:p w14:paraId="5E3ACF28" w14:textId="6485C5F2" w:rsidR="00426F62" w:rsidRPr="00426F62" w:rsidRDefault="0368D173" w:rsidP="6917DAFC">
            <w:pPr>
              <w:jc w:val="center"/>
              <w:rPr>
                <w:noProof/>
                <w:sz w:val="16"/>
                <w:szCs w:val="16"/>
              </w:rPr>
            </w:pPr>
            <w:r w:rsidRPr="6917DAFC">
              <w:rPr>
                <w:noProof/>
                <w:sz w:val="16"/>
                <w:szCs w:val="16"/>
              </w:rPr>
              <w:t>39.9%</w:t>
            </w:r>
          </w:p>
        </w:tc>
        <w:tc>
          <w:tcPr>
            <w:tcW w:w="786" w:type="dxa"/>
            <w:tcBorders>
              <w:top w:val="single" w:sz="4" w:space="0" w:color="8B73FF"/>
              <w:left w:val="single" w:sz="4" w:space="0" w:color="8B73FF"/>
              <w:bottom w:val="single" w:sz="4" w:space="0" w:color="8B73FF"/>
              <w:right w:val="single" w:sz="4" w:space="0" w:color="8B73FF"/>
            </w:tcBorders>
          </w:tcPr>
          <w:p w14:paraId="112A2C1E" w14:textId="73011A2D" w:rsidR="00426F62" w:rsidRPr="00426F62" w:rsidRDefault="0368D173" w:rsidP="6917DAFC">
            <w:pPr>
              <w:jc w:val="center"/>
              <w:rPr>
                <w:noProof/>
                <w:sz w:val="16"/>
                <w:szCs w:val="16"/>
              </w:rPr>
            </w:pPr>
            <w:r w:rsidRPr="6917DAFC">
              <w:rPr>
                <w:noProof/>
                <w:sz w:val="16"/>
                <w:szCs w:val="16"/>
              </w:rPr>
              <w:t>9.5%</w:t>
            </w:r>
          </w:p>
        </w:tc>
        <w:tc>
          <w:tcPr>
            <w:tcW w:w="755" w:type="dxa"/>
            <w:gridSpan w:val="2"/>
            <w:tcBorders>
              <w:top w:val="single" w:sz="4" w:space="0" w:color="8B73FF"/>
              <w:left w:val="single" w:sz="4" w:space="0" w:color="8B73FF"/>
              <w:bottom w:val="single" w:sz="4" w:space="0" w:color="8B73FF"/>
              <w:right w:val="single" w:sz="4" w:space="0" w:color="8B73FF"/>
            </w:tcBorders>
          </w:tcPr>
          <w:p w14:paraId="19EB34AC" w14:textId="5FF37597" w:rsidR="00426F62" w:rsidRPr="00426F62" w:rsidRDefault="0368D173" w:rsidP="6917DAFC">
            <w:pPr>
              <w:jc w:val="center"/>
              <w:rPr>
                <w:noProof/>
                <w:sz w:val="16"/>
                <w:szCs w:val="16"/>
              </w:rPr>
            </w:pPr>
            <w:r w:rsidRPr="6917DAFC">
              <w:rPr>
                <w:noProof/>
                <w:sz w:val="16"/>
                <w:szCs w:val="16"/>
              </w:rPr>
              <w:t>75.0%</w:t>
            </w:r>
          </w:p>
        </w:tc>
        <w:tc>
          <w:tcPr>
            <w:tcW w:w="622" w:type="dxa"/>
            <w:tcBorders>
              <w:top w:val="single" w:sz="4" w:space="0" w:color="8B73FF"/>
              <w:left w:val="single" w:sz="4" w:space="0" w:color="8B73FF"/>
              <w:bottom w:val="single" w:sz="4" w:space="0" w:color="8B73FF"/>
              <w:right w:val="single" w:sz="4" w:space="0" w:color="8B73FF"/>
            </w:tcBorders>
          </w:tcPr>
          <w:p w14:paraId="6F505FAE" w14:textId="1D5AA30C" w:rsidR="00426F62" w:rsidRPr="00426F62" w:rsidRDefault="0368D173" w:rsidP="6917DAFC">
            <w:pPr>
              <w:jc w:val="center"/>
              <w:rPr>
                <w:noProof/>
                <w:sz w:val="16"/>
                <w:szCs w:val="16"/>
              </w:rPr>
            </w:pPr>
            <w:r w:rsidRPr="6917DAFC">
              <w:rPr>
                <w:noProof/>
                <w:sz w:val="16"/>
                <w:szCs w:val="16"/>
              </w:rPr>
              <w:t>75%</w:t>
            </w:r>
          </w:p>
        </w:tc>
      </w:tr>
      <w:tr w:rsidR="00426F62" w:rsidRPr="007C0C4B" w14:paraId="745F0A79" w14:textId="77777777" w:rsidTr="002E069A">
        <w:trPr>
          <w:gridAfter w:val="1"/>
          <w:wAfter w:w="114" w:type="dxa"/>
          <w:cantSplit/>
          <w:trHeight w:hRule="exact" w:val="284"/>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22A7495"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AI or Cloud or Data analytics *</w:t>
            </w:r>
          </w:p>
        </w:tc>
        <w:tc>
          <w:tcPr>
            <w:tcW w:w="892" w:type="dxa"/>
            <w:tcBorders>
              <w:top w:val="single" w:sz="4" w:space="0" w:color="8B73FF"/>
              <w:left w:val="single" w:sz="4" w:space="0" w:color="8B73FF"/>
              <w:bottom w:val="single" w:sz="4" w:space="0" w:color="8B73FF"/>
              <w:right w:val="single" w:sz="4" w:space="0" w:color="8B73FF"/>
            </w:tcBorders>
          </w:tcPr>
          <w:p w14:paraId="11C75604" w14:textId="2EBFA862" w:rsidR="00426F62" w:rsidRPr="00426F62" w:rsidRDefault="0368D173" w:rsidP="6917DAFC">
            <w:pPr>
              <w:jc w:val="center"/>
              <w:rPr>
                <w:noProof/>
                <w:sz w:val="16"/>
                <w:szCs w:val="16"/>
              </w:rPr>
            </w:pPr>
            <w:r w:rsidRPr="6917DAFC">
              <w:rPr>
                <w:noProof/>
                <w:sz w:val="16"/>
                <w:szCs w:val="16"/>
              </w:rPr>
              <w:t>52.0%</w:t>
            </w:r>
          </w:p>
        </w:tc>
        <w:tc>
          <w:tcPr>
            <w:tcW w:w="1145" w:type="dxa"/>
            <w:tcBorders>
              <w:top w:val="single" w:sz="4" w:space="0" w:color="8B73FF"/>
              <w:left w:val="single" w:sz="4" w:space="0" w:color="8B73FF"/>
              <w:bottom w:val="single" w:sz="4" w:space="0" w:color="8B73FF"/>
              <w:right w:val="single" w:sz="4" w:space="0" w:color="8B73FF"/>
            </w:tcBorders>
          </w:tcPr>
          <w:p w14:paraId="273BA1C9" w14:textId="13C12734" w:rsidR="00426F62" w:rsidRPr="00426F62" w:rsidRDefault="0368D173" w:rsidP="6917DAFC">
            <w:pPr>
              <w:jc w:val="center"/>
              <w:rPr>
                <w:noProof/>
                <w:sz w:val="16"/>
                <w:szCs w:val="16"/>
              </w:rPr>
            </w:pPr>
            <w:r w:rsidRPr="6917DAFC">
              <w:rPr>
                <w:noProof/>
                <w:sz w:val="16"/>
                <w:szCs w:val="16"/>
              </w:rPr>
              <w:t>64.4%</w:t>
            </w:r>
          </w:p>
        </w:tc>
        <w:tc>
          <w:tcPr>
            <w:tcW w:w="786" w:type="dxa"/>
            <w:tcBorders>
              <w:top w:val="single" w:sz="4" w:space="0" w:color="8B73FF"/>
              <w:left w:val="single" w:sz="4" w:space="0" w:color="8B73FF"/>
              <w:bottom w:val="single" w:sz="4" w:space="0" w:color="8B73FF"/>
              <w:right w:val="single" w:sz="4" w:space="0" w:color="8B73FF"/>
            </w:tcBorders>
          </w:tcPr>
          <w:p w14:paraId="35BA56B0" w14:textId="3290A2DD" w:rsidR="00426F62" w:rsidRPr="00426F62" w:rsidRDefault="0368D173" w:rsidP="6917DAFC">
            <w:pPr>
              <w:jc w:val="center"/>
              <w:rPr>
                <w:noProof/>
                <w:sz w:val="16"/>
                <w:szCs w:val="16"/>
              </w:rPr>
            </w:pPr>
            <w:r w:rsidRPr="6917DAFC">
              <w:rPr>
                <w:noProof/>
                <w:sz w:val="16"/>
                <w:szCs w:val="16"/>
              </w:rPr>
              <w:t>11.2%</w:t>
            </w:r>
          </w:p>
        </w:tc>
        <w:tc>
          <w:tcPr>
            <w:tcW w:w="870" w:type="dxa"/>
            <w:tcBorders>
              <w:top w:val="single" w:sz="4" w:space="0" w:color="8B73FF"/>
              <w:left w:val="single" w:sz="4" w:space="0" w:color="8B73FF"/>
              <w:bottom w:val="single" w:sz="4" w:space="0" w:color="8B73FF"/>
              <w:right w:val="single" w:sz="4" w:space="0" w:color="8B73FF"/>
            </w:tcBorders>
          </w:tcPr>
          <w:p w14:paraId="489C8065" w14:textId="251FF9EC"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 </w:t>
            </w:r>
          </w:p>
        </w:tc>
        <w:tc>
          <w:tcPr>
            <w:tcW w:w="784" w:type="dxa"/>
            <w:gridSpan w:val="2"/>
            <w:tcBorders>
              <w:top w:val="single" w:sz="4" w:space="0" w:color="8B73FF"/>
              <w:left w:val="single" w:sz="4" w:space="0" w:color="8B73FF"/>
              <w:bottom w:val="single" w:sz="4" w:space="0" w:color="8B73FF"/>
              <w:right w:val="single" w:sz="4" w:space="0" w:color="8B73FF"/>
            </w:tcBorders>
          </w:tcPr>
          <w:p w14:paraId="36F67018" w14:textId="28A6F8C5" w:rsidR="00426F62" w:rsidRPr="00426F62" w:rsidRDefault="0368D173" w:rsidP="6917DAFC">
            <w:pPr>
              <w:jc w:val="center"/>
              <w:rPr>
                <w:noProof/>
                <w:sz w:val="16"/>
                <w:szCs w:val="16"/>
              </w:rPr>
            </w:pPr>
            <w:r w:rsidRPr="6917DAFC">
              <w:rPr>
                <w:noProof/>
                <w:sz w:val="16"/>
                <w:szCs w:val="16"/>
              </w:rPr>
              <w:t>63.2%</w:t>
            </w:r>
          </w:p>
        </w:tc>
        <w:tc>
          <w:tcPr>
            <w:tcW w:w="786" w:type="dxa"/>
            <w:tcBorders>
              <w:top w:val="single" w:sz="4" w:space="0" w:color="8B73FF"/>
              <w:left w:val="single" w:sz="4" w:space="0" w:color="8B73FF"/>
              <w:bottom w:val="single" w:sz="4" w:space="0" w:color="8B73FF"/>
              <w:right w:val="single" w:sz="4" w:space="0" w:color="8B73FF"/>
            </w:tcBorders>
          </w:tcPr>
          <w:p w14:paraId="2737148C" w14:textId="79B4FA81" w:rsidR="00426F62" w:rsidRPr="00426F62" w:rsidRDefault="0368D173" w:rsidP="6917DAFC">
            <w:pPr>
              <w:jc w:val="center"/>
              <w:rPr>
                <w:noProof/>
                <w:sz w:val="16"/>
                <w:szCs w:val="16"/>
              </w:rPr>
            </w:pPr>
            <w:r w:rsidRPr="6917DAFC">
              <w:rPr>
                <w:noProof/>
                <w:sz w:val="16"/>
                <w:szCs w:val="16"/>
              </w:rPr>
              <w:t>7.5%</w:t>
            </w:r>
          </w:p>
        </w:tc>
        <w:tc>
          <w:tcPr>
            <w:tcW w:w="755" w:type="dxa"/>
            <w:gridSpan w:val="2"/>
            <w:tcBorders>
              <w:top w:val="single" w:sz="4" w:space="0" w:color="8B73FF"/>
              <w:left w:val="single" w:sz="4" w:space="0" w:color="8B73FF"/>
              <w:bottom w:val="single" w:sz="4" w:space="0" w:color="8B73FF"/>
              <w:right w:val="single" w:sz="4" w:space="0" w:color="8B73FF"/>
            </w:tcBorders>
          </w:tcPr>
          <w:p w14:paraId="071C11CF" w14:textId="73E88AFD" w:rsidR="00426F62" w:rsidRPr="00426F62" w:rsidRDefault="0368D173" w:rsidP="6917DAFC">
            <w:pPr>
              <w:jc w:val="center"/>
              <w:rPr>
                <w:noProof/>
                <w:sz w:val="16"/>
                <w:szCs w:val="16"/>
              </w:rPr>
            </w:pPr>
            <w:r w:rsidRPr="6917DAFC">
              <w:rPr>
                <w:noProof/>
                <w:sz w:val="16"/>
                <w:szCs w:val="16"/>
              </w:rPr>
              <w:t>-</w:t>
            </w:r>
          </w:p>
        </w:tc>
        <w:tc>
          <w:tcPr>
            <w:tcW w:w="622" w:type="dxa"/>
            <w:tcBorders>
              <w:top w:val="single" w:sz="4" w:space="0" w:color="8B73FF"/>
              <w:left w:val="single" w:sz="4" w:space="0" w:color="8B73FF"/>
              <w:bottom w:val="single" w:sz="4" w:space="0" w:color="8B73FF"/>
              <w:right w:val="single" w:sz="4" w:space="0" w:color="8B73FF"/>
            </w:tcBorders>
          </w:tcPr>
          <w:p w14:paraId="5AE3E899" w14:textId="301EADBB" w:rsidR="00426F62" w:rsidRPr="00426F62" w:rsidRDefault="0368D173" w:rsidP="6917DAFC">
            <w:pPr>
              <w:jc w:val="center"/>
              <w:rPr>
                <w:noProof/>
                <w:sz w:val="16"/>
                <w:szCs w:val="16"/>
              </w:rPr>
            </w:pPr>
            <w:r w:rsidRPr="6917DAFC">
              <w:rPr>
                <w:noProof/>
                <w:sz w:val="16"/>
                <w:szCs w:val="16"/>
              </w:rPr>
              <w:t>75%</w:t>
            </w:r>
          </w:p>
        </w:tc>
      </w:tr>
      <w:tr w:rsidR="00426F62" w:rsidRPr="007C0C4B" w14:paraId="65D7B405" w14:textId="77777777" w:rsidTr="002E069A">
        <w:trPr>
          <w:gridAfter w:val="1"/>
          <w:wAfter w:w="114" w:type="dxa"/>
          <w:cantSplit/>
          <w:trHeight w:hRule="exact" w:val="284"/>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D21BC70"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Unicorns</w:t>
            </w:r>
          </w:p>
        </w:tc>
        <w:tc>
          <w:tcPr>
            <w:tcW w:w="892" w:type="dxa"/>
            <w:tcBorders>
              <w:top w:val="single" w:sz="4" w:space="0" w:color="8B73FF"/>
              <w:left w:val="single" w:sz="4" w:space="0" w:color="8B73FF"/>
              <w:bottom w:val="single" w:sz="4" w:space="0" w:color="8B73FF"/>
              <w:right w:val="single" w:sz="4" w:space="0" w:color="8B73FF"/>
            </w:tcBorders>
          </w:tcPr>
          <w:p w14:paraId="124717E4" w14:textId="07E71865" w:rsidR="00426F62" w:rsidRPr="00426F62" w:rsidRDefault="0368D173" w:rsidP="6917DAFC">
            <w:pPr>
              <w:jc w:val="center"/>
              <w:rPr>
                <w:noProof/>
                <w:sz w:val="16"/>
                <w:szCs w:val="16"/>
              </w:rPr>
            </w:pPr>
            <w:r w:rsidRPr="6917DAFC">
              <w:rPr>
                <w:noProof/>
                <w:sz w:val="16"/>
                <w:szCs w:val="16"/>
              </w:rPr>
              <w:t>2</w:t>
            </w:r>
          </w:p>
        </w:tc>
        <w:tc>
          <w:tcPr>
            <w:tcW w:w="1145" w:type="dxa"/>
            <w:tcBorders>
              <w:top w:val="single" w:sz="4" w:space="0" w:color="8B73FF"/>
              <w:left w:val="single" w:sz="4" w:space="0" w:color="8B73FF"/>
              <w:bottom w:val="single" w:sz="4" w:space="0" w:color="8B73FF"/>
              <w:right w:val="single" w:sz="4" w:space="0" w:color="8B73FF"/>
            </w:tcBorders>
          </w:tcPr>
          <w:p w14:paraId="4C6C3B67" w14:textId="4E7440EC" w:rsidR="00426F62" w:rsidRPr="00426F62" w:rsidRDefault="0368D173" w:rsidP="6917DAFC">
            <w:pPr>
              <w:jc w:val="center"/>
              <w:rPr>
                <w:noProof/>
                <w:sz w:val="16"/>
                <w:szCs w:val="16"/>
              </w:rPr>
            </w:pPr>
            <w:r w:rsidRPr="6917DAFC">
              <w:rPr>
                <w:noProof/>
                <w:sz w:val="16"/>
                <w:szCs w:val="16"/>
              </w:rPr>
              <w:t>2</w:t>
            </w:r>
          </w:p>
        </w:tc>
        <w:tc>
          <w:tcPr>
            <w:tcW w:w="786" w:type="dxa"/>
            <w:tcBorders>
              <w:top w:val="single" w:sz="4" w:space="0" w:color="8B73FF"/>
              <w:left w:val="single" w:sz="4" w:space="0" w:color="8B73FF"/>
              <w:bottom w:val="single" w:sz="4" w:space="0" w:color="8B73FF"/>
              <w:right w:val="single" w:sz="4" w:space="0" w:color="8B73FF"/>
            </w:tcBorders>
          </w:tcPr>
          <w:p w14:paraId="6F2FB362" w14:textId="52371E7A" w:rsidR="00426F62" w:rsidRPr="00426F62" w:rsidRDefault="0368D173" w:rsidP="6917DAFC">
            <w:pPr>
              <w:jc w:val="center"/>
              <w:rPr>
                <w:noProof/>
                <w:sz w:val="16"/>
                <w:szCs w:val="16"/>
              </w:rPr>
            </w:pPr>
            <w:r w:rsidRPr="6917DAFC">
              <w:rPr>
                <w:noProof/>
                <w:sz w:val="16"/>
                <w:szCs w:val="16"/>
              </w:rPr>
              <w:t>0.0%</w:t>
            </w:r>
          </w:p>
        </w:tc>
        <w:tc>
          <w:tcPr>
            <w:tcW w:w="870" w:type="dxa"/>
            <w:tcBorders>
              <w:top w:val="single" w:sz="4" w:space="0" w:color="8B73FF"/>
              <w:left w:val="single" w:sz="4" w:space="0" w:color="8B73FF"/>
              <w:bottom w:val="single" w:sz="4" w:space="0" w:color="8B73FF"/>
              <w:right w:val="single" w:sz="4" w:space="0" w:color="8B73FF"/>
            </w:tcBorders>
          </w:tcPr>
          <w:p w14:paraId="1401B60F" w14:textId="3522BB56"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 </w:t>
            </w:r>
          </w:p>
        </w:tc>
        <w:tc>
          <w:tcPr>
            <w:tcW w:w="784" w:type="dxa"/>
            <w:gridSpan w:val="2"/>
            <w:tcBorders>
              <w:top w:val="single" w:sz="4" w:space="0" w:color="8B73FF"/>
              <w:left w:val="single" w:sz="4" w:space="0" w:color="8B73FF"/>
              <w:bottom w:val="single" w:sz="4" w:space="0" w:color="8B73FF"/>
              <w:right w:val="single" w:sz="4" w:space="0" w:color="8B73FF"/>
            </w:tcBorders>
          </w:tcPr>
          <w:p w14:paraId="20B20FE1" w14:textId="22C94179" w:rsidR="00426F62" w:rsidRPr="00426F62" w:rsidRDefault="0368D173" w:rsidP="6917DAFC">
            <w:pPr>
              <w:jc w:val="center"/>
              <w:rPr>
                <w:noProof/>
                <w:sz w:val="16"/>
                <w:szCs w:val="16"/>
              </w:rPr>
            </w:pPr>
            <w:r w:rsidRPr="6917DAFC">
              <w:rPr>
                <w:noProof/>
                <w:sz w:val="16"/>
                <w:szCs w:val="16"/>
              </w:rPr>
              <w:t>324</w:t>
            </w:r>
          </w:p>
        </w:tc>
        <w:tc>
          <w:tcPr>
            <w:tcW w:w="786" w:type="dxa"/>
            <w:tcBorders>
              <w:top w:val="single" w:sz="4" w:space="0" w:color="8B73FF"/>
              <w:left w:val="single" w:sz="4" w:space="0" w:color="8B73FF"/>
              <w:bottom w:val="single" w:sz="4" w:space="0" w:color="8B73FF"/>
              <w:right w:val="single" w:sz="4" w:space="0" w:color="8B73FF"/>
            </w:tcBorders>
          </w:tcPr>
          <w:p w14:paraId="6A17E794" w14:textId="6EE1279F" w:rsidR="00426F62" w:rsidRPr="00426F62" w:rsidRDefault="0368D173" w:rsidP="6917DAFC">
            <w:pPr>
              <w:jc w:val="center"/>
              <w:rPr>
                <w:noProof/>
                <w:sz w:val="16"/>
                <w:szCs w:val="16"/>
              </w:rPr>
            </w:pPr>
            <w:r w:rsidRPr="6917DAFC">
              <w:rPr>
                <w:noProof/>
                <w:sz w:val="16"/>
                <w:szCs w:val="16"/>
              </w:rPr>
              <w:t>10.2%</w:t>
            </w:r>
          </w:p>
        </w:tc>
        <w:tc>
          <w:tcPr>
            <w:tcW w:w="755" w:type="dxa"/>
            <w:gridSpan w:val="2"/>
            <w:tcBorders>
              <w:top w:val="single" w:sz="4" w:space="0" w:color="8B73FF"/>
              <w:left w:val="single" w:sz="4" w:space="0" w:color="8B73FF"/>
              <w:bottom w:val="single" w:sz="4" w:space="0" w:color="8B73FF"/>
              <w:right w:val="single" w:sz="4" w:space="0" w:color="8B73FF"/>
            </w:tcBorders>
          </w:tcPr>
          <w:p w14:paraId="321C057D" w14:textId="4D0A62FF" w:rsidR="00426F62" w:rsidRPr="00426F62" w:rsidRDefault="0368D173" w:rsidP="6917DAFC">
            <w:pPr>
              <w:jc w:val="center"/>
              <w:rPr>
                <w:noProof/>
                <w:sz w:val="16"/>
                <w:szCs w:val="16"/>
              </w:rPr>
            </w:pPr>
            <w:r w:rsidRPr="6917DAFC">
              <w:rPr>
                <w:noProof/>
                <w:sz w:val="16"/>
                <w:szCs w:val="16"/>
              </w:rPr>
              <w:t>-</w:t>
            </w:r>
          </w:p>
        </w:tc>
        <w:tc>
          <w:tcPr>
            <w:tcW w:w="622" w:type="dxa"/>
            <w:tcBorders>
              <w:top w:val="single" w:sz="4" w:space="0" w:color="8B73FF"/>
              <w:left w:val="single" w:sz="4" w:space="0" w:color="8B73FF"/>
              <w:bottom w:val="single" w:sz="4" w:space="0" w:color="8B73FF"/>
              <w:right w:val="single" w:sz="4" w:space="0" w:color="8B73FF"/>
            </w:tcBorders>
          </w:tcPr>
          <w:p w14:paraId="780B5563" w14:textId="5736745C" w:rsidR="00426F62" w:rsidRPr="00426F62" w:rsidRDefault="0368D173" w:rsidP="6917DAFC">
            <w:pPr>
              <w:jc w:val="center"/>
              <w:rPr>
                <w:noProof/>
                <w:sz w:val="16"/>
                <w:szCs w:val="16"/>
              </w:rPr>
            </w:pPr>
            <w:r w:rsidRPr="6917DAFC">
              <w:rPr>
                <w:noProof/>
                <w:sz w:val="16"/>
                <w:szCs w:val="16"/>
              </w:rPr>
              <w:t>500</w:t>
            </w:r>
          </w:p>
        </w:tc>
      </w:tr>
      <w:tr w:rsidR="00426F62" w:rsidRPr="007C0C4B" w14:paraId="214BBD75" w14:textId="77777777" w:rsidTr="002E069A">
        <w:trPr>
          <w:gridAfter w:val="1"/>
          <w:wAfter w:w="114" w:type="dxa"/>
          <w:cantSplit/>
          <w:trHeight w:hRule="exact" w:val="284"/>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F2203CD"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At least basic digital skills *</w:t>
            </w:r>
          </w:p>
        </w:tc>
        <w:tc>
          <w:tcPr>
            <w:tcW w:w="892" w:type="dxa"/>
            <w:tcBorders>
              <w:top w:val="single" w:sz="4" w:space="0" w:color="8B73FF"/>
              <w:left w:val="single" w:sz="4" w:space="0" w:color="8B73FF"/>
              <w:bottom w:val="single" w:sz="4" w:space="0" w:color="8B73FF"/>
              <w:right w:val="single" w:sz="4" w:space="0" w:color="8B73FF"/>
            </w:tcBorders>
          </w:tcPr>
          <w:p w14:paraId="76F89D18" w14:textId="25185BF3" w:rsidR="00426F62" w:rsidRPr="00426F62" w:rsidRDefault="0368D173" w:rsidP="6917DAFC">
            <w:pPr>
              <w:jc w:val="center"/>
              <w:rPr>
                <w:noProof/>
                <w:sz w:val="16"/>
                <w:szCs w:val="16"/>
              </w:rPr>
            </w:pPr>
            <w:r w:rsidRPr="6917DAFC">
              <w:rPr>
                <w:noProof/>
                <w:sz w:val="16"/>
                <w:szCs w:val="16"/>
              </w:rPr>
              <w:t>60.1%</w:t>
            </w:r>
          </w:p>
        </w:tc>
        <w:tc>
          <w:tcPr>
            <w:tcW w:w="1145" w:type="dxa"/>
            <w:tcBorders>
              <w:top w:val="single" w:sz="4" w:space="0" w:color="8B73FF"/>
              <w:left w:val="single" w:sz="4" w:space="0" w:color="8B73FF"/>
              <w:bottom w:val="single" w:sz="4" w:space="0" w:color="8B73FF"/>
              <w:right w:val="single" w:sz="4" w:space="0" w:color="8B73FF"/>
            </w:tcBorders>
          </w:tcPr>
          <w:p w14:paraId="3AAFA8D1" w14:textId="47DCCB6E" w:rsidR="00426F62" w:rsidRPr="00426F62" w:rsidRDefault="0368D173" w:rsidP="6917DAFC">
            <w:pPr>
              <w:jc w:val="center"/>
              <w:rPr>
                <w:noProof/>
                <w:sz w:val="16"/>
                <w:szCs w:val="16"/>
              </w:rPr>
            </w:pPr>
            <w:r w:rsidRPr="6917DAFC">
              <w:rPr>
                <w:noProof/>
                <w:sz w:val="16"/>
                <w:szCs w:val="16"/>
              </w:rPr>
              <w:t>62.4%</w:t>
            </w:r>
          </w:p>
        </w:tc>
        <w:tc>
          <w:tcPr>
            <w:tcW w:w="786" w:type="dxa"/>
            <w:tcBorders>
              <w:top w:val="single" w:sz="4" w:space="0" w:color="8B73FF"/>
              <w:left w:val="single" w:sz="4" w:space="0" w:color="8B73FF"/>
              <w:bottom w:val="single" w:sz="4" w:space="0" w:color="8B73FF"/>
              <w:right w:val="single" w:sz="4" w:space="0" w:color="8B73FF"/>
            </w:tcBorders>
          </w:tcPr>
          <w:p w14:paraId="7FEC2094" w14:textId="330AA9E1" w:rsidR="00426F62" w:rsidRPr="00426F62" w:rsidRDefault="0368D173" w:rsidP="6917DAFC">
            <w:pPr>
              <w:jc w:val="center"/>
              <w:rPr>
                <w:noProof/>
                <w:sz w:val="16"/>
                <w:szCs w:val="16"/>
              </w:rPr>
            </w:pPr>
            <w:r w:rsidRPr="6917DAFC">
              <w:rPr>
                <w:noProof/>
                <w:sz w:val="16"/>
                <w:szCs w:val="16"/>
              </w:rPr>
              <w:t>1.9%</w:t>
            </w:r>
          </w:p>
        </w:tc>
        <w:tc>
          <w:tcPr>
            <w:tcW w:w="870" w:type="dxa"/>
            <w:tcBorders>
              <w:top w:val="single" w:sz="4" w:space="0" w:color="8B73FF"/>
              <w:left w:val="single" w:sz="4" w:space="0" w:color="8B73FF"/>
              <w:bottom w:val="single" w:sz="4" w:space="0" w:color="8B73FF"/>
              <w:right w:val="single" w:sz="4" w:space="0" w:color="8B73FF"/>
            </w:tcBorders>
          </w:tcPr>
          <w:p w14:paraId="20AAD8FC" w14:textId="6A87022A"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71.0% </w:t>
            </w:r>
          </w:p>
        </w:tc>
        <w:tc>
          <w:tcPr>
            <w:tcW w:w="784" w:type="dxa"/>
            <w:gridSpan w:val="2"/>
            <w:tcBorders>
              <w:top w:val="single" w:sz="4" w:space="0" w:color="8B73FF"/>
              <w:left w:val="single" w:sz="4" w:space="0" w:color="8B73FF"/>
              <w:bottom w:val="single" w:sz="4" w:space="0" w:color="8B73FF"/>
              <w:right w:val="single" w:sz="4" w:space="0" w:color="8B73FF"/>
            </w:tcBorders>
          </w:tcPr>
          <w:p w14:paraId="555301E7" w14:textId="19D7B2E8" w:rsidR="00426F62" w:rsidRPr="00426F62" w:rsidRDefault="0368D173" w:rsidP="6917DAFC">
            <w:pPr>
              <w:jc w:val="center"/>
              <w:rPr>
                <w:noProof/>
                <w:sz w:val="16"/>
                <w:szCs w:val="16"/>
              </w:rPr>
            </w:pPr>
            <w:r w:rsidRPr="6917DAFC">
              <w:rPr>
                <w:noProof/>
                <w:sz w:val="16"/>
                <w:szCs w:val="16"/>
              </w:rPr>
              <w:t>60.4%</w:t>
            </w:r>
          </w:p>
        </w:tc>
        <w:tc>
          <w:tcPr>
            <w:tcW w:w="786" w:type="dxa"/>
            <w:tcBorders>
              <w:top w:val="single" w:sz="4" w:space="0" w:color="8B73FF"/>
              <w:left w:val="single" w:sz="4" w:space="0" w:color="8B73FF"/>
              <w:bottom w:val="single" w:sz="4" w:space="0" w:color="8B73FF"/>
              <w:right w:val="single" w:sz="4" w:space="0" w:color="8B73FF"/>
            </w:tcBorders>
          </w:tcPr>
          <w:p w14:paraId="6C7CEA42" w14:textId="61E1B297" w:rsidR="00426F62" w:rsidRPr="00426F62" w:rsidRDefault="0368D173" w:rsidP="6917DAFC">
            <w:pPr>
              <w:jc w:val="center"/>
              <w:rPr>
                <w:noProof/>
                <w:sz w:val="16"/>
                <w:szCs w:val="16"/>
              </w:rPr>
            </w:pPr>
            <w:r w:rsidRPr="6917DAFC">
              <w:rPr>
                <w:noProof/>
                <w:sz w:val="16"/>
                <w:szCs w:val="16"/>
              </w:rPr>
              <w:t>4.3%</w:t>
            </w:r>
          </w:p>
        </w:tc>
        <w:tc>
          <w:tcPr>
            <w:tcW w:w="755" w:type="dxa"/>
            <w:gridSpan w:val="2"/>
            <w:tcBorders>
              <w:top w:val="single" w:sz="4" w:space="0" w:color="8B73FF"/>
              <w:left w:val="single" w:sz="4" w:space="0" w:color="8B73FF"/>
              <w:bottom w:val="single" w:sz="4" w:space="0" w:color="8B73FF"/>
              <w:right w:val="single" w:sz="4" w:space="0" w:color="8B73FF"/>
            </w:tcBorders>
          </w:tcPr>
          <w:p w14:paraId="0F33E309" w14:textId="05975464" w:rsidR="00426F62" w:rsidRPr="00426F62" w:rsidRDefault="0368D173" w:rsidP="6917DAFC">
            <w:pPr>
              <w:jc w:val="center"/>
              <w:rPr>
                <w:noProof/>
                <w:sz w:val="16"/>
                <w:szCs w:val="16"/>
              </w:rPr>
            </w:pPr>
            <w:r w:rsidRPr="6917DAFC">
              <w:rPr>
                <w:noProof/>
                <w:sz w:val="16"/>
                <w:szCs w:val="16"/>
              </w:rPr>
              <w:t>80.0%</w:t>
            </w:r>
          </w:p>
        </w:tc>
        <w:tc>
          <w:tcPr>
            <w:tcW w:w="622" w:type="dxa"/>
            <w:tcBorders>
              <w:top w:val="single" w:sz="4" w:space="0" w:color="8B73FF"/>
              <w:left w:val="single" w:sz="4" w:space="0" w:color="8B73FF"/>
              <w:bottom w:val="single" w:sz="4" w:space="0" w:color="8B73FF"/>
              <w:right w:val="single" w:sz="4" w:space="0" w:color="8B73FF"/>
            </w:tcBorders>
          </w:tcPr>
          <w:p w14:paraId="549989E3" w14:textId="5B0BC05B" w:rsidR="00426F62" w:rsidRPr="00426F62" w:rsidRDefault="0368D173" w:rsidP="6917DAFC">
            <w:pPr>
              <w:jc w:val="center"/>
              <w:rPr>
                <w:noProof/>
                <w:sz w:val="16"/>
                <w:szCs w:val="16"/>
              </w:rPr>
            </w:pPr>
            <w:r w:rsidRPr="6917DAFC">
              <w:rPr>
                <w:noProof/>
                <w:sz w:val="16"/>
                <w:szCs w:val="16"/>
              </w:rPr>
              <w:t>80%</w:t>
            </w:r>
          </w:p>
        </w:tc>
      </w:tr>
      <w:tr w:rsidR="00426F62" w:rsidRPr="007C0C4B" w14:paraId="1021C090" w14:textId="77777777" w:rsidTr="002E069A">
        <w:trPr>
          <w:gridAfter w:val="1"/>
          <w:wAfter w:w="114" w:type="dxa"/>
          <w:cantSplit/>
          <w:trHeight w:hRule="exact" w:val="284"/>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1AFEBDF"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ICT specialists</w:t>
            </w:r>
          </w:p>
        </w:tc>
        <w:tc>
          <w:tcPr>
            <w:tcW w:w="892" w:type="dxa"/>
            <w:tcBorders>
              <w:top w:val="single" w:sz="4" w:space="0" w:color="8B73FF"/>
              <w:left w:val="single" w:sz="4" w:space="0" w:color="8B73FF"/>
              <w:bottom w:val="single" w:sz="4" w:space="0" w:color="8B73FF"/>
              <w:right w:val="single" w:sz="4" w:space="0" w:color="8B73FF"/>
            </w:tcBorders>
          </w:tcPr>
          <w:p w14:paraId="04F8B6F6" w14:textId="4F8E42EB" w:rsidR="00426F62" w:rsidRPr="00426F62" w:rsidRDefault="0368D173" w:rsidP="6917DAFC">
            <w:pPr>
              <w:jc w:val="center"/>
              <w:rPr>
                <w:noProof/>
                <w:sz w:val="16"/>
                <w:szCs w:val="16"/>
              </w:rPr>
            </w:pPr>
            <w:r w:rsidRPr="6917DAFC">
              <w:rPr>
                <w:noProof/>
                <w:sz w:val="16"/>
                <w:szCs w:val="16"/>
              </w:rPr>
              <w:t>8.0%</w:t>
            </w:r>
          </w:p>
        </w:tc>
        <w:tc>
          <w:tcPr>
            <w:tcW w:w="1145" w:type="dxa"/>
            <w:tcBorders>
              <w:top w:val="single" w:sz="4" w:space="0" w:color="8B73FF"/>
              <w:left w:val="single" w:sz="4" w:space="0" w:color="8B73FF"/>
              <w:bottom w:val="single" w:sz="4" w:space="0" w:color="8B73FF"/>
              <w:right w:val="single" w:sz="4" w:space="0" w:color="8B73FF"/>
            </w:tcBorders>
          </w:tcPr>
          <w:p w14:paraId="548FB30A" w14:textId="60C9BD40" w:rsidR="00426F62" w:rsidRPr="00426F62" w:rsidRDefault="2DFB9194" w:rsidP="6917DAFC">
            <w:pPr>
              <w:jc w:val="center"/>
              <w:rPr>
                <w:noProof/>
                <w:sz w:val="16"/>
                <w:szCs w:val="16"/>
              </w:rPr>
            </w:pPr>
            <w:r w:rsidRPr="33E6FA42">
              <w:rPr>
                <w:noProof/>
                <w:sz w:val="16"/>
                <w:szCs w:val="16"/>
              </w:rPr>
              <w:t>8.7%</w:t>
            </w:r>
          </w:p>
        </w:tc>
        <w:tc>
          <w:tcPr>
            <w:tcW w:w="786" w:type="dxa"/>
            <w:tcBorders>
              <w:top w:val="single" w:sz="4" w:space="0" w:color="8B73FF"/>
              <w:left w:val="single" w:sz="4" w:space="0" w:color="8B73FF"/>
              <w:bottom w:val="single" w:sz="4" w:space="0" w:color="8B73FF"/>
              <w:right w:val="single" w:sz="4" w:space="0" w:color="8B73FF"/>
            </w:tcBorders>
          </w:tcPr>
          <w:p w14:paraId="27D45EE6" w14:textId="1ECCC9CC" w:rsidR="00426F62" w:rsidRPr="00426F62" w:rsidRDefault="2DFB9194" w:rsidP="6917DAFC">
            <w:pPr>
              <w:jc w:val="center"/>
              <w:rPr>
                <w:noProof/>
                <w:sz w:val="16"/>
                <w:szCs w:val="16"/>
              </w:rPr>
            </w:pPr>
            <w:r w:rsidRPr="33E6FA42">
              <w:rPr>
                <w:noProof/>
                <w:sz w:val="16"/>
                <w:szCs w:val="16"/>
              </w:rPr>
              <w:t>8.7%</w:t>
            </w:r>
          </w:p>
        </w:tc>
        <w:tc>
          <w:tcPr>
            <w:tcW w:w="870" w:type="dxa"/>
            <w:tcBorders>
              <w:top w:val="single" w:sz="4" w:space="0" w:color="8B73FF"/>
              <w:left w:val="single" w:sz="4" w:space="0" w:color="8B73FF"/>
              <w:bottom w:val="single" w:sz="4" w:space="0" w:color="8B73FF"/>
              <w:right w:val="single" w:sz="4" w:space="0" w:color="8B73FF"/>
            </w:tcBorders>
          </w:tcPr>
          <w:p w14:paraId="19497659" w14:textId="5AA7DAD6"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8.6% </w:t>
            </w:r>
          </w:p>
        </w:tc>
        <w:tc>
          <w:tcPr>
            <w:tcW w:w="784" w:type="dxa"/>
            <w:gridSpan w:val="2"/>
            <w:tcBorders>
              <w:top w:val="single" w:sz="4" w:space="0" w:color="8B73FF"/>
              <w:left w:val="single" w:sz="4" w:space="0" w:color="8B73FF"/>
              <w:bottom w:val="single" w:sz="4" w:space="0" w:color="8B73FF"/>
              <w:right w:val="single" w:sz="4" w:space="0" w:color="8B73FF"/>
            </w:tcBorders>
          </w:tcPr>
          <w:p w14:paraId="324DF12D" w14:textId="04C4EFA0" w:rsidR="00426F62" w:rsidRPr="00426F62" w:rsidRDefault="74020F4C" w:rsidP="6917DAFC">
            <w:pPr>
              <w:jc w:val="center"/>
              <w:rPr>
                <w:noProof/>
                <w:sz w:val="16"/>
                <w:szCs w:val="16"/>
              </w:rPr>
            </w:pPr>
            <w:r w:rsidRPr="33E6FA42">
              <w:rPr>
                <w:noProof/>
                <w:sz w:val="16"/>
                <w:szCs w:val="16"/>
              </w:rPr>
              <w:t>5.0%</w:t>
            </w:r>
          </w:p>
        </w:tc>
        <w:tc>
          <w:tcPr>
            <w:tcW w:w="786" w:type="dxa"/>
            <w:tcBorders>
              <w:top w:val="single" w:sz="4" w:space="0" w:color="8B73FF"/>
              <w:left w:val="single" w:sz="4" w:space="0" w:color="8B73FF"/>
              <w:bottom w:val="single" w:sz="4" w:space="0" w:color="8B73FF"/>
              <w:right w:val="single" w:sz="4" w:space="0" w:color="8B73FF"/>
            </w:tcBorders>
          </w:tcPr>
          <w:p w14:paraId="732A11B4" w14:textId="5BFF8C7B" w:rsidR="00426F62" w:rsidRPr="00426F62" w:rsidRDefault="74020F4C" w:rsidP="6917DAFC">
            <w:pPr>
              <w:jc w:val="center"/>
              <w:rPr>
                <w:noProof/>
                <w:sz w:val="16"/>
                <w:szCs w:val="16"/>
              </w:rPr>
            </w:pPr>
            <w:r w:rsidRPr="33E6FA42">
              <w:rPr>
                <w:noProof/>
                <w:sz w:val="16"/>
                <w:szCs w:val="16"/>
              </w:rPr>
              <w:t>2.0%</w:t>
            </w:r>
          </w:p>
        </w:tc>
        <w:tc>
          <w:tcPr>
            <w:tcW w:w="755" w:type="dxa"/>
            <w:gridSpan w:val="2"/>
            <w:tcBorders>
              <w:top w:val="single" w:sz="4" w:space="0" w:color="8B73FF"/>
              <w:left w:val="single" w:sz="4" w:space="0" w:color="8B73FF"/>
              <w:bottom w:val="single" w:sz="4" w:space="0" w:color="8B73FF"/>
              <w:right w:val="single" w:sz="4" w:space="0" w:color="8B73FF"/>
            </w:tcBorders>
          </w:tcPr>
          <w:p w14:paraId="2FF615BC" w14:textId="69C438BE" w:rsidR="00426F62" w:rsidRPr="00426F62" w:rsidRDefault="0368D173" w:rsidP="6917DAFC">
            <w:pPr>
              <w:jc w:val="center"/>
              <w:rPr>
                <w:noProof/>
                <w:sz w:val="16"/>
                <w:szCs w:val="16"/>
              </w:rPr>
            </w:pPr>
            <w:r w:rsidRPr="6917DAFC">
              <w:rPr>
                <w:noProof/>
                <w:sz w:val="16"/>
                <w:szCs w:val="16"/>
              </w:rPr>
              <w:t>10.0%</w:t>
            </w:r>
          </w:p>
        </w:tc>
        <w:tc>
          <w:tcPr>
            <w:tcW w:w="622" w:type="dxa"/>
            <w:tcBorders>
              <w:top w:val="single" w:sz="4" w:space="0" w:color="8B73FF"/>
              <w:left w:val="single" w:sz="4" w:space="0" w:color="8B73FF"/>
              <w:bottom w:val="single" w:sz="4" w:space="0" w:color="8B73FF"/>
              <w:right w:val="single" w:sz="4" w:space="0" w:color="8B73FF"/>
            </w:tcBorders>
          </w:tcPr>
          <w:p w14:paraId="0EACA424" w14:textId="4C432C44" w:rsidR="00426F62" w:rsidRPr="00426F62" w:rsidRDefault="0368D173" w:rsidP="6917DAFC">
            <w:pPr>
              <w:jc w:val="center"/>
              <w:rPr>
                <w:noProof/>
                <w:sz w:val="16"/>
                <w:szCs w:val="16"/>
              </w:rPr>
            </w:pPr>
            <w:r w:rsidRPr="6917DAFC">
              <w:rPr>
                <w:noProof/>
                <w:sz w:val="16"/>
                <w:szCs w:val="16"/>
              </w:rPr>
              <w:t>~10%</w:t>
            </w:r>
          </w:p>
        </w:tc>
      </w:tr>
      <w:tr w:rsidR="00426F62" w:rsidRPr="007C0C4B" w14:paraId="4A1BAFB8" w14:textId="77777777" w:rsidTr="002E069A">
        <w:trPr>
          <w:gridAfter w:val="1"/>
          <w:wAfter w:w="114" w:type="dxa"/>
          <w:cantSplit/>
          <w:trHeight w:hRule="exact" w:val="284"/>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9E512B9"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e-ID scheme notification</w:t>
            </w:r>
          </w:p>
        </w:tc>
        <w:tc>
          <w:tcPr>
            <w:tcW w:w="892" w:type="dxa"/>
            <w:tcBorders>
              <w:top w:val="single" w:sz="4" w:space="0" w:color="8B73FF"/>
              <w:left w:val="single" w:sz="4" w:space="0" w:color="8B73FF"/>
              <w:bottom w:val="single" w:sz="4" w:space="0" w:color="8B73FF"/>
              <w:right w:val="single" w:sz="4" w:space="0" w:color="8B73FF"/>
            </w:tcBorders>
          </w:tcPr>
          <w:p w14:paraId="640C4F2C" w14:textId="6A48285B" w:rsidR="00426F62" w:rsidRPr="00426F62" w:rsidRDefault="00426F62" w:rsidP="6917DAFC">
            <w:pPr>
              <w:jc w:val="center"/>
              <w:rPr>
                <w:noProof/>
                <w:sz w:val="16"/>
                <w:szCs w:val="16"/>
              </w:rPr>
            </w:pPr>
          </w:p>
        </w:tc>
        <w:tc>
          <w:tcPr>
            <w:tcW w:w="1145" w:type="dxa"/>
            <w:tcBorders>
              <w:top w:val="single" w:sz="4" w:space="0" w:color="8B73FF"/>
              <w:left w:val="single" w:sz="4" w:space="0" w:color="8B73FF"/>
              <w:bottom w:val="single" w:sz="4" w:space="0" w:color="8B73FF"/>
              <w:right w:val="single" w:sz="4" w:space="0" w:color="8B73FF"/>
            </w:tcBorders>
          </w:tcPr>
          <w:p w14:paraId="47463083" w14:textId="2FCC3E7B" w:rsidR="00426F62" w:rsidRPr="00426F62" w:rsidRDefault="0368D173" w:rsidP="6917DAFC">
            <w:pPr>
              <w:jc w:val="center"/>
              <w:rPr>
                <w:noProof/>
                <w:sz w:val="16"/>
                <w:szCs w:val="16"/>
              </w:rPr>
            </w:pPr>
            <w:r w:rsidRPr="6917DAFC">
              <w:rPr>
                <w:noProof/>
                <w:sz w:val="16"/>
                <w:szCs w:val="16"/>
              </w:rPr>
              <w:t>Yes</w:t>
            </w:r>
          </w:p>
        </w:tc>
        <w:tc>
          <w:tcPr>
            <w:tcW w:w="786" w:type="dxa"/>
            <w:tcBorders>
              <w:top w:val="single" w:sz="4" w:space="0" w:color="8B73FF"/>
              <w:left w:val="single" w:sz="4" w:space="0" w:color="8B73FF"/>
              <w:bottom w:val="single" w:sz="4" w:space="0" w:color="8B73FF"/>
              <w:right w:val="single" w:sz="4" w:space="0" w:color="8B73FF"/>
            </w:tcBorders>
          </w:tcPr>
          <w:p w14:paraId="6ABFF026" w14:textId="37D60F67" w:rsidR="00426F62" w:rsidRPr="00426F62" w:rsidRDefault="00426F62" w:rsidP="6917DAFC">
            <w:pPr>
              <w:jc w:val="center"/>
              <w:rPr>
                <w:noProof/>
                <w:sz w:val="16"/>
                <w:szCs w:val="16"/>
              </w:rPr>
            </w:pPr>
          </w:p>
        </w:tc>
        <w:tc>
          <w:tcPr>
            <w:tcW w:w="870" w:type="dxa"/>
            <w:tcBorders>
              <w:top w:val="single" w:sz="4" w:space="0" w:color="8B73FF"/>
              <w:left w:val="single" w:sz="4" w:space="0" w:color="8B73FF"/>
              <w:bottom w:val="single" w:sz="4" w:space="0" w:color="8B73FF"/>
              <w:right w:val="single" w:sz="4" w:space="0" w:color="8B73FF"/>
            </w:tcBorders>
          </w:tcPr>
          <w:p w14:paraId="606CC47C" w14:textId="2A19C480" w:rsidR="00426F62" w:rsidRPr="00426F62" w:rsidRDefault="00426F62" w:rsidP="6917DAFC">
            <w:pPr>
              <w:jc w:val="center"/>
              <w:rPr>
                <w:noProof/>
                <w:sz w:val="16"/>
                <w:szCs w:val="16"/>
              </w:rPr>
            </w:pPr>
          </w:p>
        </w:tc>
        <w:tc>
          <w:tcPr>
            <w:tcW w:w="784" w:type="dxa"/>
            <w:gridSpan w:val="2"/>
            <w:tcBorders>
              <w:top w:val="single" w:sz="4" w:space="0" w:color="8B73FF"/>
              <w:left w:val="single" w:sz="4" w:space="0" w:color="8B73FF"/>
              <w:bottom w:val="single" w:sz="4" w:space="0" w:color="8B73FF"/>
              <w:right w:val="single" w:sz="4" w:space="0" w:color="8B73FF"/>
            </w:tcBorders>
          </w:tcPr>
          <w:p w14:paraId="47BAAB5A" w14:textId="3994336C" w:rsidR="00426F62" w:rsidRPr="00426F62" w:rsidRDefault="00426F62" w:rsidP="6917DAFC">
            <w:pPr>
              <w:jc w:val="center"/>
              <w:rPr>
                <w:noProof/>
                <w:sz w:val="16"/>
                <w:szCs w:val="16"/>
              </w:rPr>
            </w:pPr>
          </w:p>
        </w:tc>
        <w:tc>
          <w:tcPr>
            <w:tcW w:w="786" w:type="dxa"/>
            <w:tcBorders>
              <w:top w:val="single" w:sz="4" w:space="0" w:color="8B73FF"/>
              <w:left w:val="single" w:sz="4" w:space="0" w:color="8B73FF"/>
              <w:bottom w:val="single" w:sz="4" w:space="0" w:color="8B73FF"/>
              <w:right w:val="single" w:sz="4" w:space="0" w:color="8B73FF"/>
            </w:tcBorders>
          </w:tcPr>
          <w:p w14:paraId="5F4C8185" w14:textId="058596AC" w:rsidR="00426F62" w:rsidRPr="00426F62" w:rsidRDefault="00426F62" w:rsidP="6917DAFC">
            <w:pPr>
              <w:jc w:val="center"/>
              <w:rPr>
                <w:noProof/>
                <w:sz w:val="16"/>
                <w:szCs w:val="16"/>
              </w:rPr>
            </w:pPr>
          </w:p>
        </w:tc>
        <w:tc>
          <w:tcPr>
            <w:tcW w:w="755" w:type="dxa"/>
            <w:gridSpan w:val="2"/>
            <w:tcBorders>
              <w:top w:val="single" w:sz="4" w:space="0" w:color="8B73FF"/>
              <w:left w:val="single" w:sz="4" w:space="0" w:color="8B73FF"/>
              <w:bottom w:val="single" w:sz="4" w:space="0" w:color="8B73FF"/>
              <w:right w:val="single" w:sz="4" w:space="0" w:color="8B73FF"/>
            </w:tcBorders>
          </w:tcPr>
          <w:p w14:paraId="1511C5C1" w14:textId="70F1EF31" w:rsidR="00426F62" w:rsidRPr="00426F62" w:rsidRDefault="00426F62" w:rsidP="6917DAFC">
            <w:pPr>
              <w:jc w:val="center"/>
              <w:rPr>
                <w:noProof/>
                <w:sz w:val="16"/>
                <w:szCs w:val="16"/>
              </w:rPr>
            </w:pPr>
          </w:p>
        </w:tc>
        <w:tc>
          <w:tcPr>
            <w:tcW w:w="622" w:type="dxa"/>
            <w:tcBorders>
              <w:top w:val="single" w:sz="4" w:space="0" w:color="8B73FF"/>
              <w:left w:val="single" w:sz="4" w:space="0" w:color="8B73FF"/>
              <w:bottom w:val="single" w:sz="4" w:space="0" w:color="8B73FF"/>
              <w:right w:val="single" w:sz="4" w:space="0" w:color="8B73FF"/>
            </w:tcBorders>
          </w:tcPr>
          <w:p w14:paraId="65DC28F2" w14:textId="0C72192C" w:rsidR="00426F62" w:rsidRPr="00426F62" w:rsidRDefault="00426F62" w:rsidP="6917DAFC">
            <w:pPr>
              <w:jc w:val="center"/>
              <w:rPr>
                <w:noProof/>
                <w:sz w:val="16"/>
                <w:szCs w:val="16"/>
              </w:rPr>
            </w:pPr>
          </w:p>
        </w:tc>
      </w:tr>
      <w:tr w:rsidR="00426F62" w:rsidRPr="007C0C4B" w14:paraId="3F95B7D0" w14:textId="77777777" w:rsidTr="002E069A">
        <w:trPr>
          <w:gridAfter w:val="1"/>
          <w:wAfter w:w="114" w:type="dxa"/>
          <w:cantSplit/>
          <w:trHeight w:hRule="exact" w:val="284"/>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330FD96"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Digital public services for citizens</w:t>
            </w:r>
          </w:p>
        </w:tc>
        <w:tc>
          <w:tcPr>
            <w:tcW w:w="892" w:type="dxa"/>
            <w:tcBorders>
              <w:top w:val="single" w:sz="4" w:space="0" w:color="8B73FF"/>
              <w:left w:val="single" w:sz="4" w:space="0" w:color="8B73FF"/>
              <w:bottom w:val="single" w:sz="4" w:space="0" w:color="8B73FF"/>
              <w:right w:val="single" w:sz="4" w:space="0" w:color="8B73FF"/>
            </w:tcBorders>
          </w:tcPr>
          <w:p w14:paraId="297D31DE" w14:textId="15EAEF7D" w:rsidR="00426F62" w:rsidRPr="00426F62" w:rsidRDefault="59F7E3BB" w:rsidP="6917DAFC">
            <w:pPr>
              <w:jc w:val="center"/>
              <w:rPr>
                <w:noProof/>
                <w:sz w:val="16"/>
                <w:szCs w:val="16"/>
              </w:rPr>
            </w:pPr>
            <w:r w:rsidRPr="6B9C9FCD">
              <w:rPr>
                <w:noProof/>
                <w:sz w:val="16"/>
                <w:szCs w:val="16"/>
              </w:rPr>
              <w:t>97.7</w:t>
            </w:r>
          </w:p>
        </w:tc>
        <w:tc>
          <w:tcPr>
            <w:tcW w:w="1145" w:type="dxa"/>
            <w:tcBorders>
              <w:top w:val="single" w:sz="4" w:space="0" w:color="8B73FF"/>
              <w:left w:val="single" w:sz="4" w:space="0" w:color="8B73FF"/>
              <w:bottom w:val="single" w:sz="4" w:space="0" w:color="8B73FF"/>
              <w:right w:val="single" w:sz="4" w:space="0" w:color="8B73FF"/>
            </w:tcBorders>
          </w:tcPr>
          <w:p w14:paraId="42EEEB56" w14:textId="666AD7F8" w:rsidR="00426F62" w:rsidRPr="00BA79BC" w:rsidRDefault="6D4C52FE" w:rsidP="6917DAFC">
            <w:pPr>
              <w:jc w:val="center"/>
              <w:rPr>
                <w:noProof/>
                <w:sz w:val="16"/>
                <w:szCs w:val="16"/>
              </w:rPr>
            </w:pPr>
            <w:r w:rsidRPr="6917DAFC">
              <w:rPr>
                <w:noProof/>
                <w:sz w:val="16"/>
                <w:szCs w:val="16"/>
              </w:rPr>
              <w:t>94.7</w:t>
            </w:r>
          </w:p>
        </w:tc>
        <w:tc>
          <w:tcPr>
            <w:tcW w:w="786" w:type="dxa"/>
            <w:tcBorders>
              <w:top w:val="single" w:sz="4" w:space="0" w:color="8B73FF"/>
              <w:left w:val="single" w:sz="4" w:space="0" w:color="8B73FF"/>
              <w:bottom w:val="single" w:sz="4" w:space="0" w:color="8B73FF"/>
              <w:right w:val="single" w:sz="4" w:space="0" w:color="8B73FF"/>
            </w:tcBorders>
          </w:tcPr>
          <w:p w14:paraId="62C72C57" w14:textId="46E60B12" w:rsidR="00426F62" w:rsidRPr="00426F62" w:rsidRDefault="430C6CE1" w:rsidP="6917DAFC">
            <w:pPr>
              <w:jc w:val="center"/>
              <w:rPr>
                <w:noProof/>
                <w:sz w:val="16"/>
                <w:szCs w:val="16"/>
              </w:rPr>
            </w:pPr>
            <w:r w:rsidRPr="33E6FA42">
              <w:rPr>
                <w:noProof/>
                <w:sz w:val="16"/>
                <w:szCs w:val="16"/>
              </w:rPr>
              <w:t>-3.1%</w:t>
            </w:r>
          </w:p>
        </w:tc>
        <w:tc>
          <w:tcPr>
            <w:tcW w:w="870" w:type="dxa"/>
            <w:tcBorders>
              <w:top w:val="single" w:sz="4" w:space="0" w:color="8B73FF"/>
              <w:left w:val="single" w:sz="4" w:space="0" w:color="8B73FF"/>
              <w:bottom w:val="single" w:sz="4" w:space="0" w:color="8B73FF"/>
              <w:right w:val="single" w:sz="4" w:space="0" w:color="8B73FF"/>
            </w:tcBorders>
          </w:tcPr>
          <w:p w14:paraId="0DFCE73E" w14:textId="1ABF1D27"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97.4 </w:t>
            </w:r>
          </w:p>
        </w:tc>
        <w:tc>
          <w:tcPr>
            <w:tcW w:w="784" w:type="dxa"/>
            <w:gridSpan w:val="2"/>
            <w:tcBorders>
              <w:top w:val="single" w:sz="4" w:space="0" w:color="8B73FF"/>
              <w:left w:val="single" w:sz="4" w:space="0" w:color="8B73FF"/>
              <w:bottom w:val="single" w:sz="4" w:space="0" w:color="8B73FF"/>
              <w:right w:val="single" w:sz="4" w:space="0" w:color="8B73FF"/>
            </w:tcBorders>
          </w:tcPr>
          <w:p w14:paraId="3A3FDCA3" w14:textId="43F56969" w:rsidR="00426F62" w:rsidRPr="00426F62" w:rsidRDefault="2E610D96" w:rsidP="6917DAFC">
            <w:pPr>
              <w:jc w:val="center"/>
              <w:rPr>
                <w:noProof/>
                <w:sz w:val="16"/>
                <w:szCs w:val="16"/>
              </w:rPr>
            </w:pPr>
            <w:r w:rsidRPr="33E6FA42">
              <w:rPr>
                <w:noProof/>
                <w:sz w:val="16"/>
                <w:szCs w:val="16"/>
              </w:rPr>
              <w:t>84.6</w:t>
            </w:r>
          </w:p>
        </w:tc>
        <w:tc>
          <w:tcPr>
            <w:tcW w:w="786" w:type="dxa"/>
            <w:tcBorders>
              <w:top w:val="single" w:sz="4" w:space="0" w:color="8B73FF"/>
              <w:left w:val="single" w:sz="4" w:space="0" w:color="8B73FF"/>
              <w:bottom w:val="single" w:sz="4" w:space="0" w:color="8B73FF"/>
              <w:right w:val="single" w:sz="4" w:space="0" w:color="8B73FF"/>
            </w:tcBorders>
          </w:tcPr>
          <w:p w14:paraId="3F002C03" w14:textId="3BE89407" w:rsidR="00426F62" w:rsidRPr="00426F62" w:rsidRDefault="2E610D96" w:rsidP="6917DAFC">
            <w:pPr>
              <w:jc w:val="center"/>
              <w:rPr>
                <w:noProof/>
                <w:sz w:val="16"/>
                <w:szCs w:val="16"/>
              </w:rPr>
            </w:pPr>
            <w:r w:rsidRPr="33E6FA42">
              <w:rPr>
                <w:noProof/>
                <w:sz w:val="16"/>
                <w:szCs w:val="16"/>
              </w:rPr>
              <w:t>2.8%</w:t>
            </w:r>
          </w:p>
        </w:tc>
        <w:tc>
          <w:tcPr>
            <w:tcW w:w="755" w:type="dxa"/>
            <w:gridSpan w:val="2"/>
            <w:tcBorders>
              <w:top w:val="single" w:sz="4" w:space="0" w:color="8B73FF"/>
              <w:left w:val="single" w:sz="4" w:space="0" w:color="8B73FF"/>
              <w:bottom w:val="single" w:sz="4" w:space="0" w:color="8B73FF"/>
              <w:right w:val="single" w:sz="4" w:space="0" w:color="8B73FF"/>
            </w:tcBorders>
          </w:tcPr>
          <w:p w14:paraId="04A53DEB" w14:textId="71281F80" w:rsidR="00426F62" w:rsidRPr="00426F62" w:rsidRDefault="0368D173" w:rsidP="6917DAFC">
            <w:pPr>
              <w:jc w:val="center"/>
              <w:rPr>
                <w:noProof/>
                <w:sz w:val="16"/>
                <w:szCs w:val="16"/>
              </w:rPr>
            </w:pPr>
            <w:r w:rsidRPr="6917DAFC">
              <w:rPr>
                <w:noProof/>
                <w:sz w:val="16"/>
                <w:szCs w:val="16"/>
              </w:rPr>
              <w:t>100.0</w:t>
            </w:r>
          </w:p>
        </w:tc>
        <w:tc>
          <w:tcPr>
            <w:tcW w:w="622" w:type="dxa"/>
            <w:tcBorders>
              <w:top w:val="single" w:sz="4" w:space="0" w:color="8B73FF"/>
              <w:left w:val="single" w:sz="4" w:space="0" w:color="8B73FF"/>
              <w:bottom w:val="single" w:sz="4" w:space="0" w:color="8B73FF"/>
              <w:right w:val="single" w:sz="4" w:space="0" w:color="8B73FF"/>
            </w:tcBorders>
          </w:tcPr>
          <w:p w14:paraId="52451725" w14:textId="55381653" w:rsidR="00426F62" w:rsidRPr="00426F62" w:rsidRDefault="0368D173" w:rsidP="6917DAFC">
            <w:pPr>
              <w:jc w:val="center"/>
              <w:rPr>
                <w:noProof/>
                <w:sz w:val="16"/>
                <w:szCs w:val="16"/>
              </w:rPr>
            </w:pPr>
            <w:r w:rsidRPr="6917DAFC">
              <w:rPr>
                <w:noProof/>
                <w:sz w:val="16"/>
                <w:szCs w:val="16"/>
              </w:rPr>
              <w:t>100</w:t>
            </w:r>
          </w:p>
        </w:tc>
      </w:tr>
      <w:tr w:rsidR="00426F62" w:rsidRPr="007C0C4B" w14:paraId="0A270E07" w14:textId="77777777" w:rsidTr="002E069A">
        <w:trPr>
          <w:gridAfter w:val="1"/>
          <w:wAfter w:w="114" w:type="dxa"/>
          <w:cantSplit/>
          <w:trHeight w:val="330"/>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DB98A70"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Digital public services for businesses</w:t>
            </w:r>
          </w:p>
        </w:tc>
        <w:tc>
          <w:tcPr>
            <w:tcW w:w="892" w:type="dxa"/>
            <w:tcBorders>
              <w:top w:val="single" w:sz="4" w:space="0" w:color="8B73FF"/>
              <w:left w:val="single" w:sz="4" w:space="0" w:color="8B73FF"/>
              <w:bottom w:val="single" w:sz="4" w:space="0" w:color="8B73FF"/>
              <w:right w:val="single" w:sz="4" w:space="0" w:color="8B73FF"/>
            </w:tcBorders>
          </w:tcPr>
          <w:p w14:paraId="0200EFC4" w14:textId="7353E0D8" w:rsidR="00426F62" w:rsidRPr="00426F62" w:rsidRDefault="47AEBEA2" w:rsidP="6917DAFC">
            <w:pPr>
              <w:jc w:val="center"/>
              <w:rPr>
                <w:noProof/>
                <w:sz w:val="16"/>
                <w:szCs w:val="16"/>
              </w:rPr>
            </w:pPr>
            <w:r w:rsidRPr="33E6FA42">
              <w:rPr>
                <w:noProof/>
                <w:sz w:val="16"/>
                <w:szCs w:val="16"/>
              </w:rPr>
              <w:t>100.0</w:t>
            </w:r>
          </w:p>
        </w:tc>
        <w:tc>
          <w:tcPr>
            <w:tcW w:w="1145" w:type="dxa"/>
            <w:tcBorders>
              <w:top w:val="single" w:sz="4" w:space="0" w:color="8B73FF"/>
              <w:left w:val="single" w:sz="4" w:space="0" w:color="8B73FF"/>
              <w:bottom w:val="single" w:sz="4" w:space="0" w:color="8B73FF"/>
              <w:right w:val="single" w:sz="4" w:space="0" w:color="8B73FF"/>
            </w:tcBorders>
          </w:tcPr>
          <w:p w14:paraId="78FAD617" w14:textId="14A77C00" w:rsidR="00426F62" w:rsidRPr="00BA79BC" w:rsidRDefault="463C63A1" w:rsidP="6917DAFC">
            <w:pPr>
              <w:jc w:val="center"/>
              <w:rPr>
                <w:noProof/>
                <w:sz w:val="16"/>
                <w:szCs w:val="16"/>
              </w:rPr>
            </w:pPr>
            <w:r w:rsidRPr="33E6FA42">
              <w:rPr>
                <w:noProof/>
                <w:sz w:val="16"/>
                <w:szCs w:val="16"/>
              </w:rPr>
              <w:t>100.0</w:t>
            </w:r>
          </w:p>
        </w:tc>
        <w:tc>
          <w:tcPr>
            <w:tcW w:w="786" w:type="dxa"/>
            <w:tcBorders>
              <w:top w:val="single" w:sz="4" w:space="0" w:color="8B73FF"/>
              <w:left w:val="single" w:sz="4" w:space="0" w:color="8B73FF"/>
              <w:bottom w:val="single" w:sz="4" w:space="0" w:color="8B73FF"/>
              <w:right w:val="single" w:sz="4" w:space="0" w:color="8B73FF"/>
            </w:tcBorders>
          </w:tcPr>
          <w:p w14:paraId="49F430C9" w14:textId="0800A8F1" w:rsidR="00426F62" w:rsidRPr="00426F62" w:rsidRDefault="2155DDB6" w:rsidP="6917DAFC">
            <w:pPr>
              <w:jc w:val="center"/>
              <w:rPr>
                <w:noProof/>
                <w:sz w:val="16"/>
                <w:szCs w:val="16"/>
              </w:rPr>
            </w:pPr>
            <w:r w:rsidRPr="33E6FA42">
              <w:rPr>
                <w:noProof/>
                <w:sz w:val="16"/>
                <w:szCs w:val="16"/>
              </w:rPr>
              <w:t>0.0%</w:t>
            </w:r>
          </w:p>
        </w:tc>
        <w:tc>
          <w:tcPr>
            <w:tcW w:w="870" w:type="dxa"/>
            <w:tcBorders>
              <w:top w:val="single" w:sz="4" w:space="0" w:color="8B73FF"/>
              <w:left w:val="single" w:sz="4" w:space="0" w:color="8B73FF"/>
              <w:bottom w:val="single" w:sz="4" w:space="0" w:color="8B73FF"/>
              <w:right w:val="single" w:sz="4" w:space="0" w:color="8B73FF"/>
            </w:tcBorders>
          </w:tcPr>
          <w:p w14:paraId="38006650" w14:textId="4C1EE8DB"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98.3 </w:t>
            </w:r>
          </w:p>
        </w:tc>
        <w:tc>
          <w:tcPr>
            <w:tcW w:w="784" w:type="dxa"/>
            <w:gridSpan w:val="2"/>
            <w:tcBorders>
              <w:top w:val="single" w:sz="4" w:space="0" w:color="8B73FF"/>
              <w:left w:val="single" w:sz="4" w:space="0" w:color="8B73FF"/>
              <w:bottom w:val="single" w:sz="4" w:space="0" w:color="8B73FF"/>
              <w:right w:val="single" w:sz="4" w:space="0" w:color="8B73FF"/>
            </w:tcBorders>
          </w:tcPr>
          <w:p w14:paraId="0261D5FF" w14:textId="0DD4B0DD" w:rsidR="00426F62" w:rsidRPr="00426F62" w:rsidRDefault="27A68C68" w:rsidP="6917DAFC">
            <w:pPr>
              <w:jc w:val="center"/>
              <w:rPr>
                <w:noProof/>
                <w:sz w:val="16"/>
                <w:szCs w:val="16"/>
              </w:rPr>
            </w:pPr>
            <w:r w:rsidRPr="33E6FA42">
              <w:rPr>
                <w:noProof/>
                <w:sz w:val="16"/>
                <w:szCs w:val="16"/>
              </w:rPr>
              <w:t>88.6</w:t>
            </w:r>
          </w:p>
        </w:tc>
        <w:tc>
          <w:tcPr>
            <w:tcW w:w="786" w:type="dxa"/>
            <w:tcBorders>
              <w:top w:val="single" w:sz="4" w:space="0" w:color="8B73FF"/>
              <w:left w:val="single" w:sz="4" w:space="0" w:color="8B73FF"/>
              <w:bottom w:val="single" w:sz="4" w:space="0" w:color="8B73FF"/>
              <w:right w:val="single" w:sz="4" w:space="0" w:color="8B73FF"/>
            </w:tcBorders>
          </w:tcPr>
          <w:p w14:paraId="7E5B3D52" w14:textId="363A1755" w:rsidR="00426F62" w:rsidRPr="00426F62" w:rsidRDefault="5612B908" w:rsidP="6917DAFC">
            <w:pPr>
              <w:jc w:val="center"/>
              <w:rPr>
                <w:noProof/>
                <w:sz w:val="16"/>
                <w:szCs w:val="16"/>
              </w:rPr>
            </w:pPr>
            <w:r w:rsidRPr="33E6FA42">
              <w:rPr>
                <w:noProof/>
                <w:sz w:val="16"/>
                <w:szCs w:val="16"/>
              </w:rPr>
              <w:t>2.7%</w:t>
            </w:r>
          </w:p>
        </w:tc>
        <w:tc>
          <w:tcPr>
            <w:tcW w:w="755" w:type="dxa"/>
            <w:gridSpan w:val="2"/>
            <w:tcBorders>
              <w:top w:val="single" w:sz="4" w:space="0" w:color="8B73FF"/>
              <w:left w:val="single" w:sz="4" w:space="0" w:color="8B73FF"/>
              <w:bottom w:val="single" w:sz="4" w:space="0" w:color="8B73FF"/>
              <w:right w:val="single" w:sz="4" w:space="0" w:color="8B73FF"/>
            </w:tcBorders>
          </w:tcPr>
          <w:p w14:paraId="0D4C8102" w14:textId="6DE0F5E6" w:rsidR="00426F62" w:rsidRPr="00426F62" w:rsidRDefault="0368D173" w:rsidP="6917DAFC">
            <w:pPr>
              <w:jc w:val="center"/>
              <w:rPr>
                <w:noProof/>
                <w:sz w:val="16"/>
                <w:szCs w:val="16"/>
              </w:rPr>
            </w:pPr>
            <w:r w:rsidRPr="6917DAFC">
              <w:rPr>
                <w:noProof/>
                <w:sz w:val="16"/>
                <w:szCs w:val="16"/>
              </w:rPr>
              <w:t>100.0</w:t>
            </w:r>
          </w:p>
        </w:tc>
        <w:tc>
          <w:tcPr>
            <w:tcW w:w="622" w:type="dxa"/>
            <w:tcBorders>
              <w:top w:val="single" w:sz="4" w:space="0" w:color="8B73FF"/>
              <w:left w:val="single" w:sz="4" w:space="0" w:color="8B73FF"/>
              <w:bottom w:val="single" w:sz="4" w:space="0" w:color="8B73FF"/>
              <w:right w:val="single" w:sz="4" w:space="0" w:color="8B73FF"/>
            </w:tcBorders>
          </w:tcPr>
          <w:p w14:paraId="4AFDEAD7" w14:textId="2B1DCD0A" w:rsidR="00426F62" w:rsidRPr="00426F62" w:rsidRDefault="0368D173" w:rsidP="6917DAFC">
            <w:pPr>
              <w:jc w:val="center"/>
              <w:rPr>
                <w:noProof/>
                <w:sz w:val="16"/>
                <w:szCs w:val="16"/>
              </w:rPr>
            </w:pPr>
            <w:r w:rsidRPr="6917DAFC">
              <w:rPr>
                <w:noProof/>
                <w:sz w:val="16"/>
                <w:szCs w:val="16"/>
              </w:rPr>
              <w:t>100</w:t>
            </w:r>
          </w:p>
        </w:tc>
      </w:tr>
      <w:tr w:rsidR="00426F62" w:rsidRPr="007C0C4B" w14:paraId="5B70B79C" w14:textId="77777777" w:rsidTr="002E069A">
        <w:trPr>
          <w:gridAfter w:val="1"/>
          <w:wAfter w:w="114" w:type="dxa"/>
          <w:cantSplit/>
          <w:trHeight w:hRule="exact" w:val="436"/>
        </w:trPr>
        <w:tc>
          <w:tcPr>
            <w:tcW w:w="2508"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751E6CE" w14:textId="77777777" w:rsidR="00426F62" w:rsidRPr="007C0C4B" w:rsidRDefault="00426F62" w:rsidP="2908E2FB">
            <w:pPr>
              <w:rPr>
                <w:b/>
                <w:bCs/>
                <w:noProof/>
                <w:color w:val="000000" w:themeColor="text1"/>
                <w:sz w:val="16"/>
                <w:szCs w:val="16"/>
              </w:rPr>
            </w:pPr>
            <w:r w:rsidRPr="2908E2FB">
              <w:rPr>
                <w:rFonts w:ascii="Calibri" w:eastAsia="Times New Roman" w:hAnsi="Calibri" w:cs="Calibri"/>
                <w:b/>
                <w:bCs/>
                <w:noProof/>
                <w:color w:val="000000" w:themeColor="text1"/>
                <w:sz w:val="16"/>
                <w:szCs w:val="16"/>
                <w:lang w:eastAsia="en-IE"/>
              </w:rPr>
              <w:t>Access to electronic health records</w:t>
            </w:r>
          </w:p>
        </w:tc>
        <w:tc>
          <w:tcPr>
            <w:tcW w:w="892" w:type="dxa"/>
            <w:tcBorders>
              <w:top w:val="single" w:sz="4" w:space="0" w:color="8B73FF"/>
              <w:left w:val="single" w:sz="4" w:space="0" w:color="8B73FF"/>
              <w:bottom w:val="single" w:sz="4" w:space="0" w:color="8B73FF"/>
              <w:right w:val="single" w:sz="4" w:space="0" w:color="8B73FF"/>
            </w:tcBorders>
          </w:tcPr>
          <w:p w14:paraId="3C103285" w14:textId="5950D6EB" w:rsidR="00426F62" w:rsidRPr="00426F62" w:rsidRDefault="3B711B27" w:rsidP="6917DAFC">
            <w:pPr>
              <w:jc w:val="center"/>
              <w:rPr>
                <w:rFonts w:eastAsia="Times New Roman"/>
                <w:noProof/>
                <w:color w:val="000000" w:themeColor="text1"/>
                <w:sz w:val="16"/>
                <w:szCs w:val="16"/>
                <w:lang w:eastAsia="en-IE"/>
              </w:rPr>
            </w:pPr>
            <w:r w:rsidRPr="33E6FA42">
              <w:rPr>
                <w:noProof/>
                <w:sz w:val="16"/>
                <w:szCs w:val="16"/>
              </w:rPr>
              <w:t>76.1</w:t>
            </w:r>
          </w:p>
        </w:tc>
        <w:tc>
          <w:tcPr>
            <w:tcW w:w="1145" w:type="dxa"/>
            <w:tcBorders>
              <w:top w:val="single" w:sz="4" w:space="0" w:color="8B73FF"/>
              <w:left w:val="single" w:sz="4" w:space="0" w:color="8B73FF"/>
              <w:bottom w:val="single" w:sz="4" w:space="0" w:color="8B73FF"/>
              <w:right w:val="single" w:sz="4" w:space="0" w:color="8B73FF"/>
            </w:tcBorders>
          </w:tcPr>
          <w:p w14:paraId="546EEF4F" w14:textId="585D4017" w:rsidR="00426F62" w:rsidRPr="00BA79BC" w:rsidRDefault="608C91CC" w:rsidP="33E6FA42">
            <w:pPr>
              <w:jc w:val="center"/>
              <w:rPr>
                <w:rFonts w:eastAsia="Times New Roman"/>
                <w:noProof/>
                <w:color w:val="000000" w:themeColor="text1"/>
                <w:sz w:val="16"/>
                <w:szCs w:val="16"/>
                <w:lang w:eastAsia="en-IE"/>
              </w:rPr>
            </w:pPr>
            <w:r w:rsidRPr="33E6FA42">
              <w:rPr>
                <w:rFonts w:eastAsia="Times New Roman"/>
                <w:noProof/>
                <w:color w:val="000000" w:themeColor="text1"/>
                <w:sz w:val="16"/>
                <w:szCs w:val="16"/>
                <w:lang w:eastAsia="en-IE"/>
              </w:rPr>
              <w:t>77.1</w:t>
            </w:r>
          </w:p>
        </w:tc>
        <w:tc>
          <w:tcPr>
            <w:tcW w:w="786" w:type="dxa"/>
            <w:tcBorders>
              <w:top w:val="single" w:sz="4" w:space="0" w:color="8B73FF"/>
              <w:left w:val="single" w:sz="4" w:space="0" w:color="8B73FF"/>
              <w:bottom w:val="single" w:sz="4" w:space="0" w:color="8B73FF"/>
              <w:right w:val="single" w:sz="4" w:space="0" w:color="8B73FF"/>
            </w:tcBorders>
          </w:tcPr>
          <w:p w14:paraId="3EDF7F1E" w14:textId="3542E842" w:rsidR="00426F62" w:rsidRPr="00426F62" w:rsidRDefault="608C91CC" w:rsidP="6917DAFC">
            <w:pPr>
              <w:jc w:val="center"/>
              <w:rPr>
                <w:rFonts w:eastAsia="Times New Roman"/>
                <w:noProof/>
                <w:color w:val="000000" w:themeColor="text1"/>
                <w:sz w:val="16"/>
                <w:szCs w:val="16"/>
                <w:lang w:eastAsia="en-IE"/>
              </w:rPr>
            </w:pPr>
            <w:r w:rsidRPr="33E6FA42">
              <w:rPr>
                <w:rFonts w:eastAsia="Times New Roman"/>
                <w:noProof/>
                <w:color w:val="000000" w:themeColor="text1"/>
                <w:sz w:val="16"/>
                <w:szCs w:val="16"/>
                <w:lang w:eastAsia="en-IE"/>
              </w:rPr>
              <w:t>1.4%</w:t>
            </w:r>
          </w:p>
        </w:tc>
        <w:tc>
          <w:tcPr>
            <w:tcW w:w="870" w:type="dxa"/>
            <w:tcBorders>
              <w:top w:val="single" w:sz="4" w:space="0" w:color="8B73FF"/>
              <w:left w:val="single" w:sz="4" w:space="0" w:color="8B73FF"/>
              <w:bottom w:val="single" w:sz="4" w:space="0" w:color="8B73FF"/>
              <w:right w:val="single" w:sz="4" w:space="0" w:color="8B73FF"/>
            </w:tcBorders>
          </w:tcPr>
          <w:p w14:paraId="1F1C7E70" w14:textId="19D71624" w:rsidR="00426F62" w:rsidRPr="00426F62" w:rsidRDefault="0368D173" w:rsidP="6917DAFC">
            <w:pPr>
              <w:jc w:val="center"/>
              <w:rPr>
                <w:rFonts w:eastAsia="Times New Roman"/>
                <w:noProof/>
                <w:color w:val="000000"/>
                <w:kern w:val="0"/>
                <w:sz w:val="16"/>
                <w:szCs w:val="16"/>
                <w:lang w:eastAsia="en-IE"/>
                <w14:ligatures w14:val="none"/>
              </w:rPr>
            </w:pPr>
            <w:r w:rsidRPr="6917DAFC">
              <w:rPr>
                <w:noProof/>
                <w:sz w:val="16"/>
                <w:szCs w:val="16"/>
              </w:rPr>
              <w:t xml:space="preserve"> 79.2 </w:t>
            </w:r>
          </w:p>
        </w:tc>
        <w:tc>
          <w:tcPr>
            <w:tcW w:w="784" w:type="dxa"/>
            <w:gridSpan w:val="2"/>
            <w:tcBorders>
              <w:top w:val="single" w:sz="4" w:space="0" w:color="8B73FF"/>
              <w:left w:val="single" w:sz="4" w:space="0" w:color="8B73FF"/>
              <w:bottom w:val="single" w:sz="4" w:space="0" w:color="8B73FF"/>
              <w:right w:val="single" w:sz="4" w:space="0" w:color="8B73FF"/>
            </w:tcBorders>
          </w:tcPr>
          <w:p w14:paraId="232B4EAE" w14:textId="45DEB677" w:rsidR="00426F62" w:rsidRPr="00426F62" w:rsidRDefault="75BE784C" w:rsidP="6917DAFC">
            <w:pPr>
              <w:jc w:val="center"/>
              <w:rPr>
                <w:rFonts w:eastAsia="Times New Roman"/>
                <w:noProof/>
                <w:color w:val="000000" w:themeColor="text1"/>
                <w:sz w:val="16"/>
                <w:szCs w:val="16"/>
                <w:lang w:eastAsia="en-IE"/>
              </w:rPr>
            </w:pPr>
            <w:r w:rsidRPr="33E6FA42">
              <w:rPr>
                <w:rFonts w:eastAsia="Times New Roman"/>
                <w:noProof/>
                <w:color w:val="000000" w:themeColor="text1"/>
                <w:sz w:val="16"/>
                <w:szCs w:val="16"/>
                <w:lang w:eastAsia="en-IE"/>
              </w:rPr>
              <w:t>86.5</w:t>
            </w:r>
          </w:p>
        </w:tc>
        <w:tc>
          <w:tcPr>
            <w:tcW w:w="786" w:type="dxa"/>
            <w:tcBorders>
              <w:top w:val="single" w:sz="4" w:space="0" w:color="8B73FF"/>
              <w:left w:val="single" w:sz="4" w:space="0" w:color="8B73FF"/>
              <w:bottom w:val="single" w:sz="4" w:space="0" w:color="8B73FF"/>
              <w:right w:val="single" w:sz="4" w:space="0" w:color="8B73FF"/>
            </w:tcBorders>
          </w:tcPr>
          <w:p w14:paraId="4F762155" w14:textId="5CAE6A25" w:rsidR="00426F62" w:rsidRPr="00426F62" w:rsidRDefault="75BE784C" w:rsidP="6917DAFC">
            <w:pPr>
              <w:jc w:val="center"/>
              <w:rPr>
                <w:rFonts w:eastAsia="Times New Roman"/>
                <w:noProof/>
                <w:color w:val="000000" w:themeColor="text1"/>
                <w:sz w:val="16"/>
                <w:szCs w:val="16"/>
                <w:lang w:eastAsia="en-IE"/>
              </w:rPr>
            </w:pPr>
            <w:r w:rsidRPr="33E6FA42">
              <w:rPr>
                <w:rFonts w:eastAsia="Times New Roman"/>
                <w:noProof/>
                <w:color w:val="000000" w:themeColor="text1"/>
                <w:sz w:val="16"/>
                <w:szCs w:val="16"/>
                <w:lang w:eastAsia="en-IE"/>
              </w:rPr>
              <w:t>4.6%</w:t>
            </w:r>
          </w:p>
        </w:tc>
        <w:tc>
          <w:tcPr>
            <w:tcW w:w="755" w:type="dxa"/>
            <w:gridSpan w:val="2"/>
            <w:tcBorders>
              <w:top w:val="single" w:sz="4" w:space="0" w:color="8B73FF"/>
              <w:left w:val="single" w:sz="4" w:space="0" w:color="8B73FF"/>
              <w:bottom w:val="single" w:sz="4" w:space="0" w:color="8B73FF"/>
              <w:right w:val="single" w:sz="4" w:space="0" w:color="8B73FF"/>
            </w:tcBorders>
          </w:tcPr>
          <w:p w14:paraId="01E99598" w14:textId="211AE379" w:rsidR="00426F62" w:rsidRPr="00426F62" w:rsidRDefault="0368D173" w:rsidP="6917DAFC">
            <w:pPr>
              <w:jc w:val="center"/>
              <w:rPr>
                <w:rFonts w:eastAsia="Times New Roman"/>
                <w:noProof/>
                <w:color w:val="00B050"/>
                <w:sz w:val="16"/>
                <w:szCs w:val="16"/>
                <w:lang w:eastAsia="en-IE"/>
              </w:rPr>
            </w:pPr>
            <w:r w:rsidRPr="6917DAFC">
              <w:rPr>
                <w:noProof/>
                <w:sz w:val="16"/>
                <w:szCs w:val="16"/>
              </w:rPr>
              <w:t>100.0</w:t>
            </w:r>
          </w:p>
        </w:tc>
        <w:tc>
          <w:tcPr>
            <w:tcW w:w="622" w:type="dxa"/>
            <w:tcBorders>
              <w:top w:val="single" w:sz="4" w:space="0" w:color="8B73FF"/>
              <w:left w:val="single" w:sz="4" w:space="0" w:color="8B73FF"/>
              <w:bottom w:val="single" w:sz="4" w:space="0" w:color="8B73FF"/>
              <w:right w:val="single" w:sz="4" w:space="0" w:color="8B73FF"/>
            </w:tcBorders>
          </w:tcPr>
          <w:p w14:paraId="791CA847" w14:textId="40D26B45" w:rsidR="00426F62" w:rsidRPr="00426F62" w:rsidRDefault="0368D173" w:rsidP="6917DAFC">
            <w:pPr>
              <w:jc w:val="center"/>
              <w:rPr>
                <w:rFonts w:eastAsia="Times New Roman"/>
                <w:noProof/>
                <w:color w:val="000000" w:themeColor="text1"/>
                <w:sz w:val="16"/>
                <w:szCs w:val="16"/>
                <w:lang w:eastAsia="en-IE"/>
              </w:rPr>
            </w:pPr>
            <w:r w:rsidRPr="6917DAFC">
              <w:rPr>
                <w:noProof/>
                <w:sz w:val="16"/>
                <w:szCs w:val="16"/>
              </w:rPr>
              <w:t>100</w:t>
            </w:r>
          </w:p>
        </w:tc>
      </w:tr>
    </w:tbl>
    <w:tbl>
      <w:tblPr>
        <w:tblW w:w="5322" w:type="pct"/>
        <w:tblInd w:w="15" w:type="dxa"/>
        <w:tblCellMar>
          <w:top w:w="15" w:type="dxa"/>
          <w:bottom w:w="15" w:type="dxa"/>
        </w:tblCellMar>
        <w:tblLook w:val="04A0" w:firstRow="1" w:lastRow="0" w:firstColumn="1" w:lastColumn="0" w:noHBand="0" w:noVBand="1"/>
      </w:tblPr>
      <w:tblGrid>
        <w:gridCol w:w="9607"/>
      </w:tblGrid>
      <w:tr w:rsidR="007F0E5A" w:rsidRPr="007C0C4B" w14:paraId="669F504F" w14:textId="77777777">
        <w:trPr>
          <w:trHeight w:val="59"/>
        </w:trPr>
        <w:tc>
          <w:tcPr>
            <w:tcW w:w="5000" w:type="pct"/>
            <w:vAlign w:val="center"/>
            <w:hideMark/>
          </w:tcPr>
          <w:p w14:paraId="0E40CA58" w14:textId="00733003" w:rsidR="007F0E5A" w:rsidRPr="007C0C4B" w:rsidRDefault="007F0E5A">
            <w:pPr>
              <w:spacing w:after="0" w:line="240" w:lineRule="auto"/>
              <w:rPr>
                <w:rFonts w:eastAsia="Times New Roman" w:cstheme="minorHAnsi"/>
                <w:noProof/>
                <w:color w:val="000000"/>
                <w:kern w:val="0"/>
                <w:sz w:val="18"/>
                <w:szCs w:val="18"/>
                <w:lang w:eastAsia="en-IE"/>
                <w14:ligatures w14:val="none"/>
              </w:rPr>
            </w:pPr>
            <w:r w:rsidRPr="009939AA">
              <w:rPr>
                <w:rFonts w:ascii="Calibri" w:eastAsia="Times New Roman" w:hAnsi="Calibri" w:cs="Calibri"/>
                <w:noProof/>
                <w:color w:val="000000"/>
                <w:kern w:val="0"/>
                <w:sz w:val="16"/>
                <w:szCs w:val="16"/>
                <w:lang w:eastAsia="en-IE"/>
                <w14:ligatures w14:val="none"/>
              </w:rPr>
              <w:t xml:space="preserve">(1) </w:t>
            </w:r>
            <w:r w:rsidR="00C5686D" w:rsidRPr="00A50CF3">
              <w:rPr>
                <w:rFonts w:ascii="Calibri" w:hAnsi="Calibri" w:cs="Calibri"/>
                <w:noProof/>
                <w:sz w:val="16"/>
                <w:szCs w:val="16"/>
              </w:rPr>
              <w:t xml:space="preserve">Indicators full description, metadata and sources in the </w:t>
            </w:r>
            <w:hyperlink r:id="rId31" w:history="1">
              <w:r w:rsidR="00C5686D" w:rsidRPr="00A50CF3">
                <w:rPr>
                  <w:rStyle w:val="Hyperlink"/>
                  <w:rFonts w:ascii="Calibri" w:hAnsi="Calibri" w:cs="Calibri"/>
                  <w:noProof/>
                  <w:sz w:val="16"/>
                  <w:szCs w:val="16"/>
                </w:rPr>
                <w:t>DESI 2026 methodological note</w:t>
              </w:r>
            </w:hyperlink>
            <w:r w:rsidRPr="009939AA">
              <w:rPr>
                <w:rFonts w:ascii="Calibri" w:eastAsia="Times New Roman" w:hAnsi="Calibri" w:cs="Calibri"/>
                <w:noProof/>
                <w:color w:val="000000"/>
                <w:kern w:val="0"/>
                <w:sz w:val="16"/>
                <w:szCs w:val="16"/>
                <w:lang w:eastAsia="en-IE"/>
                <w14:ligatures w14:val="none"/>
              </w:rPr>
              <w:br/>
              <w:t>(2) Last available data is DESI2025 (reference year 2024) except for indicators marked with a star * for which it is DESI2024 (reference year 2023)</w:t>
            </w:r>
            <w:r w:rsidRPr="009939AA">
              <w:rPr>
                <w:rFonts w:ascii="Calibri" w:eastAsia="Times New Roman" w:hAnsi="Calibri" w:cs="Calibri"/>
                <w:noProof/>
                <w:color w:val="000000"/>
                <w:kern w:val="0"/>
                <w:sz w:val="16"/>
                <w:szCs w:val="16"/>
                <w:lang w:eastAsia="en-IE"/>
                <w14:ligatures w14:val="none"/>
              </w:rPr>
              <w:br/>
              <w:t>(3) National trajectory value for 2025, if set by the country in its Digital Decade national roadmap</w:t>
            </w:r>
          </w:p>
        </w:tc>
      </w:tr>
    </w:tbl>
    <w:p w14:paraId="5EB9B1C8" w14:textId="2F357911" w:rsidR="0086165A" w:rsidRDefault="0086165A">
      <w:pPr>
        <w:spacing w:after="0" w:line="240" w:lineRule="auto"/>
        <w:rPr>
          <w:rFonts w:asciiTheme="majorHAnsi" w:hAnsiTheme="majorHAnsi" w:cstheme="majorHAnsi"/>
          <w:b/>
          <w:iCs/>
          <w:noProof/>
          <w:color w:val="0046FF"/>
          <w:sz w:val="30"/>
          <w:szCs w:val="30"/>
        </w:rPr>
      </w:pPr>
      <w:bookmarkStart w:id="6" w:name="_Hlk223536248"/>
      <w:bookmarkStart w:id="7" w:name="_Hlk223536312"/>
    </w:p>
    <w:p w14:paraId="2B65176F" w14:textId="0E4095A6" w:rsidR="00887B34" w:rsidRDefault="21BA15E5" w:rsidP="00887B34">
      <w:pPr>
        <w:pStyle w:val="Heading2"/>
        <w:rPr>
          <w:noProof/>
        </w:rPr>
      </w:pPr>
      <w:bookmarkStart w:id="8" w:name="_Toc229042780"/>
      <w:r>
        <w:rPr>
          <w:noProof/>
        </w:rPr>
        <w:t>A competitive, sovereign and resilient EU based on technological leadership</w:t>
      </w:r>
      <w:bookmarkEnd w:id="6"/>
      <w:bookmarkEnd w:id="8"/>
    </w:p>
    <w:p w14:paraId="5601E59C" w14:textId="77777777" w:rsidR="0089777C" w:rsidRPr="00604291" w:rsidRDefault="0089777C" w:rsidP="0089777C">
      <w:pPr>
        <w:jc w:val="both"/>
        <w:rPr>
          <w:rFonts w:ascii="Calibri" w:eastAsia="Calibri" w:hAnsi="Calibri" w:cs="Calibri"/>
          <w:noProof/>
        </w:rPr>
      </w:pPr>
      <w:bookmarkStart w:id="9" w:name="_Toc229042781"/>
      <w:r w:rsidRPr="00604291">
        <w:rPr>
          <w:rFonts w:ascii="Calibri" w:eastAsia="Calibri" w:hAnsi="Calibri" w:cs="Calibri"/>
          <w:noProof/>
        </w:rPr>
        <w:t xml:space="preserve">Luxembourg performs well above the EU average on connectivity, with near-universal Very High Capacity Network (VHCN) and 5G coverage and a mature fibre deployment model </w:t>
      </w:r>
      <w:r>
        <w:rPr>
          <w:rFonts w:ascii="Calibri" w:eastAsia="Calibri" w:hAnsi="Calibri" w:cs="Calibri"/>
          <w:noProof/>
        </w:rPr>
        <w:t xml:space="preserve">driven primarily by </w:t>
      </w:r>
      <w:r w:rsidRPr="00604291">
        <w:rPr>
          <w:rFonts w:ascii="Calibri" w:eastAsia="Calibri" w:hAnsi="Calibri" w:cs="Calibri"/>
          <w:noProof/>
        </w:rPr>
        <w:t xml:space="preserve">a single national operator. The remaining challenge for </w:t>
      </w:r>
      <w:r>
        <w:rPr>
          <w:rFonts w:ascii="Calibri" w:eastAsia="Calibri" w:hAnsi="Calibri" w:cs="Calibri"/>
          <w:noProof/>
        </w:rPr>
        <w:t>fibre to the premises (</w:t>
      </w:r>
      <w:r w:rsidRPr="00604291">
        <w:rPr>
          <w:rFonts w:ascii="Calibri" w:eastAsia="Calibri" w:hAnsi="Calibri" w:cs="Calibri"/>
          <w:noProof/>
        </w:rPr>
        <w:t>FTTP</w:t>
      </w:r>
      <w:r>
        <w:rPr>
          <w:rFonts w:ascii="Calibri" w:eastAsia="Calibri" w:hAnsi="Calibri" w:cs="Calibri"/>
          <w:noProof/>
        </w:rPr>
        <w:t>)</w:t>
      </w:r>
      <w:r w:rsidRPr="00604291">
        <w:rPr>
          <w:rFonts w:ascii="Calibri" w:eastAsia="Calibri" w:hAnsi="Calibri" w:cs="Calibri"/>
          <w:noProof/>
        </w:rPr>
        <w:t xml:space="preserve"> is concentrated in hard-to-reach premises in ‘WhiteSpot’ areas, where a new legal framework is still undergoing analysis without concrete deployment results, and in stimulating take-up among cost-sensitive households despite an expanding voucher scheme.</w:t>
      </w:r>
      <w:r w:rsidRPr="00604291">
        <w:rPr>
          <w:noProof/>
        </w:rPr>
        <w:t xml:space="preserve"> </w:t>
      </w:r>
      <w:r w:rsidRPr="00604291">
        <w:rPr>
          <w:rFonts w:ascii="Calibri" w:eastAsia="Calibri" w:hAnsi="Calibri" w:cs="Calibri"/>
          <w:noProof/>
        </w:rPr>
        <w:t xml:space="preserve">On 5G, mid-band rural coverage and </w:t>
      </w:r>
      <w:r>
        <w:rPr>
          <w:rFonts w:ascii="Calibri" w:eastAsia="Calibri" w:hAnsi="Calibri" w:cs="Calibri"/>
          <w:noProof/>
        </w:rPr>
        <w:t>s</w:t>
      </w:r>
      <w:r w:rsidRPr="00604291">
        <w:rPr>
          <w:rFonts w:ascii="Calibri" w:eastAsia="Calibri" w:hAnsi="Calibri" w:cs="Calibri"/>
          <w:noProof/>
        </w:rPr>
        <w:t xml:space="preserve">tandalone deployment remain the key gaps </w:t>
      </w:r>
      <w:r>
        <w:rPr>
          <w:rFonts w:ascii="Calibri" w:eastAsia="Calibri" w:hAnsi="Calibri" w:cs="Calibri"/>
          <w:noProof/>
        </w:rPr>
        <w:t>that need to be</w:t>
      </w:r>
      <w:r w:rsidRPr="00604291">
        <w:rPr>
          <w:rFonts w:ascii="Calibri" w:eastAsia="Calibri" w:hAnsi="Calibri" w:cs="Calibri"/>
          <w:noProof/>
        </w:rPr>
        <w:t xml:space="preserve"> address</w:t>
      </w:r>
      <w:r>
        <w:rPr>
          <w:rFonts w:ascii="Calibri" w:eastAsia="Calibri" w:hAnsi="Calibri" w:cs="Calibri"/>
          <w:noProof/>
        </w:rPr>
        <w:t>ed</w:t>
      </w:r>
      <w:r w:rsidRPr="00604291">
        <w:rPr>
          <w:rFonts w:ascii="Calibri" w:eastAsia="Calibri" w:hAnsi="Calibri" w:cs="Calibri"/>
          <w:noProof/>
        </w:rPr>
        <w:t>. On the business side, SMEs have made rapid progress in basic digital intensity, but cloud and data analytics adoption among enterprises continues to trail the EU average, with no dedicated instrument targeting enterprises introduced in 2025. Luxembourg has invested decisively in AI infrastructure and sovereign digital capabilities through the MeluXina-AI AI Factory and the Mistral AI partnership, positioning itself as a trusted AI hub in Europe. The start</w:t>
      </w:r>
      <w:r>
        <w:rPr>
          <w:rFonts w:ascii="Calibri" w:eastAsia="Calibri" w:hAnsi="Calibri" w:cs="Calibri"/>
          <w:noProof/>
        </w:rPr>
        <w:t>-</w:t>
      </w:r>
      <w:r w:rsidRPr="00604291">
        <w:rPr>
          <w:rFonts w:ascii="Calibri" w:eastAsia="Calibri" w:hAnsi="Calibri" w:cs="Calibri"/>
          <w:noProof/>
        </w:rPr>
        <w:t>up ecosystem benefits from Luxembourg</w:t>
      </w:r>
      <w:r>
        <w:rPr>
          <w:rFonts w:ascii="Calibri" w:eastAsia="Calibri" w:hAnsi="Calibri" w:cs="Calibri"/>
          <w:noProof/>
        </w:rPr>
        <w:t>’</w:t>
      </w:r>
      <w:r w:rsidRPr="00604291">
        <w:rPr>
          <w:rFonts w:ascii="Calibri" w:eastAsia="Calibri" w:hAnsi="Calibri" w:cs="Calibri"/>
          <w:noProof/>
        </w:rPr>
        <w:t xml:space="preserve">s unique positioning as a financial centre and data-sovereign hub, though scaling ventures beyond </w:t>
      </w:r>
      <w:r>
        <w:rPr>
          <w:rFonts w:ascii="Calibri" w:eastAsia="Calibri" w:hAnsi="Calibri" w:cs="Calibri"/>
          <w:noProof/>
        </w:rPr>
        <w:t xml:space="preserve">the </w:t>
      </w:r>
      <w:r w:rsidRPr="00604291">
        <w:rPr>
          <w:rFonts w:ascii="Calibri" w:eastAsia="Calibri" w:hAnsi="Calibri" w:cs="Calibri"/>
          <w:noProof/>
        </w:rPr>
        <w:t>early stage</w:t>
      </w:r>
      <w:r>
        <w:rPr>
          <w:rFonts w:ascii="Calibri" w:eastAsia="Calibri" w:hAnsi="Calibri" w:cs="Calibri"/>
          <w:noProof/>
        </w:rPr>
        <w:t>s</w:t>
      </w:r>
      <w:r w:rsidRPr="00604291">
        <w:rPr>
          <w:rFonts w:ascii="Calibri" w:eastAsia="Calibri" w:hAnsi="Calibri" w:cs="Calibri"/>
          <w:noProof/>
        </w:rPr>
        <w:t xml:space="preserve"> remains a structural challenge.</w:t>
      </w:r>
    </w:p>
    <w:p w14:paraId="7FB9D0E5" w14:textId="5C38163A" w:rsidR="009027E7" w:rsidRPr="00887B34" w:rsidRDefault="0A39090D" w:rsidP="00887B34">
      <w:pPr>
        <w:pStyle w:val="Heading2"/>
        <w:rPr>
          <w:noProof/>
        </w:rPr>
      </w:pPr>
      <w:r>
        <w:rPr>
          <w:noProof/>
        </w:rPr>
        <w:t>Protecting and empowering EU people and society</w:t>
      </w:r>
      <w:bookmarkEnd w:id="7"/>
      <w:bookmarkEnd w:id="9"/>
    </w:p>
    <w:p w14:paraId="66D065E0" w14:textId="77777777" w:rsidR="00A371BA" w:rsidRPr="00604291" w:rsidRDefault="00A371BA">
      <w:pPr>
        <w:jc w:val="both"/>
        <w:rPr>
          <w:rFonts w:ascii="Calibri" w:eastAsia="Calibri" w:hAnsi="Calibri" w:cs="Calibri"/>
          <w:noProof/>
        </w:rPr>
      </w:pPr>
      <w:r w:rsidRPr="00604291">
        <w:rPr>
          <w:rFonts w:ascii="Calibri" w:eastAsia="Calibri" w:hAnsi="Calibri" w:cs="Calibri"/>
          <w:noProof/>
        </w:rPr>
        <w:t>Luxembourg</w:t>
      </w:r>
      <w:r>
        <w:rPr>
          <w:rFonts w:ascii="Calibri" w:eastAsia="Calibri" w:hAnsi="Calibri" w:cs="Calibri"/>
          <w:noProof/>
        </w:rPr>
        <w:t>’</w:t>
      </w:r>
      <w:r w:rsidRPr="00604291">
        <w:rPr>
          <w:rFonts w:ascii="Calibri" w:eastAsia="Calibri" w:hAnsi="Calibri" w:cs="Calibri"/>
          <w:noProof/>
        </w:rPr>
        <w:t>s basic digital skills level is above the EU ave</w:t>
      </w:r>
      <w:r w:rsidRPr="00604291">
        <w:rPr>
          <w:rFonts w:eastAsiaTheme="minorEastAsia"/>
          <w:noProof/>
        </w:rPr>
        <w:t>rage but below the national trajectory point set by Luxembourg in its national roadmap in 2025</w:t>
      </w:r>
      <w:r>
        <w:rPr>
          <w:rFonts w:eastAsiaTheme="minorEastAsia"/>
          <w:noProof/>
        </w:rPr>
        <w:t>. It is also</w:t>
      </w:r>
      <w:r w:rsidRPr="00604291">
        <w:rPr>
          <w:rFonts w:eastAsiaTheme="minorEastAsia"/>
          <w:noProof/>
        </w:rPr>
        <w:t xml:space="preserve"> growing more slowly th</w:t>
      </w:r>
      <w:r w:rsidRPr="00604291">
        <w:rPr>
          <w:rFonts w:ascii="Calibri" w:eastAsia="Calibri" w:hAnsi="Calibri" w:cs="Calibri"/>
          <w:noProof/>
        </w:rPr>
        <w:t xml:space="preserve">an the EU </w:t>
      </w:r>
      <w:r>
        <w:rPr>
          <w:rFonts w:ascii="Calibri" w:eastAsia="Calibri" w:hAnsi="Calibri" w:cs="Calibri"/>
          <w:noProof/>
        </w:rPr>
        <w:t>overall</w:t>
      </w:r>
      <w:r w:rsidRPr="00604291">
        <w:rPr>
          <w:rFonts w:ascii="Calibri" w:eastAsia="Calibri" w:hAnsi="Calibri" w:cs="Calibri"/>
          <w:noProof/>
        </w:rPr>
        <w:t xml:space="preserve">, with persistent gaps among </w:t>
      </w:r>
      <w:r>
        <w:rPr>
          <w:rFonts w:ascii="Calibri" w:eastAsia="Calibri" w:hAnsi="Calibri" w:cs="Calibri"/>
          <w:noProof/>
        </w:rPr>
        <w:t xml:space="preserve">those with a </w:t>
      </w:r>
      <w:r w:rsidRPr="00604291">
        <w:rPr>
          <w:rFonts w:ascii="Calibri" w:eastAsia="Calibri" w:hAnsi="Calibri" w:cs="Calibri"/>
          <w:noProof/>
        </w:rPr>
        <w:t>low</w:t>
      </w:r>
      <w:r>
        <w:rPr>
          <w:rFonts w:ascii="Calibri" w:eastAsia="Calibri" w:hAnsi="Calibri" w:cs="Calibri"/>
          <w:noProof/>
        </w:rPr>
        <w:t xml:space="preserve"> level of </w:t>
      </w:r>
      <w:r w:rsidRPr="00604291">
        <w:rPr>
          <w:rFonts w:ascii="Calibri" w:eastAsia="Calibri" w:hAnsi="Calibri" w:cs="Calibri"/>
          <w:noProof/>
        </w:rPr>
        <w:t>educat</w:t>
      </w:r>
      <w:r>
        <w:rPr>
          <w:rFonts w:ascii="Calibri" w:eastAsia="Calibri" w:hAnsi="Calibri" w:cs="Calibri"/>
          <w:noProof/>
        </w:rPr>
        <w:t>ion</w:t>
      </w:r>
      <w:r w:rsidRPr="00604291">
        <w:rPr>
          <w:rFonts w:ascii="Calibri" w:eastAsia="Calibri" w:hAnsi="Calibri" w:cs="Calibri"/>
          <w:noProof/>
        </w:rPr>
        <w:t xml:space="preserve">, older citizens and women. The second National Action Plan for Digital Inclusion, adopted in January 2026, represents a meaningful governance upgrade but further efforts are needed to reach the most excluded groups. The share of ICT specialists </w:t>
      </w:r>
      <w:r>
        <w:rPr>
          <w:rFonts w:ascii="Calibri" w:eastAsia="Calibri" w:hAnsi="Calibri" w:cs="Calibri"/>
          <w:noProof/>
        </w:rPr>
        <w:t xml:space="preserve">in the total workforce </w:t>
      </w:r>
      <w:r w:rsidRPr="00604291">
        <w:rPr>
          <w:rFonts w:ascii="Calibri" w:eastAsia="Calibri" w:hAnsi="Calibri" w:cs="Calibri"/>
          <w:noProof/>
        </w:rPr>
        <w:t xml:space="preserve">is the second highest in Europe and recovered </w:t>
      </w:r>
      <w:r>
        <w:rPr>
          <w:rFonts w:ascii="Calibri" w:eastAsia="Calibri" w:hAnsi="Calibri" w:cs="Calibri"/>
          <w:noProof/>
        </w:rPr>
        <w:t>significantly</w:t>
      </w:r>
      <w:r w:rsidRPr="00604291">
        <w:rPr>
          <w:rFonts w:ascii="Calibri" w:eastAsia="Calibri" w:hAnsi="Calibri" w:cs="Calibri"/>
          <w:noProof/>
        </w:rPr>
        <w:t xml:space="preserve"> in 2025, though the volatility in </w:t>
      </w:r>
      <w:r>
        <w:rPr>
          <w:rFonts w:ascii="Calibri" w:eastAsia="Calibri" w:hAnsi="Calibri" w:cs="Calibri"/>
          <w:noProof/>
        </w:rPr>
        <w:t xml:space="preserve">the number of </w:t>
      </w:r>
      <w:r w:rsidRPr="00604291">
        <w:rPr>
          <w:rFonts w:ascii="Calibri" w:eastAsia="Calibri" w:hAnsi="Calibri" w:cs="Calibri"/>
          <w:noProof/>
        </w:rPr>
        <w:t>women ICT specialists signals a structural vulnerability that warrants continued attention. On digital public services, Luxembourg achieves a perfect score for businesses, but citizen-facing services have declined slightly, and the country ranks among the lowest in the EU for digitalisation of judicial proceedings, with citizens and businesses still unable to fully initiate and follow court proceedings digitally. Access to electronic health records remains below the EU average.</w:t>
      </w:r>
    </w:p>
    <w:p w14:paraId="63E12847" w14:textId="77777777" w:rsidR="00A371BA" w:rsidRPr="00604291" w:rsidRDefault="00A371BA" w:rsidP="00A371BA">
      <w:pPr>
        <w:jc w:val="both"/>
        <w:rPr>
          <w:rFonts w:ascii="Calibri" w:eastAsia="Calibri" w:hAnsi="Calibri" w:cs="Calibri"/>
          <w:noProof/>
        </w:rPr>
      </w:pPr>
      <w:r w:rsidRPr="00604291">
        <w:rPr>
          <w:rFonts w:ascii="Calibri" w:eastAsia="Calibri" w:hAnsi="Calibri" w:cs="Calibri"/>
          <w:noProof/>
        </w:rPr>
        <w:t>On green digital</w:t>
      </w:r>
      <w:r>
        <w:rPr>
          <w:rFonts w:ascii="Calibri" w:eastAsia="Calibri" w:hAnsi="Calibri" w:cs="Calibri"/>
          <w:noProof/>
        </w:rPr>
        <w:t xml:space="preserve"> technologies</w:t>
      </w:r>
      <w:r w:rsidRPr="00604291">
        <w:rPr>
          <w:rFonts w:ascii="Calibri" w:eastAsia="Calibri" w:hAnsi="Calibri" w:cs="Calibri"/>
          <w:noProof/>
        </w:rPr>
        <w:t>, Luxembourg</w:t>
      </w:r>
      <w:r>
        <w:rPr>
          <w:rFonts w:ascii="Calibri" w:eastAsia="Calibri" w:hAnsi="Calibri" w:cs="Calibri"/>
          <w:noProof/>
        </w:rPr>
        <w:t>’</w:t>
      </w:r>
      <w:r w:rsidRPr="00604291">
        <w:rPr>
          <w:rFonts w:ascii="Calibri" w:eastAsia="Calibri" w:hAnsi="Calibri" w:cs="Calibri"/>
          <w:noProof/>
        </w:rPr>
        <w:t xml:space="preserve">s ICT sector emits almost three times the EU average per capita, and while the </w:t>
      </w:r>
      <w:r>
        <w:rPr>
          <w:rFonts w:ascii="Calibri" w:eastAsia="Calibri" w:hAnsi="Calibri" w:cs="Calibri"/>
          <w:noProof/>
        </w:rPr>
        <w:t>‘</w:t>
      </w:r>
      <w:r w:rsidRPr="00604291">
        <w:rPr>
          <w:rFonts w:ascii="Calibri" w:eastAsia="Calibri" w:hAnsi="Calibri" w:cs="Calibri"/>
          <w:noProof/>
        </w:rPr>
        <w:t>sustainable by design</w:t>
      </w:r>
      <w:r>
        <w:rPr>
          <w:rFonts w:ascii="Calibri" w:eastAsia="Calibri" w:hAnsi="Calibri" w:cs="Calibri"/>
          <w:noProof/>
        </w:rPr>
        <w:t>’</w:t>
      </w:r>
      <w:r w:rsidRPr="00604291">
        <w:rPr>
          <w:rFonts w:ascii="Calibri" w:eastAsia="Calibri" w:hAnsi="Calibri" w:cs="Calibri"/>
          <w:noProof/>
        </w:rPr>
        <w:t xml:space="preserve"> principle is embedded in the Digital Government Strategy 2026-2030, no national monitoring framework exists to quantify ICT-enabled emission reductions across sectors.</w:t>
      </w:r>
    </w:p>
    <w:tbl>
      <w:tblPr>
        <w:tblStyle w:val="TableGrid"/>
        <w:tblW w:w="0" w:type="auto"/>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8889"/>
      </w:tblGrid>
      <w:tr w:rsidR="00222A01" w:rsidRPr="00A955F8" w14:paraId="2FF78E43" w14:textId="77777777" w:rsidTr="0D7A4743">
        <w:trPr>
          <w:cantSplit/>
          <w:trHeight w:hRule="exact" w:val="10925"/>
        </w:trPr>
        <w:tc>
          <w:tcPr>
            <w:tcW w:w="8889" w:type="dxa"/>
            <w:tcBorders>
              <w:top w:val="single" w:sz="4" w:space="0" w:color="8B73FF"/>
              <w:left w:val="single" w:sz="4" w:space="0" w:color="8B73FF"/>
              <w:bottom w:val="single" w:sz="4" w:space="0" w:color="8B73FF"/>
              <w:right w:val="single" w:sz="4" w:space="0" w:color="8B73FF"/>
            </w:tcBorders>
            <w:vAlign w:val="center"/>
          </w:tcPr>
          <w:p w14:paraId="1EBC041E" w14:textId="4A40964A" w:rsidR="252A4FF5" w:rsidRDefault="252A4FF5" w:rsidP="6917DAFC">
            <w:pPr>
              <w:pStyle w:val="Heading2"/>
              <w:outlineLvl w:val="1"/>
              <w:rPr>
                <w:rFonts w:eastAsiaTheme="majorEastAsia" w:cstheme="majorBidi"/>
                <w:b w:val="0"/>
                <w:noProof/>
              </w:rPr>
            </w:pPr>
            <w:bookmarkStart w:id="10" w:name="_Toc229042782"/>
            <w:r w:rsidRPr="6917DAFC">
              <w:rPr>
                <w:rFonts w:eastAsiaTheme="majorEastAsia" w:cstheme="majorBidi"/>
                <w:b w:val="0"/>
                <w:noProof/>
              </w:rPr>
              <w:t>Recommendations</w:t>
            </w:r>
            <w:bookmarkEnd w:id="10"/>
          </w:p>
          <w:p w14:paraId="0DD1D069" w14:textId="77777777" w:rsidR="00894F26" w:rsidRDefault="087B7925" w:rsidP="00894F26">
            <w:pPr>
              <w:pStyle w:val="ListParagraph"/>
              <w:numPr>
                <w:ilvl w:val="0"/>
                <w:numId w:val="3"/>
              </w:numPr>
              <w:rPr>
                <w:noProof/>
              </w:rPr>
            </w:pPr>
            <w:r w:rsidRPr="0D7A4743">
              <w:rPr>
                <w:b/>
                <w:bCs/>
                <w:noProof/>
              </w:rPr>
              <w:t>Skills:</w:t>
            </w:r>
            <w:r>
              <w:rPr>
                <w:noProof/>
              </w:rPr>
              <w:t xml:space="preserve"> Strengthen targeted digita</w:t>
            </w:r>
            <w:r w:rsidRPr="0D7A4743">
              <w:rPr>
                <w:rFonts w:eastAsiaTheme="minorEastAsia"/>
                <w:noProof/>
              </w:rPr>
              <w:t>l skills interventions for the groups most at risk of exclusion, in particular older citizens, women and low-educated populations, by (i) scaling up proximity-based delivery and personalised support mechanisms, and (ii) ensuring programme continuity beyond current funding cycles.</w:t>
            </w:r>
          </w:p>
          <w:p w14:paraId="4534F26F" w14:textId="77777777" w:rsidR="00894F26" w:rsidRDefault="00894F26" w:rsidP="00894F26">
            <w:pPr>
              <w:pStyle w:val="ListParagraph"/>
              <w:numPr>
                <w:ilvl w:val="0"/>
                <w:numId w:val="2"/>
              </w:numPr>
              <w:rPr>
                <w:noProof/>
                <w:lang w:val="en-IE"/>
              </w:rPr>
            </w:pPr>
            <w:r w:rsidRPr="7AC697BC">
              <w:rPr>
                <w:b/>
                <w:bCs/>
                <w:noProof/>
                <w:lang w:val="en-IE"/>
              </w:rPr>
              <w:t>Advanced technologies take-up:</w:t>
            </w:r>
            <w:r w:rsidRPr="7AC697BC">
              <w:rPr>
                <w:noProof/>
                <w:lang w:val="en-IE"/>
              </w:rPr>
              <w:t xml:space="preserve"> Develop targeted policy measures to accelerate the adoption of advanced digital technologies among enterprises, in particular by: (i) accelerating cloud and data analytics adoption among private enterprises, notably by extending the existing SME support architecture beyond basic digitalisation toward advanced technology deployment and by scaling up sovereign cloud offerings adapted to private sector needs; (ii) continuing to support AI uptake by identifying and scaling AI use cases in strategic sectors of the Luxembourg economy, in line with the Apply AI Strategy</w:t>
            </w:r>
            <w:r>
              <w:rPr>
                <w:noProof/>
                <w:lang w:val="en-IE"/>
              </w:rPr>
              <w:t>.</w:t>
            </w:r>
          </w:p>
          <w:p w14:paraId="1B455F33" w14:textId="77777777" w:rsidR="00894F26" w:rsidRDefault="00894F26" w:rsidP="00894F26">
            <w:pPr>
              <w:pStyle w:val="ListParagraph"/>
              <w:numPr>
                <w:ilvl w:val="0"/>
                <w:numId w:val="2"/>
              </w:numPr>
              <w:rPr>
                <w:noProof/>
                <w:lang w:val="en-IE"/>
              </w:rPr>
            </w:pPr>
            <w:r w:rsidRPr="7AC697BC">
              <w:rPr>
                <w:b/>
                <w:bCs/>
                <w:noProof/>
              </w:rPr>
              <w:t>Green:</w:t>
            </w:r>
            <w:r>
              <w:rPr>
                <w:noProof/>
              </w:rPr>
              <w:t xml:space="preserve"> Develop a national monitoring framework to systematically track and report ICT-enabled emission reductions across key sectors, with sector-specific indicators aligned with EU guidance, to give measurable substance to the "sustainable by design" commitment embedded in the Digital Government Strategy 2026–2030.</w:t>
            </w:r>
          </w:p>
          <w:p w14:paraId="4F61D6F5" w14:textId="77777777" w:rsidR="00894F26" w:rsidRDefault="00894F26" w:rsidP="00894F26">
            <w:pPr>
              <w:pStyle w:val="ListParagraph"/>
              <w:numPr>
                <w:ilvl w:val="0"/>
                <w:numId w:val="2"/>
              </w:numPr>
              <w:rPr>
                <w:noProof/>
              </w:rPr>
            </w:pPr>
            <w:r w:rsidRPr="6B9C9FCD">
              <w:rPr>
                <w:b/>
                <w:bCs/>
                <w:noProof/>
              </w:rPr>
              <w:t xml:space="preserve">Connectivity: </w:t>
            </w:r>
            <w:r w:rsidRPr="6B9C9FCD">
              <w:rPr>
                <w:noProof/>
              </w:rPr>
              <w:t>Accelerate the deployment of high-capacity digital infrastructure. Improve voucher activation rates among eligible low-income households through enhanced outreach and integration into social support services. Accelerate 5G rollout in the 3.4-3.8 GHz mid-band in rural areas, promote the deployment of 5G Standalone networks to enable advanced use cases</w:t>
            </w:r>
            <w:r>
              <w:rPr>
                <w:noProof/>
              </w:rPr>
              <w:t>.</w:t>
            </w:r>
          </w:p>
          <w:p w14:paraId="77804E04" w14:textId="77777777" w:rsidR="00894F26" w:rsidRDefault="00894F26" w:rsidP="00894F26">
            <w:pPr>
              <w:pStyle w:val="ListParagraph"/>
              <w:numPr>
                <w:ilvl w:val="0"/>
                <w:numId w:val="2"/>
              </w:numPr>
              <w:rPr>
                <w:noProof/>
                <w:lang w:val="en-IE"/>
              </w:rPr>
            </w:pPr>
            <w:r w:rsidRPr="6B9C9FCD">
              <w:rPr>
                <w:b/>
                <w:bCs/>
                <w:noProof/>
                <w:lang w:val="en-IE"/>
              </w:rPr>
              <w:t>Cybersecurity:</w:t>
            </w:r>
            <w:r w:rsidRPr="6B9C9FCD">
              <w:rPr>
                <w:noProof/>
                <w:lang w:val="en-IE"/>
              </w:rPr>
              <w:t xml:space="preserve"> Continue efforts in cybersecurity to address the evolving and increasing threats, including by: (i) accelerating efforts to ensure imposition of cybersecurity measures necessary to enhance the cyber posture of critical infrastructure; and (ii) pursuing cybersecurity trainings combining technical and human approaches, supporting lifelong learning and upskilling of the cybersecurity workforce.</w:t>
            </w:r>
          </w:p>
          <w:p w14:paraId="2927BAC9" w14:textId="77777777" w:rsidR="00894F26" w:rsidRDefault="00894F26" w:rsidP="00894F26">
            <w:pPr>
              <w:pStyle w:val="ListParagraph"/>
              <w:numPr>
                <w:ilvl w:val="0"/>
                <w:numId w:val="2"/>
              </w:numPr>
              <w:rPr>
                <w:noProof/>
                <w:lang w:val="en-IE"/>
              </w:rPr>
            </w:pPr>
            <w:r w:rsidRPr="6B9C9FCD">
              <w:rPr>
                <w:b/>
                <w:bCs/>
                <w:noProof/>
                <w:lang w:val="en-IE"/>
              </w:rPr>
              <w:t>eHealth:</w:t>
            </w:r>
            <w:r w:rsidRPr="6B9C9FCD">
              <w:rPr>
                <w:noProof/>
                <w:lang w:val="en-IE"/>
              </w:rPr>
              <w:t xml:space="preserve"> accelerate the roll-out of electronic health record access and interoperability measures in line with the European Health Data Space framework, including by making ePrescription and eDispensation data available to citizens in a timely manner and by onboarding additional types of healthcare providers to increase the supply of health data.</w:t>
            </w:r>
          </w:p>
          <w:p w14:paraId="24EE9F9F" w14:textId="011BC94A" w:rsidR="00222A01" w:rsidRPr="00894F26" w:rsidRDefault="00894F26" w:rsidP="00894F26">
            <w:pPr>
              <w:pStyle w:val="ListParagraph"/>
              <w:numPr>
                <w:ilvl w:val="0"/>
                <w:numId w:val="2"/>
              </w:numPr>
              <w:rPr>
                <w:noProof/>
                <w:lang w:val="en-IE"/>
              </w:rPr>
            </w:pPr>
            <w:r w:rsidRPr="00894F26">
              <w:rPr>
                <w:rFonts w:eastAsiaTheme="minorEastAsia"/>
                <w:b/>
                <w:bCs/>
                <w:noProof/>
              </w:rPr>
              <w:t>Digital public services (eJustice):</w:t>
            </w:r>
            <w:r w:rsidRPr="00894F26">
              <w:rPr>
                <w:rFonts w:eastAsiaTheme="minorEastAsia"/>
                <w:noProof/>
              </w:rPr>
              <w:t xml:space="preserve"> </w:t>
            </w:r>
            <w:r w:rsidRPr="6B9C9FCD">
              <w:rPr>
                <w:noProof/>
              </w:rPr>
              <w:t>Accelerate the digitalisation of judicial proceedings to allow citizens and businesses to initiate and follow court proceedings digitally.</w:t>
            </w:r>
            <w:r w:rsidR="007C3025" w:rsidRPr="00894F26">
              <w:rPr>
                <w:b/>
                <w:noProof/>
                <w:color w:val="FF0000"/>
              </w:rPr>
              <w:br w:type="page"/>
            </w:r>
          </w:p>
        </w:tc>
      </w:tr>
    </w:tbl>
    <w:p w14:paraId="38A768CA" w14:textId="7D9E70D3" w:rsidR="007C3025" w:rsidRDefault="007C3025">
      <w:pPr>
        <w:spacing w:after="0" w:line="240" w:lineRule="auto"/>
        <w:rPr>
          <w:b/>
          <w:bCs/>
          <w:noProof/>
          <w:color w:val="0046FF"/>
          <w:sz w:val="52"/>
          <w:szCs w:val="52"/>
          <w:lang w:val="en-GB"/>
        </w:rPr>
      </w:pPr>
      <w:bookmarkStart w:id="11" w:name="_Toc220422728"/>
      <w:bookmarkEnd w:id="11"/>
    </w:p>
    <w:sectPr w:rsidR="007C3025" w:rsidSect="001835C7">
      <w:headerReference w:type="default" r:id="rId32"/>
      <w:footerReference w:type="default" r:id="rId33"/>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466F3" w14:textId="77777777" w:rsidR="00331C93" w:rsidRDefault="00331C93" w:rsidP="00115654">
      <w:pPr>
        <w:spacing w:after="0" w:line="240" w:lineRule="auto"/>
      </w:pPr>
      <w:r>
        <w:separator/>
      </w:r>
    </w:p>
  </w:endnote>
  <w:endnote w:type="continuationSeparator" w:id="0">
    <w:p w14:paraId="1FA9A561" w14:textId="77777777" w:rsidR="00331C93" w:rsidRDefault="00331C93"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8D448" w14:textId="4570DC23" w:rsidR="009B29AD" w:rsidRPr="009B29AD" w:rsidRDefault="009B29AD" w:rsidP="009B29AD">
    <w:pPr>
      <w:pStyle w:val="FooterCoverPage"/>
      <w:rPr>
        <w:rFonts w:ascii="Arial" w:hAnsi="Arial" w:cs="Arial"/>
        <w:b/>
        <w:sz w:val="48"/>
      </w:rPr>
    </w:pPr>
    <w:r w:rsidRPr="009B29AD">
      <w:rPr>
        <w:rFonts w:ascii="Arial" w:hAnsi="Arial" w:cs="Arial"/>
        <w:b/>
        <w:sz w:val="48"/>
      </w:rPr>
      <w:t>EN</w:t>
    </w:r>
    <w:r w:rsidRPr="009B29AD">
      <w:rPr>
        <w:rFonts w:ascii="Arial" w:hAnsi="Arial" w:cs="Arial"/>
        <w:b/>
        <w:sz w:val="48"/>
      </w:rPr>
      <w:tab/>
    </w:r>
    <w:r w:rsidRPr="009B29AD">
      <w:rPr>
        <w:rFonts w:ascii="Arial" w:hAnsi="Arial" w:cs="Arial"/>
        <w:b/>
        <w:sz w:val="48"/>
      </w:rPr>
      <w:tab/>
    </w:r>
    <w:r w:rsidRPr="009B29AD">
      <w:tab/>
    </w:r>
    <w:r w:rsidRPr="009B29A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A679D" w14:textId="726A2F46" w:rsidR="009B29AD" w:rsidRPr="009B29AD" w:rsidRDefault="009B29AD" w:rsidP="009B29AD">
    <w:pPr>
      <w:pStyle w:val="FooterCoverPage"/>
      <w:rPr>
        <w:rFonts w:ascii="Arial" w:hAnsi="Arial" w:cs="Arial"/>
        <w:b/>
        <w:sz w:val="48"/>
      </w:rPr>
    </w:pPr>
    <w:r w:rsidRPr="009B29AD">
      <w:rPr>
        <w:rFonts w:ascii="Arial" w:hAnsi="Arial" w:cs="Arial"/>
        <w:b/>
        <w:sz w:val="48"/>
      </w:rPr>
      <w:t>EN</w:t>
    </w:r>
    <w:r w:rsidRPr="009B29AD">
      <w:rPr>
        <w:rFonts w:ascii="Arial" w:hAnsi="Arial" w:cs="Arial"/>
        <w:b/>
        <w:sz w:val="48"/>
      </w:rPr>
      <w:tab/>
    </w:r>
    <w:r w:rsidRPr="009B29AD">
      <w:rPr>
        <w:rFonts w:ascii="Arial" w:hAnsi="Arial" w:cs="Arial"/>
        <w:b/>
        <w:sz w:val="48"/>
      </w:rPr>
      <w:tab/>
    </w:r>
    <w:r w:rsidRPr="009B29AD">
      <w:tab/>
    </w:r>
    <w:r w:rsidRPr="009B29A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5B7EB" w14:textId="77777777" w:rsidR="009B29AD" w:rsidRPr="009B29AD" w:rsidRDefault="009B29AD" w:rsidP="009B29A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EF88B" w14:textId="77777777" w:rsidR="00EF71D3" w:rsidRDefault="00EF71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61066" w14:textId="77777777" w:rsidR="00EF71D3" w:rsidRDefault="00EF71D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B6DD0" w14:textId="77777777" w:rsidR="00EF71D3" w:rsidRDefault="00EF71D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1293E" w14:textId="77777777" w:rsidR="001835C7" w:rsidRDefault="001835C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668283"/>
      <w:docPartObj>
        <w:docPartGallery w:val="Page Numbers (Bottom of Page)"/>
        <w:docPartUnique/>
      </w:docPartObj>
    </w:sdtPr>
    <w:sdtEndPr>
      <w:rPr>
        <w:noProof/>
      </w:rPr>
    </w:sdtEndPr>
    <w:sdtContent>
      <w:p w14:paraId="444D8532" w14:textId="609BC9A6" w:rsidR="001835C7" w:rsidRDefault="001835C7">
        <w:pPr>
          <w:pStyle w:val="Footer"/>
          <w:jc w:val="center"/>
        </w:pPr>
        <w:r>
          <w:fldChar w:fldCharType="begin"/>
        </w:r>
        <w:r>
          <w:instrText xml:space="preserve"> PAGE   \* MERGEFORMAT </w:instrText>
        </w:r>
        <w:r>
          <w:fldChar w:fldCharType="separate"/>
        </w:r>
        <w:r w:rsidR="009B29AD">
          <w:rPr>
            <w:noProof/>
          </w:rPr>
          <w:t>5</w:t>
        </w:r>
        <w:r>
          <w:rPr>
            <w:noProof/>
          </w:rPr>
          <w:fldChar w:fldCharType="end"/>
        </w:r>
      </w:p>
    </w:sdtContent>
  </w:sdt>
  <w:p w14:paraId="53185867" w14:textId="77777777" w:rsidR="001835C7" w:rsidRDefault="001835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D0129" w14:textId="77777777" w:rsidR="00331C93" w:rsidRDefault="00331C93" w:rsidP="00115654">
      <w:pPr>
        <w:spacing w:after="0" w:line="240" w:lineRule="auto"/>
      </w:pPr>
      <w:r>
        <w:separator/>
      </w:r>
    </w:p>
  </w:footnote>
  <w:footnote w:type="continuationSeparator" w:id="0">
    <w:p w14:paraId="39B455B1" w14:textId="77777777" w:rsidR="00331C93" w:rsidRDefault="00331C93"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EE4F5" w14:textId="77777777" w:rsidR="009B29AD" w:rsidRPr="009B29AD" w:rsidRDefault="009B29AD" w:rsidP="009B29A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2853B" w14:textId="77777777" w:rsidR="009B29AD" w:rsidRPr="009B29AD" w:rsidRDefault="009B29AD" w:rsidP="009B29A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38BBE" w14:textId="77777777" w:rsidR="009B29AD" w:rsidRPr="009B29AD" w:rsidRDefault="009B29AD" w:rsidP="009B29A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D5FC9" w14:textId="77777777" w:rsidR="00EF71D3" w:rsidRDefault="00EF71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4D175" w14:textId="77777777" w:rsidR="00EF71D3" w:rsidRDefault="00EF71D3">
    <w:pPr>
      <w:pStyle w:val="Header"/>
    </w:pPr>
    <w:r>
      <w:rPr>
        <w:noProof/>
        <w:lang w:val="en-GB" w:eastAsia="en-GB"/>
        <w14:ligatures w14:val="none"/>
      </w:rPr>
      <w:drawing>
        <wp:anchor distT="0" distB="0" distL="114300" distR="114300" simplePos="0" relativeHeight="251658243" behindDoc="0" locked="0" layoutInCell="1" allowOverlap="1" wp14:anchorId="334442AE" wp14:editId="5CBEEA7F">
          <wp:simplePos x="0" y="0"/>
          <wp:positionH relativeFrom="column">
            <wp:posOffset>-1047750</wp:posOffset>
          </wp:positionH>
          <wp:positionV relativeFrom="paragraph">
            <wp:posOffset>-447675</wp:posOffset>
          </wp:positionV>
          <wp:extent cx="6514124" cy="1609371"/>
          <wp:effectExtent l="0" t="0" r="1270" b="3810"/>
          <wp:wrapNone/>
          <wp:docPr id="428994905"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4" behindDoc="0" locked="0" layoutInCell="1" allowOverlap="1" wp14:anchorId="2336E973" wp14:editId="0CA6960E">
              <wp:simplePos x="0" y="0"/>
              <wp:positionH relativeFrom="column">
                <wp:posOffset>-110168</wp:posOffset>
              </wp:positionH>
              <wp:positionV relativeFrom="paragraph">
                <wp:posOffset>-134988</wp:posOffset>
              </wp:positionV>
              <wp:extent cx="3437263" cy="402850"/>
              <wp:effectExtent l="0" t="0" r="0" b="0"/>
              <wp:wrapNone/>
              <wp:docPr id="1063312085"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7E462817" w14:textId="77777777" w:rsidR="00EF71D3" w:rsidRPr="001C4FA3" w:rsidRDefault="00EF71D3" w:rsidP="00CB0AF6">
                          <w:pPr>
                            <w:rPr>
                              <w:color w:val="FFFFFF" w:themeColor="background1"/>
                              <w:sz w:val="40"/>
                              <w:szCs w:val="40"/>
                              <w:lang w:val="nl-NL"/>
                            </w:rPr>
                          </w:pPr>
                          <w:r>
                            <w:rPr>
                              <w:color w:val="FFFFFF" w:themeColor="background1"/>
                              <w:sz w:val="40"/>
                              <w:szCs w:val="40"/>
                              <w:lang w:val="nl-NL"/>
                            </w:rPr>
                            <w:t>Luxembourg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36E973"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" filled="f" stroked="f" strokeweight=".5pt">
              <v:textbox>
                <w:txbxContent>
                  <w:p w14:paraId="7E462817" w14:textId="77777777" w:rsidR="00EF71D3" w:rsidRPr="001C4FA3" w:rsidRDefault="00EF71D3" w:rsidP="00CB0AF6">
                    <w:pPr>
                      <w:rPr>
                        <w:color w:val="FFFFFF" w:themeColor="background1"/>
                        <w:sz w:val="40"/>
                        <w:szCs w:val="40"/>
                        <w:lang w:val="nl-NL"/>
                      </w:rPr>
                    </w:pPr>
                    <w:r>
                      <w:rPr>
                        <w:color w:val="FFFFFF" w:themeColor="background1"/>
                        <w:sz w:val="40"/>
                        <w:szCs w:val="40"/>
                        <w:lang w:val="nl-NL"/>
                      </w:rPr>
                      <w:t>Luxembourg</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54AEF" w14:textId="77777777" w:rsidR="00EF71D3" w:rsidRDefault="00EF71D3">
    <w:pPr>
      <w:pStyle w:val="Header"/>
    </w:pPr>
    <w:r>
      <w:rPr>
        <w:noProof/>
        <w:lang w:val="en-GB" w:eastAsia="en-GB"/>
        <w14:ligatures w14:val="none"/>
      </w:rPr>
      <w:drawing>
        <wp:anchor distT="0" distB="0" distL="114300" distR="114300" simplePos="0" relativeHeight="251658242" behindDoc="1" locked="0" layoutInCell="1" allowOverlap="1" wp14:anchorId="43887AC1" wp14:editId="65DA2656">
          <wp:simplePos x="0" y="0"/>
          <wp:positionH relativeFrom="column">
            <wp:posOffset>-943276</wp:posOffset>
          </wp:positionH>
          <wp:positionV relativeFrom="paragraph">
            <wp:posOffset>-468831</wp:posOffset>
          </wp:positionV>
          <wp:extent cx="7604963" cy="10749201"/>
          <wp:effectExtent l="0" t="0" r="2540" b="0"/>
          <wp:wrapNone/>
          <wp:docPr id="911577997"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672C" w14:textId="77777777" w:rsidR="001835C7" w:rsidRDefault="001835C7">
    <w:pPr>
      <w:pStyle w:val="Header"/>
    </w:pPr>
    <w:r>
      <w:rPr>
        <w:noProof/>
        <w:lang w:val="en-GB" w:eastAsia="en-GB"/>
        <w14:ligatures w14:val="none"/>
      </w:rPr>
      <w:drawing>
        <wp:anchor distT="0" distB="0" distL="114300" distR="114300" simplePos="0" relativeHeight="251658240" behindDoc="0" locked="0" layoutInCell="1" allowOverlap="1" wp14:anchorId="26F0C78C" wp14:editId="7E24010D">
          <wp:simplePos x="0" y="0"/>
          <wp:positionH relativeFrom="column">
            <wp:posOffset>-1047750</wp:posOffset>
          </wp:positionH>
          <wp:positionV relativeFrom="paragraph">
            <wp:posOffset>-447675</wp:posOffset>
          </wp:positionV>
          <wp:extent cx="6514124" cy="1609371"/>
          <wp:effectExtent l="0" t="0" r="1270" b="3810"/>
          <wp:wrapNone/>
          <wp:docPr id="81582965"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1" behindDoc="0" locked="0" layoutInCell="1" allowOverlap="1" wp14:anchorId="46493C98" wp14:editId="02A66A37">
              <wp:simplePos x="0" y="0"/>
              <wp:positionH relativeFrom="column">
                <wp:posOffset>-110168</wp:posOffset>
              </wp:positionH>
              <wp:positionV relativeFrom="paragraph">
                <wp:posOffset>-134988</wp:posOffset>
              </wp:positionV>
              <wp:extent cx="3437263" cy="402850"/>
              <wp:effectExtent l="0" t="0" r="0" b="0"/>
              <wp:wrapNone/>
              <wp:docPr id="70368393"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2D9BF558" w14:textId="77777777" w:rsidR="001835C7" w:rsidRPr="001C4FA3" w:rsidRDefault="001835C7" w:rsidP="00CB0AF6">
                          <w:pPr>
                            <w:rPr>
                              <w:color w:val="FFFFFF" w:themeColor="background1"/>
                              <w:sz w:val="40"/>
                              <w:szCs w:val="40"/>
                              <w:lang w:val="nl-NL"/>
                            </w:rPr>
                          </w:pPr>
                          <w:r>
                            <w:rPr>
                              <w:color w:val="FFFFFF" w:themeColor="background1"/>
                              <w:sz w:val="40"/>
                              <w:szCs w:val="40"/>
                              <w:lang w:val="nl-NL"/>
                            </w:rPr>
                            <w:t>Luxembourg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493C98" id="_x0000_t202" coordsize="21600,21600" o:spt="202" path="m,l,21600r21600,l21600,xe">
              <v:stroke joinstyle="miter"/>
              <v:path gradientshapeok="t" o:connecttype="rect"/>
            </v:shapetype>
            <v:shape id="_x0000_s1029" type="#_x0000_t202" style="position:absolute;margin-left:-8.65pt;margin-top:-10.65pt;width:270.65pt;height:31.7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CLK2MxbwIAALgEAAAOAAAAAAAA&#10;AAAAAAAAAC4CAABkcnMvZTJvRG9jLnhtbFBLAQItABQABgAIAAAAIQDh0/M44gAAAAoBAAAPAAAA&#10;AAAAAAAAAAAAAMkEAABkcnMvZG93bnJldi54bWxQSwUGAAAAAAQABADzAAAA2AUAAAAA&#10;" filled="f" stroked="f" strokeweight=".5pt">
              <v:textbox>
                <w:txbxContent>
                  <w:p w14:paraId="2D9BF558" w14:textId="77777777" w:rsidR="001835C7" w:rsidRPr="001C4FA3" w:rsidRDefault="001835C7" w:rsidP="00CB0AF6">
                    <w:pPr>
                      <w:rPr>
                        <w:color w:val="FFFFFF" w:themeColor="background1"/>
                        <w:sz w:val="40"/>
                        <w:szCs w:val="40"/>
                        <w:lang w:val="nl-NL"/>
                      </w:rPr>
                    </w:pPr>
                    <w:r>
                      <w:rPr>
                        <w:color w:val="FFFFFF" w:themeColor="background1"/>
                        <w:sz w:val="40"/>
                        <w:szCs w:val="40"/>
                        <w:lang w:val="nl-NL"/>
                      </w:rPr>
                      <w:t>Luxembourg</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E28B5" w14:textId="77777777" w:rsidR="00EF71D3" w:rsidRDefault="00EF71D3">
    <w:pPr>
      <w:pStyle w:val="Header"/>
    </w:pPr>
    <w:r>
      <w:rPr>
        <w:noProof/>
        <w:lang w:val="en-GB" w:eastAsia="en-GB"/>
        <w14:ligatures w14:val="none"/>
      </w:rPr>
      <w:drawing>
        <wp:anchor distT="0" distB="0" distL="114300" distR="114300" simplePos="0" relativeHeight="251658245" behindDoc="0" locked="0" layoutInCell="1" allowOverlap="1" wp14:anchorId="3EBC875D" wp14:editId="61A1CBEE">
          <wp:simplePos x="0" y="0"/>
          <wp:positionH relativeFrom="column">
            <wp:posOffset>-1047750</wp:posOffset>
          </wp:positionH>
          <wp:positionV relativeFrom="paragraph">
            <wp:posOffset>-447675</wp:posOffset>
          </wp:positionV>
          <wp:extent cx="6514124" cy="1609371"/>
          <wp:effectExtent l="0" t="0" r="1270" b="3810"/>
          <wp:wrapNone/>
          <wp:docPr id="13403929"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6" behindDoc="0" locked="0" layoutInCell="1" allowOverlap="1" wp14:anchorId="17195ECD" wp14:editId="4356A32F">
              <wp:simplePos x="0" y="0"/>
              <wp:positionH relativeFrom="column">
                <wp:posOffset>-110168</wp:posOffset>
              </wp:positionH>
              <wp:positionV relativeFrom="paragraph">
                <wp:posOffset>-134988</wp:posOffset>
              </wp:positionV>
              <wp:extent cx="3437263" cy="402850"/>
              <wp:effectExtent l="0" t="0" r="0" b="0"/>
              <wp:wrapNone/>
              <wp:docPr id="857497130"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436D2E18" w14:textId="77777777" w:rsidR="00EF71D3" w:rsidRPr="001C4FA3" w:rsidRDefault="00EF71D3" w:rsidP="00CB0AF6">
                          <w:pPr>
                            <w:rPr>
                              <w:color w:val="FFFFFF" w:themeColor="background1"/>
                              <w:sz w:val="40"/>
                              <w:szCs w:val="40"/>
                              <w:lang w:val="nl-NL"/>
                            </w:rPr>
                          </w:pPr>
                          <w:r>
                            <w:rPr>
                              <w:color w:val="FFFFFF" w:themeColor="background1"/>
                              <w:sz w:val="40"/>
                              <w:szCs w:val="40"/>
                              <w:lang w:val="nl-NL"/>
                            </w:rPr>
                            <w:t>Luxembourg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195ECD" id="_x0000_t202" coordsize="21600,21600" o:spt="202" path="m,l,21600r21600,l21600,xe">
              <v:stroke joinstyle="miter"/>
              <v:path gradientshapeok="t" o:connecttype="rect"/>
            </v:shapetype>
            <v:shape id="_x0000_s1030" type="#_x0000_t202" style="position:absolute;margin-left:-8.65pt;margin-top:-10.65pt;width:270.65pt;height:31.7pt;z-index:25165824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" filled="f" stroked="f" strokeweight=".5pt">
              <v:textbox>
                <w:txbxContent>
                  <w:p w14:paraId="436D2E18" w14:textId="77777777" w:rsidR="00EF71D3" w:rsidRPr="001C4FA3" w:rsidRDefault="00EF71D3" w:rsidP="00CB0AF6">
                    <w:pPr>
                      <w:rPr>
                        <w:color w:val="FFFFFF" w:themeColor="background1"/>
                        <w:sz w:val="40"/>
                        <w:szCs w:val="40"/>
                        <w:lang w:val="nl-NL"/>
                      </w:rPr>
                    </w:pPr>
                    <w:r>
                      <w:rPr>
                        <w:color w:val="FFFFFF" w:themeColor="background1"/>
                        <w:sz w:val="40"/>
                        <w:szCs w:val="40"/>
                        <w:lang w:val="nl-NL"/>
                      </w:rPr>
                      <w:t>Luxembourg</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EE55E5"/>
    <w:multiLevelType w:val="multilevel"/>
    <w:tmpl w:val="E32816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517D4"/>
    <w:multiLevelType w:val="multilevel"/>
    <w:tmpl w:val="C512D7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D170B2"/>
    <w:multiLevelType w:val="multilevel"/>
    <w:tmpl w:val="3F9A7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BF5B8A"/>
    <w:multiLevelType w:val="hybridMultilevel"/>
    <w:tmpl w:val="FFFFFFFF"/>
    <w:lvl w:ilvl="0" w:tplc="19D8C5FA">
      <w:start w:val="1"/>
      <w:numFmt w:val="bullet"/>
      <w:lvlText w:val="-"/>
      <w:lvlJc w:val="left"/>
      <w:pPr>
        <w:ind w:left="1080" w:hanging="360"/>
      </w:pPr>
      <w:rPr>
        <w:rFonts w:ascii="Aptos" w:hAnsi="Aptos" w:hint="default"/>
      </w:rPr>
    </w:lvl>
    <w:lvl w:ilvl="1" w:tplc="7E749356">
      <w:start w:val="1"/>
      <w:numFmt w:val="bullet"/>
      <w:lvlText w:val="o"/>
      <w:lvlJc w:val="left"/>
      <w:pPr>
        <w:ind w:left="1800" w:hanging="360"/>
      </w:pPr>
      <w:rPr>
        <w:rFonts w:ascii="Courier New" w:hAnsi="Courier New" w:hint="default"/>
      </w:rPr>
    </w:lvl>
    <w:lvl w:ilvl="2" w:tplc="F8F2E176">
      <w:start w:val="1"/>
      <w:numFmt w:val="bullet"/>
      <w:lvlText w:val=""/>
      <w:lvlJc w:val="left"/>
      <w:pPr>
        <w:ind w:left="2520" w:hanging="360"/>
      </w:pPr>
      <w:rPr>
        <w:rFonts w:ascii="Wingdings" w:hAnsi="Wingdings" w:hint="default"/>
      </w:rPr>
    </w:lvl>
    <w:lvl w:ilvl="3" w:tplc="02B412F8">
      <w:start w:val="1"/>
      <w:numFmt w:val="bullet"/>
      <w:lvlText w:val=""/>
      <w:lvlJc w:val="left"/>
      <w:pPr>
        <w:ind w:left="3240" w:hanging="360"/>
      </w:pPr>
      <w:rPr>
        <w:rFonts w:ascii="Symbol" w:hAnsi="Symbol" w:hint="default"/>
      </w:rPr>
    </w:lvl>
    <w:lvl w:ilvl="4" w:tplc="1C86BD78">
      <w:start w:val="1"/>
      <w:numFmt w:val="bullet"/>
      <w:lvlText w:val="o"/>
      <w:lvlJc w:val="left"/>
      <w:pPr>
        <w:ind w:left="3960" w:hanging="360"/>
      </w:pPr>
      <w:rPr>
        <w:rFonts w:ascii="Courier New" w:hAnsi="Courier New" w:hint="default"/>
      </w:rPr>
    </w:lvl>
    <w:lvl w:ilvl="5" w:tplc="53F67EE0">
      <w:start w:val="1"/>
      <w:numFmt w:val="bullet"/>
      <w:lvlText w:val=""/>
      <w:lvlJc w:val="left"/>
      <w:pPr>
        <w:ind w:left="4680" w:hanging="360"/>
      </w:pPr>
      <w:rPr>
        <w:rFonts w:ascii="Wingdings" w:hAnsi="Wingdings" w:hint="default"/>
      </w:rPr>
    </w:lvl>
    <w:lvl w:ilvl="6" w:tplc="F5F666BC">
      <w:start w:val="1"/>
      <w:numFmt w:val="bullet"/>
      <w:lvlText w:val=""/>
      <w:lvlJc w:val="left"/>
      <w:pPr>
        <w:ind w:left="5400" w:hanging="360"/>
      </w:pPr>
      <w:rPr>
        <w:rFonts w:ascii="Symbol" w:hAnsi="Symbol" w:hint="default"/>
      </w:rPr>
    </w:lvl>
    <w:lvl w:ilvl="7" w:tplc="C1020E96">
      <w:start w:val="1"/>
      <w:numFmt w:val="bullet"/>
      <w:lvlText w:val="o"/>
      <w:lvlJc w:val="left"/>
      <w:pPr>
        <w:ind w:left="6120" w:hanging="360"/>
      </w:pPr>
      <w:rPr>
        <w:rFonts w:ascii="Courier New" w:hAnsi="Courier New" w:hint="default"/>
      </w:rPr>
    </w:lvl>
    <w:lvl w:ilvl="8" w:tplc="04163C96">
      <w:start w:val="1"/>
      <w:numFmt w:val="bullet"/>
      <w:lvlText w:val=""/>
      <w:lvlJc w:val="left"/>
      <w:pPr>
        <w:ind w:left="6840" w:hanging="360"/>
      </w:pPr>
      <w:rPr>
        <w:rFonts w:ascii="Wingdings" w:hAnsi="Wingdings" w:hint="default"/>
      </w:rPr>
    </w:lvl>
  </w:abstractNum>
  <w:abstractNum w:abstractNumId="6" w15:restartNumberingAfterBreak="0">
    <w:nsid w:val="25A89BFE"/>
    <w:multiLevelType w:val="hybridMultilevel"/>
    <w:tmpl w:val="842E6B02"/>
    <w:lvl w:ilvl="0" w:tplc="847884A6">
      <w:start w:val="1"/>
      <w:numFmt w:val="bullet"/>
      <w:lvlText w:val=""/>
      <w:lvlJc w:val="left"/>
      <w:pPr>
        <w:ind w:left="720" w:hanging="360"/>
      </w:pPr>
      <w:rPr>
        <w:rFonts w:ascii="Symbol" w:hAnsi="Symbol" w:hint="default"/>
      </w:rPr>
    </w:lvl>
    <w:lvl w:ilvl="1" w:tplc="76D8C338">
      <w:start w:val="1"/>
      <w:numFmt w:val="bullet"/>
      <w:lvlText w:val="o"/>
      <w:lvlJc w:val="left"/>
      <w:pPr>
        <w:ind w:left="1440" w:hanging="360"/>
      </w:pPr>
      <w:rPr>
        <w:rFonts w:ascii="Courier New" w:hAnsi="Courier New" w:hint="default"/>
      </w:rPr>
    </w:lvl>
    <w:lvl w:ilvl="2" w:tplc="F66E86B6">
      <w:start w:val="1"/>
      <w:numFmt w:val="bullet"/>
      <w:lvlText w:val=""/>
      <w:lvlJc w:val="left"/>
      <w:pPr>
        <w:ind w:left="2160" w:hanging="360"/>
      </w:pPr>
      <w:rPr>
        <w:rFonts w:ascii="Wingdings" w:hAnsi="Wingdings" w:hint="default"/>
      </w:rPr>
    </w:lvl>
    <w:lvl w:ilvl="3" w:tplc="548622DA">
      <w:start w:val="1"/>
      <w:numFmt w:val="bullet"/>
      <w:lvlText w:val=""/>
      <w:lvlJc w:val="left"/>
      <w:pPr>
        <w:ind w:left="2880" w:hanging="360"/>
      </w:pPr>
      <w:rPr>
        <w:rFonts w:ascii="Symbol" w:hAnsi="Symbol" w:hint="default"/>
      </w:rPr>
    </w:lvl>
    <w:lvl w:ilvl="4" w:tplc="5E5A268E">
      <w:start w:val="1"/>
      <w:numFmt w:val="bullet"/>
      <w:lvlText w:val="o"/>
      <w:lvlJc w:val="left"/>
      <w:pPr>
        <w:ind w:left="3600" w:hanging="360"/>
      </w:pPr>
      <w:rPr>
        <w:rFonts w:ascii="Courier New" w:hAnsi="Courier New" w:hint="default"/>
      </w:rPr>
    </w:lvl>
    <w:lvl w:ilvl="5" w:tplc="9DF8CD56">
      <w:start w:val="1"/>
      <w:numFmt w:val="bullet"/>
      <w:lvlText w:val=""/>
      <w:lvlJc w:val="left"/>
      <w:pPr>
        <w:ind w:left="4320" w:hanging="360"/>
      </w:pPr>
      <w:rPr>
        <w:rFonts w:ascii="Wingdings" w:hAnsi="Wingdings" w:hint="default"/>
      </w:rPr>
    </w:lvl>
    <w:lvl w:ilvl="6" w:tplc="130652B0">
      <w:start w:val="1"/>
      <w:numFmt w:val="bullet"/>
      <w:lvlText w:val=""/>
      <w:lvlJc w:val="left"/>
      <w:pPr>
        <w:ind w:left="5040" w:hanging="360"/>
      </w:pPr>
      <w:rPr>
        <w:rFonts w:ascii="Symbol" w:hAnsi="Symbol" w:hint="default"/>
      </w:rPr>
    </w:lvl>
    <w:lvl w:ilvl="7" w:tplc="BCAEFFBE">
      <w:start w:val="1"/>
      <w:numFmt w:val="bullet"/>
      <w:lvlText w:val="o"/>
      <w:lvlJc w:val="left"/>
      <w:pPr>
        <w:ind w:left="5760" w:hanging="360"/>
      </w:pPr>
      <w:rPr>
        <w:rFonts w:ascii="Courier New" w:hAnsi="Courier New" w:hint="default"/>
      </w:rPr>
    </w:lvl>
    <w:lvl w:ilvl="8" w:tplc="BAECA41E">
      <w:start w:val="1"/>
      <w:numFmt w:val="bullet"/>
      <w:lvlText w:val=""/>
      <w:lvlJc w:val="left"/>
      <w:pPr>
        <w:ind w:left="6480" w:hanging="360"/>
      </w:pPr>
      <w:rPr>
        <w:rFonts w:ascii="Wingdings" w:hAnsi="Wingdings" w:hint="default"/>
      </w:rPr>
    </w:lvl>
  </w:abstractNum>
  <w:abstractNum w:abstractNumId="7"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1360A7"/>
    <w:multiLevelType w:val="hybridMultilevel"/>
    <w:tmpl w:val="FFFFFFFF"/>
    <w:lvl w:ilvl="0" w:tplc="FAD6A158">
      <w:start w:val="1"/>
      <w:numFmt w:val="bullet"/>
      <w:lvlText w:val="-"/>
      <w:lvlJc w:val="left"/>
      <w:pPr>
        <w:ind w:left="1080" w:hanging="360"/>
      </w:pPr>
      <w:rPr>
        <w:rFonts w:ascii="Aptos" w:hAnsi="Aptos" w:hint="default"/>
      </w:rPr>
    </w:lvl>
    <w:lvl w:ilvl="1" w:tplc="151055E8">
      <w:start w:val="1"/>
      <w:numFmt w:val="bullet"/>
      <w:lvlText w:val="o"/>
      <w:lvlJc w:val="left"/>
      <w:pPr>
        <w:ind w:left="1800" w:hanging="360"/>
      </w:pPr>
      <w:rPr>
        <w:rFonts w:ascii="Courier New" w:hAnsi="Courier New" w:hint="default"/>
      </w:rPr>
    </w:lvl>
    <w:lvl w:ilvl="2" w:tplc="FA923BC8">
      <w:start w:val="1"/>
      <w:numFmt w:val="bullet"/>
      <w:lvlText w:val=""/>
      <w:lvlJc w:val="left"/>
      <w:pPr>
        <w:ind w:left="2520" w:hanging="360"/>
      </w:pPr>
      <w:rPr>
        <w:rFonts w:ascii="Wingdings" w:hAnsi="Wingdings" w:hint="default"/>
      </w:rPr>
    </w:lvl>
    <w:lvl w:ilvl="3" w:tplc="B71C23A4">
      <w:start w:val="1"/>
      <w:numFmt w:val="bullet"/>
      <w:lvlText w:val=""/>
      <w:lvlJc w:val="left"/>
      <w:pPr>
        <w:ind w:left="3240" w:hanging="360"/>
      </w:pPr>
      <w:rPr>
        <w:rFonts w:ascii="Symbol" w:hAnsi="Symbol" w:hint="default"/>
      </w:rPr>
    </w:lvl>
    <w:lvl w:ilvl="4" w:tplc="BED2F6B4">
      <w:start w:val="1"/>
      <w:numFmt w:val="bullet"/>
      <w:lvlText w:val="o"/>
      <w:lvlJc w:val="left"/>
      <w:pPr>
        <w:ind w:left="3960" w:hanging="360"/>
      </w:pPr>
      <w:rPr>
        <w:rFonts w:ascii="Courier New" w:hAnsi="Courier New" w:hint="default"/>
      </w:rPr>
    </w:lvl>
    <w:lvl w:ilvl="5" w:tplc="17EAABC0">
      <w:start w:val="1"/>
      <w:numFmt w:val="bullet"/>
      <w:lvlText w:val=""/>
      <w:lvlJc w:val="left"/>
      <w:pPr>
        <w:ind w:left="4680" w:hanging="360"/>
      </w:pPr>
      <w:rPr>
        <w:rFonts w:ascii="Wingdings" w:hAnsi="Wingdings" w:hint="default"/>
      </w:rPr>
    </w:lvl>
    <w:lvl w:ilvl="6" w:tplc="77C4281A">
      <w:start w:val="1"/>
      <w:numFmt w:val="bullet"/>
      <w:lvlText w:val=""/>
      <w:lvlJc w:val="left"/>
      <w:pPr>
        <w:ind w:left="5400" w:hanging="360"/>
      </w:pPr>
      <w:rPr>
        <w:rFonts w:ascii="Symbol" w:hAnsi="Symbol" w:hint="default"/>
      </w:rPr>
    </w:lvl>
    <w:lvl w:ilvl="7" w:tplc="C9F0933E">
      <w:start w:val="1"/>
      <w:numFmt w:val="bullet"/>
      <w:lvlText w:val="o"/>
      <w:lvlJc w:val="left"/>
      <w:pPr>
        <w:ind w:left="6120" w:hanging="360"/>
      </w:pPr>
      <w:rPr>
        <w:rFonts w:ascii="Courier New" w:hAnsi="Courier New" w:hint="default"/>
      </w:rPr>
    </w:lvl>
    <w:lvl w:ilvl="8" w:tplc="226027DC">
      <w:start w:val="1"/>
      <w:numFmt w:val="bullet"/>
      <w:lvlText w:val=""/>
      <w:lvlJc w:val="left"/>
      <w:pPr>
        <w:ind w:left="6840" w:hanging="360"/>
      </w:pPr>
      <w:rPr>
        <w:rFonts w:ascii="Wingdings" w:hAnsi="Wingdings" w:hint="default"/>
      </w:rPr>
    </w:lvl>
  </w:abstractNum>
  <w:abstractNum w:abstractNumId="11" w15:restartNumberingAfterBreak="0">
    <w:nsid w:val="51ABB67D"/>
    <w:multiLevelType w:val="hybridMultilevel"/>
    <w:tmpl w:val="FFFFFFFF"/>
    <w:lvl w:ilvl="0" w:tplc="DDC451FC">
      <w:start w:val="1"/>
      <w:numFmt w:val="bullet"/>
      <w:lvlText w:val="-"/>
      <w:lvlJc w:val="left"/>
      <w:pPr>
        <w:ind w:left="1080" w:hanging="360"/>
      </w:pPr>
      <w:rPr>
        <w:rFonts w:ascii="Aptos" w:hAnsi="Aptos" w:hint="default"/>
      </w:rPr>
    </w:lvl>
    <w:lvl w:ilvl="1" w:tplc="CA5A95E4">
      <w:start w:val="1"/>
      <w:numFmt w:val="bullet"/>
      <w:lvlText w:val="o"/>
      <w:lvlJc w:val="left"/>
      <w:pPr>
        <w:ind w:left="1800" w:hanging="360"/>
      </w:pPr>
      <w:rPr>
        <w:rFonts w:ascii="Courier New" w:hAnsi="Courier New" w:hint="default"/>
      </w:rPr>
    </w:lvl>
    <w:lvl w:ilvl="2" w:tplc="F956EACA">
      <w:start w:val="1"/>
      <w:numFmt w:val="bullet"/>
      <w:lvlText w:val=""/>
      <w:lvlJc w:val="left"/>
      <w:pPr>
        <w:ind w:left="2520" w:hanging="360"/>
      </w:pPr>
      <w:rPr>
        <w:rFonts w:ascii="Wingdings" w:hAnsi="Wingdings" w:hint="default"/>
      </w:rPr>
    </w:lvl>
    <w:lvl w:ilvl="3" w:tplc="D74C15BE">
      <w:start w:val="1"/>
      <w:numFmt w:val="bullet"/>
      <w:lvlText w:val=""/>
      <w:lvlJc w:val="left"/>
      <w:pPr>
        <w:ind w:left="3240" w:hanging="360"/>
      </w:pPr>
      <w:rPr>
        <w:rFonts w:ascii="Symbol" w:hAnsi="Symbol" w:hint="default"/>
      </w:rPr>
    </w:lvl>
    <w:lvl w:ilvl="4" w:tplc="94423B90">
      <w:start w:val="1"/>
      <w:numFmt w:val="bullet"/>
      <w:lvlText w:val="o"/>
      <w:lvlJc w:val="left"/>
      <w:pPr>
        <w:ind w:left="3960" w:hanging="360"/>
      </w:pPr>
      <w:rPr>
        <w:rFonts w:ascii="Courier New" w:hAnsi="Courier New" w:hint="default"/>
      </w:rPr>
    </w:lvl>
    <w:lvl w:ilvl="5" w:tplc="67CEA140">
      <w:start w:val="1"/>
      <w:numFmt w:val="bullet"/>
      <w:lvlText w:val=""/>
      <w:lvlJc w:val="left"/>
      <w:pPr>
        <w:ind w:left="4680" w:hanging="360"/>
      </w:pPr>
      <w:rPr>
        <w:rFonts w:ascii="Wingdings" w:hAnsi="Wingdings" w:hint="default"/>
      </w:rPr>
    </w:lvl>
    <w:lvl w:ilvl="6" w:tplc="A2D2C9E0">
      <w:start w:val="1"/>
      <w:numFmt w:val="bullet"/>
      <w:lvlText w:val=""/>
      <w:lvlJc w:val="left"/>
      <w:pPr>
        <w:ind w:left="5400" w:hanging="360"/>
      </w:pPr>
      <w:rPr>
        <w:rFonts w:ascii="Symbol" w:hAnsi="Symbol" w:hint="default"/>
      </w:rPr>
    </w:lvl>
    <w:lvl w:ilvl="7" w:tplc="16CCDB2A">
      <w:start w:val="1"/>
      <w:numFmt w:val="bullet"/>
      <w:lvlText w:val="o"/>
      <w:lvlJc w:val="left"/>
      <w:pPr>
        <w:ind w:left="6120" w:hanging="360"/>
      </w:pPr>
      <w:rPr>
        <w:rFonts w:ascii="Courier New" w:hAnsi="Courier New" w:hint="default"/>
      </w:rPr>
    </w:lvl>
    <w:lvl w:ilvl="8" w:tplc="8346ACFA">
      <w:start w:val="1"/>
      <w:numFmt w:val="bullet"/>
      <w:lvlText w:val=""/>
      <w:lvlJc w:val="left"/>
      <w:pPr>
        <w:ind w:left="6840" w:hanging="360"/>
      </w:pPr>
      <w:rPr>
        <w:rFonts w:ascii="Wingdings" w:hAnsi="Wingdings" w:hint="default"/>
      </w:rPr>
    </w:lvl>
  </w:abstractNum>
  <w:abstractNum w:abstractNumId="12"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AFB4E73"/>
    <w:multiLevelType w:val="hybridMultilevel"/>
    <w:tmpl w:val="7542048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5"/>
  </w:num>
  <w:num w:numId="4">
    <w:abstractNumId w:val="6"/>
  </w:num>
  <w:num w:numId="5">
    <w:abstractNumId w:val="0"/>
  </w:num>
  <w:num w:numId="6">
    <w:abstractNumId w:val="4"/>
  </w:num>
  <w:num w:numId="7">
    <w:abstractNumId w:val="7"/>
  </w:num>
  <w:num w:numId="8">
    <w:abstractNumId w:val="9"/>
  </w:num>
  <w:num w:numId="9">
    <w:abstractNumId w:val="12"/>
  </w:num>
  <w:num w:numId="10">
    <w:abstractNumId w:val="8"/>
  </w:num>
  <w:num w:numId="11">
    <w:abstractNumId w:val="14"/>
  </w:num>
  <w:num w:numId="12">
    <w:abstractNumId w:val="13"/>
  </w:num>
  <w:num w:numId="13">
    <w:abstractNumId w:val="3"/>
  </w:num>
  <w:num w:numId="14">
    <w:abstractNumId w:val="1"/>
  </w:num>
  <w:num w:numId="1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D18A683B-46E6-4F6D-8C1B-2A51439DAB97"/>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18"/>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
    <w:docVar w:name="LwApiVersions" w:val="LW4CoDe 1.24.5.0; LW 9.2, Build 20251112"/>
  </w:docVars>
  <w:rsids>
    <w:rsidRoot w:val="00717869"/>
    <w:rsid w:val="00006A67"/>
    <w:rsid w:val="00007A3D"/>
    <w:rsid w:val="00012B37"/>
    <w:rsid w:val="00012F88"/>
    <w:rsid w:val="000133A4"/>
    <w:rsid w:val="0001505B"/>
    <w:rsid w:val="00015ED6"/>
    <w:rsid w:val="000202F2"/>
    <w:rsid w:val="000205C2"/>
    <w:rsid w:val="00021504"/>
    <w:rsid w:val="000227AD"/>
    <w:rsid w:val="00025276"/>
    <w:rsid w:val="00027297"/>
    <w:rsid w:val="000273D3"/>
    <w:rsid w:val="00032E8E"/>
    <w:rsid w:val="00033D53"/>
    <w:rsid w:val="00034C87"/>
    <w:rsid w:val="0003505C"/>
    <w:rsid w:val="00035EFD"/>
    <w:rsid w:val="00041087"/>
    <w:rsid w:val="00044288"/>
    <w:rsid w:val="000466BD"/>
    <w:rsid w:val="00047974"/>
    <w:rsid w:val="000513C5"/>
    <w:rsid w:val="0006262A"/>
    <w:rsid w:val="00067A00"/>
    <w:rsid w:val="00073B50"/>
    <w:rsid w:val="00075570"/>
    <w:rsid w:val="00080963"/>
    <w:rsid w:val="000823F0"/>
    <w:rsid w:val="00094F8E"/>
    <w:rsid w:val="00095573"/>
    <w:rsid w:val="000956FF"/>
    <w:rsid w:val="00097CAD"/>
    <w:rsid w:val="00097E59"/>
    <w:rsid w:val="000A31CF"/>
    <w:rsid w:val="000A53D4"/>
    <w:rsid w:val="000A5EA7"/>
    <w:rsid w:val="000A6062"/>
    <w:rsid w:val="000A71F0"/>
    <w:rsid w:val="000A7CF9"/>
    <w:rsid w:val="000B15EC"/>
    <w:rsid w:val="000B1E98"/>
    <w:rsid w:val="000B3B99"/>
    <w:rsid w:val="000B4881"/>
    <w:rsid w:val="000B5A13"/>
    <w:rsid w:val="000B7FF0"/>
    <w:rsid w:val="000C1077"/>
    <w:rsid w:val="000C1DA1"/>
    <w:rsid w:val="000C3CEF"/>
    <w:rsid w:val="000C523F"/>
    <w:rsid w:val="000D0917"/>
    <w:rsid w:val="000D1C6C"/>
    <w:rsid w:val="000D288B"/>
    <w:rsid w:val="000D5756"/>
    <w:rsid w:val="000D5AAD"/>
    <w:rsid w:val="000D69AE"/>
    <w:rsid w:val="000D6B42"/>
    <w:rsid w:val="000D701A"/>
    <w:rsid w:val="000D7F81"/>
    <w:rsid w:val="000E1E39"/>
    <w:rsid w:val="000E544D"/>
    <w:rsid w:val="000E6EBF"/>
    <w:rsid w:val="000F11BB"/>
    <w:rsid w:val="000F3FC0"/>
    <w:rsid w:val="000F5ED4"/>
    <w:rsid w:val="000F7B1F"/>
    <w:rsid w:val="00100C37"/>
    <w:rsid w:val="00106C3C"/>
    <w:rsid w:val="00107736"/>
    <w:rsid w:val="00111C2A"/>
    <w:rsid w:val="0011429F"/>
    <w:rsid w:val="0011523F"/>
    <w:rsid w:val="00115654"/>
    <w:rsid w:val="00116418"/>
    <w:rsid w:val="00116420"/>
    <w:rsid w:val="00116A02"/>
    <w:rsid w:val="00121747"/>
    <w:rsid w:val="001224F4"/>
    <w:rsid w:val="0012343D"/>
    <w:rsid w:val="001236F6"/>
    <w:rsid w:val="00124ABD"/>
    <w:rsid w:val="00125250"/>
    <w:rsid w:val="0012759D"/>
    <w:rsid w:val="00127C7E"/>
    <w:rsid w:val="00130121"/>
    <w:rsid w:val="0013044A"/>
    <w:rsid w:val="00133009"/>
    <w:rsid w:val="0014241A"/>
    <w:rsid w:val="00142610"/>
    <w:rsid w:val="00143794"/>
    <w:rsid w:val="001439F4"/>
    <w:rsid w:val="00146018"/>
    <w:rsid w:val="001463E9"/>
    <w:rsid w:val="00146C78"/>
    <w:rsid w:val="00151B89"/>
    <w:rsid w:val="00153F4F"/>
    <w:rsid w:val="0015494F"/>
    <w:rsid w:val="00154CDA"/>
    <w:rsid w:val="00160AB9"/>
    <w:rsid w:val="001663D5"/>
    <w:rsid w:val="0016694E"/>
    <w:rsid w:val="00170DB5"/>
    <w:rsid w:val="001714F4"/>
    <w:rsid w:val="00175B95"/>
    <w:rsid w:val="00175C7B"/>
    <w:rsid w:val="00176642"/>
    <w:rsid w:val="00183443"/>
    <w:rsid w:val="001835C7"/>
    <w:rsid w:val="00192685"/>
    <w:rsid w:val="00192D22"/>
    <w:rsid w:val="00193920"/>
    <w:rsid w:val="00196935"/>
    <w:rsid w:val="001A67D1"/>
    <w:rsid w:val="001B1AF6"/>
    <w:rsid w:val="001B3A0E"/>
    <w:rsid w:val="001B60F4"/>
    <w:rsid w:val="001B677E"/>
    <w:rsid w:val="001B775E"/>
    <w:rsid w:val="001C0ED0"/>
    <w:rsid w:val="001C3F95"/>
    <w:rsid w:val="001C4568"/>
    <w:rsid w:val="001C4FA3"/>
    <w:rsid w:val="001C60AB"/>
    <w:rsid w:val="001D5E02"/>
    <w:rsid w:val="001D671E"/>
    <w:rsid w:val="001E06BC"/>
    <w:rsid w:val="001E0C8F"/>
    <w:rsid w:val="001E2303"/>
    <w:rsid w:val="001E4C78"/>
    <w:rsid w:val="001F1374"/>
    <w:rsid w:val="001F2154"/>
    <w:rsid w:val="001F326D"/>
    <w:rsid w:val="001F3662"/>
    <w:rsid w:val="001F395B"/>
    <w:rsid w:val="001F4512"/>
    <w:rsid w:val="001F4AC4"/>
    <w:rsid w:val="001F6470"/>
    <w:rsid w:val="001F6545"/>
    <w:rsid w:val="00201B65"/>
    <w:rsid w:val="002037AB"/>
    <w:rsid w:val="002049A2"/>
    <w:rsid w:val="00204EF4"/>
    <w:rsid w:val="002070D2"/>
    <w:rsid w:val="00207DB2"/>
    <w:rsid w:val="00210A79"/>
    <w:rsid w:val="00210E77"/>
    <w:rsid w:val="00215B4A"/>
    <w:rsid w:val="00220D15"/>
    <w:rsid w:val="00222A01"/>
    <w:rsid w:val="00225E44"/>
    <w:rsid w:val="00226030"/>
    <w:rsid w:val="00233D6E"/>
    <w:rsid w:val="0023719C"/>
    <w:rsid w:val="002408C0"/>
    <w:rsid w:val="002408F2"/>
    <w:rsid w:val="00241AA4"/>
    <w:rsid w:val="00245FED"/>
    <w:rsid w:val="00247E3D"/>
    <w:rsid w:val="002508CC"/>
    <w:rsid w:val="00250E5D"/>
    <w:rsid w:val="00256972"/>
    <w:rsid w:val="00264498"/>
    <w:rsid w:val="00264561"/>
    <w:rsid w:val="00267C5C"/>
    <w:rsid w:val="00272538"/>
    <w:rsid w:val="00273096"/>
    <w:rsid w:val="002738E8"/>
    <w:rsid w:val="002848CE"/>
    <w:rsid w:val="00291F34"/>
    <w:rsid w:val="002976A4"/>
    <w:rsid w:val="00297C42"/>
    <w:rsid w:val="002A0292"/>
    <w:rsid w:val="002A3C09"/>
    <w:rsid w:val="002A7AAA"/>
    <w:rsid w:val="002A7E49"/>
    <w:rsid w:val="002B0FED"/>
    <w:rsid w:val="002B122B"/>
    <w:rsid w:val="002B2346"/>
    <w:rsid w:val="002B2832"/>
    <w:rsid w:val="002B4F94"/>
    <w:rsid w:val="002B6F54"/>
    <w:rsid w:val="002C052B"/>
    <w:rsid w:val="002C150A"/>
    <w:rsid w:val="002C1AF7"/>
    <w:rsid w:val="002C1B69"/>
    <w:rsid w:val="002C2F50"/>
    <w:rsid w:val="002C44F3"/>
    <w:rsid w:val="002C591E"/>
    <w:rsid w:val="002C5BAF"/>
    <w:rsid w:val="002C74AB"/>
    <w:rsid w:val="002C7628"/>
    <w:rsid w:val="002D147B"/>
    <w:rsid w:val="002D4BF2"/>
    <w:rsid w:val="002D4E83"/>
    <w:rsid w:val="002E0313"/>
    <w:rsid w:val="002E03C3"/>
    <w:rsid w:val="002E069A"/>
    <w:rsid w:val="002E0760"/>
    <w:rsid w:val="002E1406"/>
    <w:rsid w:val="002E1F3E"/>
    <w:rsid w:val="002E21C4"/>
    <w:rsid w:val="002F1303"/>
    <w:rsid w:val="002F1963"/>
    <w:rsid w:val="002F2F76"/>
    <w:rsid w:val="002F5947"/>
    <w:rsid w:val="002F7CD0"/>
    <w:rsid w:val="00301477"/>
    <w:rsid w:val="00303BB8"/>
    <w:rsid w:val="0031030A"/>
    <w:rsid w:val="0031082C"/>
    <w:rsid w:val="00314CA7"/>
    <w:rsid w:val="0031F379"/>
    <w:rsid w:val="003226B7"/>
    <w:rsid w:val="00322F2B"/>
    <w:rsid w:val="0032454B"/>
    <w:rsid w:val="00324952"/>
    <w:rsid w:val="003273F3"/>
    <w:rsid w:val="003313D5"/>
    <w:rsid w:val="00331C93"/>
    <w:rsid w:val="00343602"/>
    <w:rsid w:val="00351CB1"/>
    <w:rsid w:val="003540A9"/>
    <w:rsid w:val="00354E82"/>
    <w:rsid w:val="0035750D"/>
    <w:rsid w:val="00361A78"/>
    <w:rsid w:val="00362099"/>
    <w:rsid w:val="00362EBD"/>
    <w:rsid w:val="00363D49"/>
    <w:rsid w:val="00364CE7"/>
    <w:rsid w:val="00370D79"/>
    <w:rsid w:val="00372D56"/>
    <w:rsid w:val="003951B1"/>
    <w:rsid w:val="00396A26"/>
    <w:rsid w:val="00397AD4"/>
    <w:rsid w:val="003A06A4"/>
    <w:rsid w:val="003A3137"/>
    <w:rsid w:val="003B4785"/>
    <w:rsid w:val="003B6288"/>
    <w:rsid w:val="003C13A8"/>
    <w:rsid w:val="003C2357"/>
    <w:rsid w:val="003C23C6"/>
    <w:rsid w:val="003E3453"/>
    <w:rsid w:val="003E46EC"/>
    <w:rsid w:val="003E4BCF"/>
    <w:rsid w:val="003E4EB7"/>
    <w:rsid w:val="003E522D"/>
    <w:rsid w:val="003E7294"/>
    <w:rsid w:val="003F3E6F"/>
    <w:rsid w:val="003F4F38"/>
    <w:rsid w:val="003F72EF"/>
    <w:rsid w:val="00401576"/>
    <w:rsid w:val="00401A7A"/>
    <w:rsid w:val="004038FF"/>
    <w:rsid w:val="00405AA6"/>
    <w:rsid w:val="00411E54"/>
    <w:rsid w:val="004152CD"/>
    <w:rsid w:val="0041607A"/>
    <w:rsid w:val="0042042C"/>
    <w:rsid w:val="00423534"/>
    <w:rsid w:val="004249DC"/>
    <w:rsid w:val="00426F62"/>
    <w:rsid w:val="00432FEF"/>
    <w:rsid w:val="004331B2"/>
    <w:rsid w:val="00436B96"/>
    <w:rsid w:val="00440E57"/>
    <w:rsid w:val="00443786"/>
    <w:rsid w:val="004456AE"/>
    <w:rsid w:val="00455804"/>
    <w:rsid w:val="00457B58"/>
    <w:rsid w:val="004607DE"/>
    <w:rsid w:val="004617CF"/>
    <w:rsid w:val="00462B07"/>
    <w:rsid w:val="00465DBA"/>
    <w:rsid w:val="00466D62"/>
    <w:rsid w:val="0047283F"/>
    <w:rsid w:val="00473AD3"/>
    <w:rsid w:val="00474257"/>
    <w:rsid w:val="00477624"/>
    <w:rsid w:val="00477A2E"/>
    <w:rsid w:val="004833BB"/>
    <w:rsid w:val="00485C14"/>
    <w:rsid w:val="00487EFE"/>
    <w:rsid w:val="00493356"/>
    <w:rsid w:val="00495803"/>
    <w:rsid w:val="00497A92"/>
    <w:rsid w:val="004A2698"/>
    <w:rsid w:val="004A37D5"/>
    <w:rsid w:val="004A3E20"/>
    <w:rsid w:val="004A492E"/>
    <w:rsid w:val="004A700B"/>
    <w:rsid w:val="004B22E4"/>
    <w:rsid w:val="004B4A4B"/>
    <w:rsid w:val="004C0ACA"/>
    <w:rsid w:val="004C5566"/>
    <w:rsid w:val="004D3644"/>
    <w:rsid w:val="004D7866"/>
    <w:rsid w:val="004E26F3"/>
    <w:rsid w:val="004F0253"/>
    <w:rsid w:val="004F2B4F"/>
    <w:rsid w:val="0050252D"/>
    <w:rsid w:val="005108AE"/>
    <w:rsid w:val="00510D2B"/>
    <w:rsid w:val="00515499"/>
    <w:rsid w:val="005217FE"/>
    <w:rsid w:val="00523492"/>
    <w:rsid w:val="005265F7"/>
    <w:rsid w:val="00530A68"/>
    <w:rsid w:val="00534B68"/>
    <w:rsid w:val="005359D0"/>
    <w:rsid w:val="00541B0C"/>
    <w:rsid w:val="00543B49"/>
    <w:rsid w:val="005475D4"/>
    <w:rsid w:val="00554571"/>
    <w:rsid w:val="0055592A"/>
    <w:rsid w:val="00561750"/>
    <w:rsid w:val="00562CCA"/>
    <w:rsid w:val="00563A0E"/>
    <w:rsid w:val="0056563D"/>
    <w:rsid w:val="005657A4"/>
    <w:rsid w:val="00571BD0"/>
    <w:rsid w:val="00572C97"/>
    <w:rsid w:val="00582A3D"/>
    <w:rsid w:val="00582DF1"/>
    <w:rsid w:val="00583E60"/>
    <w:rsid w:val="005841FE"/>
    <w:rsid w:val="00587085"/>
    <w:rsid w:val="00593C15"/>
    <w:rsid w:val="00594423"/>
    <w:rsid w:val="00595DA6"/>
    <w:rsid w:val="005A1583"/>
    <w:rsid w:val="005A1765"/>
    <w:rsid w:val="005A664A"/>
    <w:rsid w:val="005B027E"/>
    <w:rsid w:val="005B4A33"/>
    <w:rsid w:val="005B62DA"/>
    <w:rsid w:val="005C135E"/>
    <w:rsid w:val="005C48D2"/>
    <w:rsid w:val="005C59FA"/>
    <w:rsid w:val="005C5E0D"/>
    <w:rsid w:val="005C63AC"/>
    <w:rsid w:val="005C67FE"/>
    <w:rsid w:val="005D1865"/>
    <w:rsid w:val="005D1D70"/>
    <w:rsid w:val="005D1E02"/>
    <w:rsid w:val="005F01E3"/>
    <w:rsid w:val="005F1740"/>
    <w:rsid w:val="005F2CB1"/>
    <w:rsid w:val="005F5091"/>
    <w:rsid w:val="005F630E"/>
    <w:rsid w:val="00600330"/>
    <w:rsid w:val="00602417"/>
    <w:rsid w:val="0060459E"/>
    <w:rsid w:val="0060539E"/>
    <w:rsid w:val="00613C7F"/>
    <w:rsid w:val="006142D1"/>
    <w:rsid w:val="0061477E"/>
    <w:rsid w:val="006243A3"/>
    <w:rsid w:val="006251D9"/>
    <w:rsid w:val="00626D31"/>
    <w:rsid w:val="00627A65"/>
    <w:rsid w:val="0063461A"/>
    <w:rsid w:val="00640B61"/>
    <w:rsid w:val="00643E94"/>
    <w:rsid w:val="00646AFA"/>
    <w:rsid w:val="00646E81"/>
    <w:rsid w:val="00647FAF"/>
    <w:rsid w:val="006548A1"/>
    <w:rsid w:val="00655BAB"/>
    <w:rsid w:val="00657295"/>
    <w:rsid w:val="006600E4"/>
    <w:rsid w:val="00664A22"/>
    <w:rsid w:val="00664F71"/>
    <w:rsid w:val="006652B4"/>
    <w:rsid w:val="006661E9"/>
    <w:rsid w:val="006705D8"/>
    <w:rsid w:val="00672866"/>
    <w:rsid w:val="00676117"/>
    <w:rsid w:val="00680846"/>
    <w:rsid w:val="0068442D"/>
    <w:rsid w:val="006848A1"/>
    <w:rsid w:val="006948C7"/>
    <w:rsid w:val="006A0006"/>
    <w:rsid w:val="006A0ACD"/>
    <w:rsid w:val="006A25DE"/>
    <w:rsid w:val="006B0310"/>
    <w:rsid w:val="006B52CA"/>
    <w:rsid w:val="006B7A60"/>
    <w:rsid w:val="006C1B6A"/>
    <w:rsid w:val="006C467F"/>
    <w:rsid w:val="006C52D0"/>
    <w:rsid w:val="006C6FCF"/>
    <w:rsid w:val="006D1E3F"/>
    <w:rsid w:val="006D36D5"/>
    <w:rsid w:val="006D63AC"/>
    <w:rsid w:val="006D7528"/>
    <w:rsid w:val="006E0EC6"/>
    <w:rsid w:val="006E3E12"/>
    <w:rsid w:val="006E460D"/>
    <w:rsid w:val="006E5603"/>
    <w:rsid w:val="006E7966"/>
    <w:rsid w:val="006F1835"/>
    <w:rsid w:val="006F1C2D"/>
    <w:rsid w:val="006F380A"/>
    <w:rsid w:val="006F5BB5"/>
    <w:rsid w:val="007017AE"/>
    <w:rsid w:val="0070375C"/>
    <w:rsid w:val="00707A45"/>
    <w:rsid w:val="00711DE3"/>
    <w:rsid w:val="007125A0"/>
    <w:rsid w:val="007144E8"/>
    <w:rsid w:val="00714FC3"/>
    <w:rsid w:val="007158E5"/>
    <w:rsid w:val="00717869"/>
    <w:rsid w:val="00734982"/>
    <w:rsid w:val="007365B8"/>
    <w:rsid w:val="0073687C"/>
    <w:rsid w:val="007423D6"/>
    <w:rsid w:val="007465E4"/>
    <w:rsid w:val="00746D63"/>
    <w:rsid w:val="00750C51"/>
    <w:rsid w:val="0075202F"/>
    <w:rsid w:val="0075613B"/>
    <w:rsid w:val="0075629F"/>
    <w:rsid w:val="00756AE3"/>
    <w:rsid w:val="00760363"/>
    <w:rsid w:val="00761727"/>
    <w:rsid w:val="0076526D"/>
    <w:rsid w:val="00766AD5"/>
    <w:rsid w:val="00767346"/>
    <w:rsid w:val="00767D3B"/>
    <w:rsid w:val="00770F57"/>
    <w:rsid w:val="00771868"/>
    <w:rsid w:val="00774A01"/>
    <w:rsid w:val="007765C2"/>
    <w:rsid w:val="00781929"/>
    <w:rsid w:val="007823D5"/>
    <w:rsid w:val="00793D52"/>
    <w:rsid w:val="00794AD7"/>
    <w:rsid w:val="00794BDB"/>
    <w:rsid w:val="00795559"/>
    <w:rsid w:val="00795DC5"/>
    <w:rsid w:val="0079684B"/>
    <w:rsid w:val="00797222"/>
    <w:rsid w:val="007975FB"/>
    <w:rsid w:val="007A04F0"/>
    <w:rsid w:val="007A054C"/>
    <w:rsid w:val="007A353D"/>
    <w:rsid w:val="007A443C"/>
    <w:rsid w:val="007A46A7"/>
    <w:rsid w:val="007A561E"/>
    <w:rsid w:val="007A58C1"/>
    <w:rsid w:val="007B1EA7"/>
    <w:rsid w:val="007C01C2"/>
    <w:rsid w:val="007C0C4B"/>
    <w:rsid w:val="007C1276"/>
    <w:rsid w:val="007C1514"/>
    <w:rsid w:val="007C3025"/>
    <w:rsid w:val="007C4C54"/>
    <w:rsid w:val="007C4C99"/>
    <w:rsid w:val="007D0D98"/>
    <w:rsid w:val="007D5220"/>
    <w:rsid w:val="007D588E"/>
    <w:rsid w:val="007D6CF6"/>
    <w:rsid w:val="007D70DF"/>
    <w:rsid w:val="007E0A61"/>
    <w:rsid w:val="007E1285"/>
    <w:rsid w:val="007E7392"/>
    <w:rsid w:val="007F0E5A"/>
    <w:rsid w:val="007F1C47"/>
    <w:rsid w:val="007F2C83"/>
    <w:rsid w:val="007F5174"/>
    <w:rsid w:val="007F6F85"/>
    <w:rsid w:val="00800DF5"/>
    <w:rsid w:val="00801865"/>
    <w:rsid w:val="00802403"/>
    <w:rsid w:val="0080383F"/>
    <w:rsid w:val="008041FD"/>
    <w:rsid w:val="00804F1A"/>
    <w:rsid w:val="00805EC1"/>
    <w:rsid w:val="00810ADA"/>
    <w:rsid w:val="00815BC9"/>
    <w:rsid w:val="00816BAD"/>
    <w:rsid w:val="00823779"/>
    <w:rsid w:val="00823C62"/>
    <w:rsid w:val="0083008F"/>
    <w:rsid w:val="008312D1"/>
    <w:rsid w:val="008327DB"/>
    <w:rsid w:val="00832A26"/>
    <w:rsid w:val="00837564"/>
    <w:rsid w:val="008420A8"/>
    <w:rsid w:val="008425DB"/>
    <w:rsid w:val="00846626"/>
    <w:rsid w:val="008474D4"/>
    <w:rsid w:val="00850A3E"/>
    <w:rsid w:val="008512E9"/>
    <w:rsid w:val="00854A9B"/>
    <w:rsid w:val="00856C6A"/>
    <w:rsid w:val="0086165A"/>
    <w:rsid w:val="00871D8B"/>
    <w:rsid w:val="00872F79"/>
    <w:rsid w:val="008757A7"/>
    <w:rsid w:val="00876250"/>
    <w:rsid w:val="00882151"/>
    <w:rsid w:val="00882B25"/>
    <w:rsid w:val="00883CFF"/>
    <w:rsid w:val="00884D89"/>
    <w:rsid w:val="008851D8"/>
    <w:rsid w:val="00887317"/>
    <w:rsid w:val="00887B34"/>
    <w:rsid w:val="00887D4E"/>
    <w:rsid w:val="0089018D"/>
    <w:rsid w:val="00890FD6"/>
    <w:rsid w:val="00894F26"/>
    <w:rsid w:val="00895323"/>
    <w:rsid w:val="0089777C"/>
    <w:rsid w:val="008A0A1A"/>
    <w:rsid w:val="008A6DEA"/>
    <w:rsid w:val="008A7B7E"/>
    <w:rsid w:val="008A7E2E"/>
    <w:rsid w:val="008B3516"/>
    <w:rsid w:val="008B37D4"/>
    <w:rsid w:val="008C3818"/>
    <w:rsid w:val="008D17D1"/>
    <w:rsid w:val="008E1EB3"/>
    <w:rsid w:val="008E2EFF"/>
    <w:rsid w:val="008E3DC1"/>
    <w:rsid w:val="008E448F"/>
    <w:rsid w:val="008E58A2"/>
    <w:rsid w:val="008F0665"/>
    <w:rsid w:val="009027E7"/>
    <w:rsid w:val="00905FD9"/>
    <w:rsid w:val="00906239"/>
    <w:rsid w:val="00910144"/>
    <w:rsid w:val="00910C7F"/>
    <w:rsid w:val="00912093"/>
    <w:rsid w:val="00912913"/>
    <w:rsid w:val="00916DEE"/>
    <w:rsid w:val="00920502"/>
    <w:rsid w:val="00922C9F"/>
    <w:rsid w:val="00922E81"/>
    <w:rsid w:val="00923E40"/>
    <w:rsid w:val="0092635F"/>
    <w:rsid w:val="009323AD"/>
    <w:rsid w:val="00940340"/>
    <w:rsid w:val="00942C89"/>
    <w:rsid w:val="00943AF5"/>
    <w:rsid w:val="00953C44"/>
    <w:rsid w:val="009543B8"/>
    <w:rsid w:val="0095447B"/>
    <w:rsid w:val="00955A36"/>
    <w:rsid w:val="0096054A"/>
    <w:rsid w:val="00960C0D"/>
    <w:rsid w:val="00965C2B"/>
    <w:rsid w:val="0096692C"/>
    <w:rsid w:val="0097727F"/>
    <w:rsid w:val="0097FA1A"/>
    <w:rsid w:val="00990A89"/>
    <w:rsid w:val="009916F9"/>
    <w:rsid w:val="009928F2"/>
    <w:rsid w:val="009933A5"/>
    <w:rsid w:val="009A116B"/>
    <w:rsid w:val="009A1955"/>
    <w:rsid w:val="009A4B73"/>
    <w:rsid w:val="009A6910"/>
    <w:rsid w:val="009B29AD"/>
    <w:rsid w:val="009B6262"/>
    <w:rsid w:val="009C01D2"/>
    <w:rsid w:val="009C0D48"/>
    <w:rsid w:val="009C0E6E"/>
    <w:rsid w:val="009C766D"/>
    <w:rsid w:val="009D15FE"/>
    <w:rsid w:val="009E0441"/>
    <w:rsid w:val="009E2470"/>
    <w:rsid w:val="009E2786"/>
    <w:rsid w:val="009E4FF1"/>
    <w:rsid w:val="009F1077"/>
    <w:rsid w:val="009F324B"/>
    <w:rsid w:val="009F5B94"/>
    <w:rsid w:val="009F5EC3"/>
    <w:rsid w:val="009F62B6"/>
    <w:rsid w:val="009F64B9"/>
    <w:rsid w:val="00A00561"/>
    <w:rsid w:val="00A0277F"/>
    <w:rsid w:val="00A06633"/>
    <w:rsid w:val="00A138E9"/>
    <w:rsid w:val="00A154A6"/>
    <w:rsid w:val="00A159DA"/>
    <w:rsid w:val="00A15B9F"/>
    <w:rsid w:val="00A24CAD"/>
    <w:rsid w:val="00A253DD"/>
    <w:rsid w:val="00A308C7"/>
    <w:rsid w:val="00A30F6A"/>
    <w:rsid w:val="00A33C03"/>
    <w:rsid w:val="00A371BA"/>
    <w:rsid w:val="00A43AF3"/>
    <w:rsid w:val="00A4501C"/>
    <w:rsid w:val="00A5309E"/>
    <w:rsid w:val="00A54312"/>
    <w:rsid w:val="00A5734E"/>
    <w:rsid w:val="00A57D56"/>
    <w:rsid w:val="00A61F42"/>
    <w:rsid w:val="00A64DDF"/>
    <w:rsid w:val="00A650E6"/>
    <w:rsid w:val="00A692F8"/>
    <w:rsid w:val="00A7214B"/>
    <w:rsid w:val="00A726DE"/>
    <w:rsid w:val="00A72A64"/>
    <w:rsid w:val="00A743CA"/>
    <w:rsid w:val="00A76496"/>
    <w:rsid w:val="00A76F06"/>
    <w:rsid w:val="00A80FC8"/>
    <w:rsid w:val="00A81880"/>
    <w:rsid w:val="00A83695"/>
    <w:rsid w:val="00A8572E"/>
    <w:rsid w:val="00A8792F"/>
    <w:rsid w:val="00A933FF"/>
    <w:rsid w:val="00A955F8"/>
    <w:rsid w:val="00AA3614"/>
    <w:rsid w:val="00AB38FA"/>
    <w:rsid w:val="00AB46D5"/>
    <w:rsid w:val="00AB6CAA"/>
    <w:rsid w:val="00AC11EC"/>
    <w:rsid w:val="00AC1B9D"/>
    <w:rsid w:val="00AC2AA8"/>
    <w:rsid w:val="00AC660F"/>
    <w:rsid w:val="00AD0ED5"/>
    <w:rsid w:val="00AD34CA"/>
    <w:rsid w:val="00AD5056"/>
    <w:rsid w:val="00AD7E1C"/>
    <w:rsid w:val="00AE25C0"/>
    <w:rsid w:val="00AE4CE3"/>
    <w:rsid w:val="00AE7BE4"/>
    <w:rsid w:val="00AF6B4D"/>
    <w:rsid w:val="00B07B54"/>
    <w:rsid w:val="00B104A9"/>
    <w:rsid w:val="00B1153C"/>
    <w:rsid w:val="00B119BF"/>
    <w:rsid w:val="00B11E0C"/>
    <w:rsid w:val="00B136BE"/>
    <w:rsid w:val="00B225EC"/>
    <w:rsid w:val="00B22A2F"/>
    <w:rsid w:val="00B22C90"/>
    <w:rsid w:val="00B253B9"/>
    <w:rsid w:val="00B3282D"/>
    <w:rsid w:val="00B3554B"/>
    <w:rsid w:val="00B42F3E"/>
    <w:rsid w:val="00B43BFD"/>
    <w:rsid w:val="00B4745C"/>
    <w:rsid w:val="00B513BF"/>
    <w:rsid w:val="00B51D38"/>
    <w:rsid w:val="00B529F4"/>
    <w:rsid w:val="00B56A63"/>
    <w:rsid w:val="00B5717B"/>
    <w:rsid w:val="00B6002E"/>
    <w:rsid w:val="00B610A0"/>
    <w:rsid w:val="00B62A15"/>
    <w:rsid w:val="00B63506"/>
    <w:rsid w:val="00B643FA"/>
    <w:rsid w:val="00B652D1"/>
    <w:rsid w:val="00B7269B"/>
    <w:rsid w:val="00B7278E"/>
    <w:rsid w:val="00B74DAC"/>
    <w:rsid w:val="00B7648E"/>
    <w:rsid w:val="00B81E37"/>
    <w:rsid w:val="00B828AE"/>
    <w:rsid w:val="00B85E5D"/>
    <w:rsid w:val="00B87881"/>
    <w:rsid w:val="00B92917"/>
    <w:rsid w:val="00B9641A"/>
    <w:rsid w:val="00B97BCD"/>
    <w:rsid w:val="00BA017E"/>
    <w:rsid w:val="00BA0479"/>
    <w:rsid w:val="00BA32FD"/>
    <w:rsid w:val="00BA79BC"/>
    <w:rsid w:val="00BB3861"/>
    <w:rsid w:val="00BB40D8"/>
    <w:rsid w:val="00BB5967"/>
    <w:rsid w:val="00BB7789"/>
    <w:rsid w:val="00BC43E4"/>
    <w:rsid w:val="00BC7116"/>
    <w:rsid w:val="00BD3419"/>
    <w:rsid w:val="00BD79C1"/>
    <w:rsid w:val="00BD7BD2"/>
    <w:rsid w:val="00BE0D63"/>
    <w:rsid w:val="00BF2FAE"/>
    <w:rsid w:val="00BF34E0"/>
    <w:rsid w:val="00BF3684"/>
    <w:rsid w:val="00BF64B9"/>
    <w:rsid w:val="00C000DE"/>
    <w:rsid w:val="00C040A2"/>
    <w:rsid w:val="00C07308"/>
    <w:rsid w:val="00C13248"/>
    <w:rsid w:val="00C13C55"/>
    <w:rsid w:val="00C13EA0"/>
    <w:rsid w:val="00C208BA"/>
    <w:rsid w:val="00C20D1F"/>
    <w:rsid w:val="00C23532"/>
    <w:rsid w:val="00C244A0"/>
    <w:rsid w:val="00C26F65"/>
    <w:rsid w:val="00C37F60"/>
    <w:rsid w:val="00C4346D"/>
    <w:rsid w:val="00C4447B"/>
    <w:rsid w:val="00C51E82"/>
    <w:rsid w:val="00C5224E"/>
    <w:rsid w:val="00C53664"/>
    <w:rsid w:val="00C54138"/>
    <w:rsid w:val="00C5686D"/>
    <w:rsid w:val="00C57DEA"/>
    <w:rsid w:val="00C64045"/>
    <w:rsid w:val="00C64442"/>
    <w:rsid w:val="00C73738"/>
    <w:rsid w:val="00C74EF6"/>
    <w:rsid w:val="00C83281"/>
    <w:rsid w:val="00C87962"/>
    <w:rsid w:val="00C90B24"/>
    <w:rsid w:val="00C91FDE"/>
    <w:rsid w:val="00C92D16"/>
    <w:rsid w:val="00C96C40"/>
    <w:rsid w:val="00C96E92"/>
    <w:rsid w:val="00CA0779"/>
    <w:rsid w:val="00CA37AA"/>
    <w:rsid w:val="00CA4C77"/>
    <w:rsid w:val="00CB0492"/>
    <w:rsid w:val="00CB0950"/>
    <w:rsid w:val="00CB0AF6"/>
    <w:rsid w:val="00CB13B8"/>
    <w:rsid w:val="00CD159F"/>
    <w:rsid w:val="00CD306E"/>
    <w:rsid w:val="00CD4FBB"/>
    <w:rsid w:val="00CD5629"/>
    <w:rsid w:val="00CD5FC9"/>
    <w:rsid w:val="00CF1BF3"/>
    <w:rsid w:val="00CF39AA"/>
    <w:rsid w:val="00CF49E7"/>
    <w:rsid w:val="00D02A43"/>
    <w:rsid w:val="00D109F9"/>
    <w:rsid w:val="00D142EE"/>
    <w:rsid w:val="00D1431A"/>
    <w:rsid w:val="00D14CEA"/>
    <w:rsid w:val="00D238B5"/>
    <w:rsid w:val="00D262D8"/>
    <w:rsid w:val="00D26606"/>
    <w:rsid w:val="00D3014F"/>
    <w:rsid w:val="00D315F2"/>
    <w:rsid w:val="00D31E40"/>
    <w:rsid w:val="00D323C3"/>
    <w:rsid w:val="00D32EAB"/>
    <w:rsid w:val="00D34DE7"/>
    <w:rsid w:val="00D3696F"/>
    <w:rsid w:val="00D3788E"/>
    <w:rsid w:val="00D43D3F"/>
    <w:rsid w:val="00D4489D"/>
    <w:rsid w:val="00D450AC"/>
    <w:rsid w:val="00D51B04"/>
    <w:rsid w:val="00D524C3"/>
    <w:rsid w:val="00D55BAE"/>
    <w:rsid w:val="00D61ADE"/>
    <w:rsid w:val="00D6228F"/>
    <w:rsid w:val="00D6DF46"/>
    <w:rsid w:val="00D74566"/>
    <w:rsid w:val="00D75638"/>
    <w:rsid w:val="00D80E8C"/>
    <w:rsid w:val="00D82251"/>
    <w:rsid w:val="00D82D87"/>
    <w:rsid w:val="00D86F3B"/>
    <w:rsid w:val="00D906EB"/>
    <w:rsid w:val="00D92B7E"/>
    <w:rsid w:val="00D96935"/>
    <w:rsid w:val="00DA1BE1"/>
    <w:rsid w:val="00DA20E4"/>
    <w:rsid w:val="00DA30DE"/>
    <w:rsid w:val="00DA6D92"/>
    <w:rsid w:val="00DA77F6"/>
    <w:rsid w:val="00DB1012"/>
    <w:rsid w:val="00DB224C"/>
    <w:rsid w:val="00DB4DAA"/>
    <w:rsid w:val="00DB695C"/>
    <w:rsid w:val="00DB77D8"/>
    <w:rsid w:val="00DC53DE"/>
    <w:rsid w:val="00DC5E05"/>
    <w:rsid w:val="00DC5F4C"/>
    <w:rsid w:val="00DC73FE"/>
    <w:rsid w:val="00DD3F8E"/>
    <w:rsid w:val="00DD56D7"/>
    <w:rsid w:val="00DE0EAC"/>
    <w:rsid w:val="00DE5E19"/>
    <w:rsid w:val="00DF048F"/>
    <w:rsid w:val="00DF06FB"/>
    <w:rsid w:val="00DF1856"/>
    <w:rsid w:val="00DF239B"/>
    <w:rsid w:val="00DF2A25"/>
    <w:rsid w:val="00E01461"/>
    <w:rsid w:val="00E039E0"/>
    <w:rsid w:val="00E12E40"/>
    <w:rsid w:val="00E13319"/>
    <w:rsid w:val="00E13EA4"/>
    <w:rsid w:val="00E15DBC"/>
    <w:rsid w:val="00E16879"/>
    <w:rsid w:val="00E21173"/>
    <w:rsid w:val="00E23BE7"/>
    <w:rsid w:val="00E26252"/>
    <w:rsid w:val="00E26728"/>
    <w:rsid w:val="00E33346"/>
    <w:rsid w:val="00E40597"/>
    <w:rsid w:val="00E423FA"/>
    <w:rsid w:val="00E4318B"/>
    <w:rsid w:val="00E459C3"/>
    <w:rsid w:val="00E5070C"/>
    <w:rsid w:val="00E52455"/>
    <w:rsid w:val="00E56CD8"/>
    <w:rsid w:val="00E572FA"/>
    <w:rsid w:val="00E62DAC"/>
    <w:rsid w:val="00E6774D"/>
    <w:rsid w:val="00E72702"/>
    <w:rsid w:val="00E759B7"/>
    <w:rsid w:val="00E76D69"/>
    <w:rsid w:val="00E812EE"/>
    <w:rsid w:val="00E82D9F"/>
    <w:rsid w:val="00E84BAB"/>
    <w:rsid w:val="00E85499"/>
    <w:rsid w:val="00E865E8"/>
    <w:rsid w:val="00E87789"/>
    <w:rsid w:val="00E901D4"/>
    <w:rsid w:val="00E92F98"/>
    <w:rsid w:val="00E935AF"/>
    <w:rsid w:val="00E93A0C"/>
    <w:rsid w:val="00E93CE1"/>
    <w:rsid w:val="00E952F9"/>
    <w:rsid w:val="00E96486"/>
    <w:rsid w:val="00E97CD8"/>
    <w:rsid w:val="00EA1411"/>
    <w:rsid w:val="00EA44AC"/>
    <w:rsid w:val="00EA66A5"/>
    <w:rsid w:val="00EB1ECC"/>
    <w:rsid w:val="00EB4D52"/>
    <w:rsid w:val="00EC2147"/>
    <w:rsid w:val="00EC21ED"/>
    <w:rsid w:val="00EC2DCA"/>
    <w:rsid w:val="00EC6F1E"/>
    <w:rsid w:val="00EC71FB"/>
    <w:rsid w:val="00ED0B9B"/>
    <w:rsid w:val="00ED18B8"/>
    <w:rsid w:val="00ED359A"/>
    <w:rsid w:val="00ED55B1"/>
    <w:rsid w:val="00ED6D8E"/>
    <w:rsid w:val="00ED719E"/>
    <w:rsid w:val="00EE565C"/>
    <w:rsid w:val="00EE698E"/>
    <w:rsid w:val="00EE7780"/>
    <w:rsid w:val="00EF2549"/>
    <w:rsid w:val="00EF376A"/>
    <w:rsid w:val="00EF3E30"/>
    <w:rsid w:val="00EF43E6"/>
    <w:rsid w:val="00EF71D3"/>
    <w:rsid w:val="00EF7EE5"/>
    <w:rsid w:val="00F00FEA"/>
    <w:rsid w:val="00F0192D"/>
    <w:rsid w:val="00F03CE0"/>
    <w:rsid w:val="00F047FC"/>
    <w:rsid w:val="00F056C7"/>
    <w:rsid w:val="00F06CB9"/>
    <w:rsid w:val="00F07A16"/>
    <w:rsid w:val="00F07BF5"/>
    <w:rsid w:val="00F10E7A"/>
    <w:rsid w:val="00F12FD7"/>
    <w:rsid w:val="00F13BB5"/>
    <w:rsid w:val="00F13D13"/>
    <w:rsid w:val="00F1523F"/>
    <w:rsid w:val="00F21A06"/>
    <w:rsid w:val="00F23B4A"/>
    <w:rsid w:val="00F25C04"/>
    <w:rsid w:val="00F3532C"/>
    <w:rsid w:val="00F3575A"/>
    <w:rsid w:val="00F3778B"/>
    <w:rsid w:val="00F377A8"/>
    <w:rsid w:val="00F37BCC"/>
    <w:rsid w:val="00F40409"/>
    <w:rsid w:val="00F40D98"/>
    <w:rsid w:val="00F414E7"/>
    <w:rsid w:val="00F42550"/>
    <w:rsid w:val="00F4338E"/>
    <w:rsid w:val="00F45561"/>
    <w:rsid w:val="00F509F5"/>
    <w:rsid w:val="00F5478E"/>
    <w:rsid w:val="00F54C7D"/>
    <w:rsid w:val="00F704E8"/>
    <w:rsid w:val="00F750AC"/>
    <w:rsid w:val="00F81045"/>
    <w:rsid w:val="00F83DB9"/>
    <w:rsid w:val="00F8432E"/>
    <w:rsid w:val="00F8450A"/>
    <w:rsid w:val="00F8489A"/>
    <w:rsid w:val="00F865B4"/>
    <w:rsid w:val="00F92566"/>
    <w:rsid w:val="00F92D0B"/>
    <w:rsid w:val="00F9401A"/>
    <w:rsid w:val="00FA63B0"/>
    <w:rsid w:val="00FB11AC"/>
    <w:rsid w:val="00FC12B9"/>
    <w:rsid w:val="00FC12D2"/>
    <w:rsid w:val="00FC2913"/>
    <w:rsid w:val="00FD084C"/>
    <w:rsid w:val="00FD3407"/>
    <w:rsid w:val="00FD3947"/>
    <w:rsid w:val="00FD3F3B"/>
    <w:rsid w:val="00FD406C"/>
    <w:rsid w:val="00FDC24F"/>
    <w:rsid w:val="00FE2931"/>
    <w:rsid w:val="00FE3405"/>
    <w:rsid w:val="00FE5A48"/>
    <w:rsid w:val="00FE73C3"/>
    <w:rsid w:val="00FE78CC"/>
    <w:rsid w:val="00FF02D4"/>
    <w:rsid w:val="00FF1A5D"/>
    <w:rsid w:val="00FF4579"/>
    <w:rsid w:val="00FF7C81"/>
    <w:rsid w:val="0102F607"/>
    <w:rsid w:val="01795A3A"/>
    <w:rsid w:val="017A9E52"/>
    <w:rsid w:val="01854459"/>
    <w:rsid w:val="01A08730"/>
    <w:rsid w:val="01F21E5F"/>
    <w:rsid w:val="0211A543"/>
    <w:rsid w:val="022855BA"/>
    <w:rsid w:val="026FDE98"/>
    <w:rsid w:val="02948A61"/>
    <w:rsid w:val="02B57313"/>
    <w:rsid w:val="02B6E993"/>
    <w:rsid w:val="02B83389"/>
    <w:rsid w:val="02BCD36B"/>
    <w:rsid w:val="02BFFAA5"/>
    <w:rsid w:val="0306109A"/>
    <w:rsid w:val="0321ECF5"/>
    <w:rsid w:val="0342498B"/>
    <w:rsid w:val="036498F4"/>
    <w:rsid w:val="0368D173"/>
    <w:rsid w:val="03969363"/>
    <w:rsid w:val="039788A8"/>
    <w:rsid w:val="039B0E46"/>
    <w:rsid w:val="03A438B8"/>
    <w:rsid w:val="03B416D7"/>
    <w:rsid w:val="03DA9CFA"/>
    <w:rsid w:val="03E06C08"/>
    <w:rsid w:val="0403E727"/>
    <w:rsid w:val="0439263C"/>
    <w:rsid w:val="043D1B1C"/>
    <w:rsid w:val="04546892"/>
    <w:rsid w:val="0466AE6C"/>
    <w:rsid w:val="047A08EC"/>
    <w:rsid w:val="048E2E04"/>
    <w:rsid w:val="049BB1EF"/>
    <w:rsid w:val="04F01859"/>
    <w:rsid w:val="04FD09F4"/>
    <w:rsid w:val="05030F1E"/>
    <w:rsid w:val="05610CE1"/>
    <w:rsid w:val="0587DB18"/>
    <w:rsid w:val="05E5B2EC"/>
    <w:rsid w:val="05FFA40E"/>
    <w:rsid w:val="062A5668"/>
    <w:rsid w:val="0639753C"/>
    <w:rsid w:val="065616B3"/>
    <w:rsid w:val="06B159A3"/>
    <w:rsid w:val="06C113A8"/>
    <w:rsid w:val="06D7258C"/>
    <w:rsid w:val="06FF9CFB"/>
    <w:rsid w:val="07099B59"/>
    <w:rsid w:val="073C9618"/>
    <w:rsid w:val="07464CBD"/>
    <w:rsid w:val="075B392A"/>
    <w:rsid w:val="075FC4E1"/>
    <w:rsid w:val="076B1979"/>
    <w:rsid w:val="07804DD0"/>
    <w:rsid w:val="07A285AB"/>
    <w:rsid w:val="07B26524"/>
    <w:rsid w:val="07BD9684"/>
    <w:rsid w:val="07C0EEFF"/>
    <w:rsid w:val="07D17BE9"/>
    <w:rsid w:val="07E2BCDA"/>
    <w:rsid w:val="07F83F94"/>
    <w:rsid w:val="0847311F"/>
    <w:rsid w:val="08564A79"/>
    <w:rsid w:val="087B7925"/>
    <w:rsid w:val="08BCDC08"/>
    <w:rsid w:val="08C90051"/>
    <w:rsid w:val="08CB4D97"/>
    <w:rsid w:val="08EFC5EC"/>
    <w:rsid w:val="0913C873"/>
    <w:rsid w:val="0915D6FE"/>
    <w:rsid w:val="095DACB8"/>
    <w:rsid w:val="09756356"/>
    <w:rsid w:val="097BDE7C"/>
    <w:rsid w:val="09A73253"/>
    <w:rsid w:val="09CDCF45"/>
    <w:rsid w:val="09F46974"/>
    <w:rsid w:val="09F765ED"/>
    <w:rsid w:val="0A2B0ABC"/>
    <w:rsid w:val="0A39090D"/>
    <w:rsid w:val="0A39E570"/>
    <w:rsid w:val="0A4A1FEB"/>
    <w:rsid w:val="0A55DEA8"/>
    <w:rsid w:val="0A6BCFDE"/>
    <w:rsid w:val="0A7042D3"/>
    <w:rsid w:val="0A89E212"/>
    <w:rsid w:val="0ABB2A6F"/>
    <w:rsid w:val="0AC71EB2"/>
    <w:rsid w:val="0ADE1666"/>
    <w:rsid w:val="0B005AE3"/>
    <w:rsid w:val="0B0478E6"/>
    <w:rsid w:val="0B48AE14"/>
    <w:rsid w:val="0B4ACC8F"/>
    <w:rsid w:val="0B771934"/>
    <w:rsid w:val="0BAC1C97"/>
    <w:rsid w:val="0C01495B"/>
    <w:rsid w:val="0C34E1FC"/>
    <w:rsid w:val="0C45DB7B"/>
    <w:rsid w:val="0CC78DCB"/>
    <w:rsid w:val="0CDC8932"/>
    <w:rsid w:val="0D5FB771"/>
    <w:rsid w:val="0D615758"/>
    <w:rsid w:val="0D7A4743"/>
    <w:rsid w:val="0D7B972D"/>
    <w:rsid w:val="0D8EA153"/>
    <w:rsid w:val="0DAC8715"/>
    <w:rsid w:val="0DF39B89"/>
    <w:rsid w:val="0E04837E"/>
    <w:rsid w:val="0E096AC3"/>
    <w:rsid w:val="0E136409"/>
    <w:rsid w:val="0E211881"/>
    <w:rsid w:val="0E3869AC"/>
    <w:rsid w:val="0E8FD3BA"/>
    <w:rsid w:val="0E994FB9"/>
    <w:rsid w:val="0EC6658C"/>
    <w:rsid w:val="0ED540DE"/>
    <w:rsid w:val="0EE2C3F5"/>
    <w:rsid w:val="0F37EBEF"/>
    <w:rsid w:val="0F5D3B5E"/>
    <w:rsid w:val="0F749FE8"/>
    <w:rsid w:val="0F7C8539"/>
    <w:rsid w:val="0F7D4ADB"/>
    <w:rsid w:val="0F8735E0"/>
    <w:rsid w:val="0F95E656"/>
    <w:rsid w:val="0FCC21DE"/>
    <w:rsid w:val="0FF37EA3"/>
    <w:rsid w:val="1094237E"/>
    <w:rsid w:val="10945B4A"/>
    <w:rsid w:val="10A97815"/>
    <w:rsid w:val="10C4EEA0"/>
    <w:rsid w:val="10CC0C1F"/>
    <w:rsid w:val="10F31DF1"/>
    <w:rsid w:val="112ACB70"/>
    <w:rsid w:val="112F27F2"/>
    <w:rsid w:val="1135DAC1"/>
    <w:rsid w:val="11456731"/>
    <w:rsid w:val="1196C6B9"/>
    <w:rsid w:val="11C3ACC3"/>
    <w:rsid w:val="11DF00FD"/>
    <w:rsid w:val="122BC277"/>
    <w:rsid w:val="1234021E"/>
    <w:rsid w:val="123C477A"/>
    <w:rsid w:val="126C35D4"/>
    <w:rsid w:val="12831DEE"/>
    <w:rsid w:val="12D24323"/>
    <w:rsid w:val="133350E4"/>
    <w:rsid w:val="134C8D83"/>
    <w:rsid w:val="13B1E9F8"/>
    <w:rsid w:val="13C50482"/>
    <w:rsid w:val="140D44A1"/>
    <w:rsid w:val="141BA237"/>
    <w:rsid w:val="14408BD2"/>
    <w:rsid w:val="14DF9403"/>
    <w:rsid w:val="152FA83E"/>
    <w:rsid w:val="15320702"/>
    <w:rsid w:val="15508E80"/>
    <w:rsid w:val="1555E9B4"/>
    <w:rsid w:val="159132FB"/>
    <w:rsid w:val="159C924F"/>
    <w:rsid w:val="15B944E6"/>
    <w:rsid w:val="15C21E72"/>
    <w:rsid w:val="1611777D"/>
    <w:rsid w:val="164E4854"/>
    <w:rsid w:val="165815A7"/>
    <w:rsid w:val="16637847"/>
    <w:rsid w:val="167CD873"/>
    <w:rsid w:val="168C2366"/>
    <w:rsid w:val="1757E8BA"/>
    <w:rsid w:val="178A8DC8"/>
    <w:rsid w:val="178B01A4"/>
    <w:rsid w:val="17A248B1"/>
    <w:rsid w:val="17CD0BAC"/>
    <w:rsid w:val="17CFE210"/>
    <w:rsid w:val="17DC1F79"/>
    <w:rsid w:val="17E619E9"/>
    <w:rsid w:val="17EEE804"/>
    <w:rsid w:val="18599658"/>
    <w:rsid w:val="186107C3"/>
    <w:rsid w:val="187BB4F1"/>
    <w:rsid w:val="187F0D83"/>
    <w:rsid w:val="189FB835"/>
    <w:rsid w:val="18E00EFA"/>
    <w:rsid w:val="18E1E8F6"/>
    <w:rsid w:val="18F4A79A"/>
    <w:rsid w:val="1922D30A"/>
    <w:rsid w:val="19295280"/>
    <w:rsid w:val="1947D19D"/>
    <w:rsid w:val="19C66A95"/>
    <w:rsid w:val="19C887A8"/>
    <w:rsid w:val="1A08DF89"/>
    <w:rsid w:val="1A2B8EAB"/>
    <w:rsid w:val="1A2C2D90"/>
    <w:rsid w:val="1A540137"/>
    <w:rsid w:val="1A64611E"/>
    <w:rsid w:val="1A6ADFB1"/>
    <w:rsid w:val="1A771933"/>
    <w:rsid w:val="1A7A6742"/>
    <w:rsid w:val="1A823D4F"/>
    <w:rsid w:val="1A9A0CD8"/>
    <w:rsid w:val="1AA46DAA"/>
    <w:rsid w:val="1AA7463E"/>
    <w:rsid w:val="1AB7B182"/>
    <w:rsid w:val="1AFE2DE7"/>
    <w:rsid w:val="1B2E090F"/>
    <w:rsid w:val="1B3C4507"/>
    <w:rsid w:val="1BECB5C0"/>
    <w:rsid w:val="1BF769E8"/>
    <w:rsid w:val="1C10A531"/>
    <w:rsid w:val="1C83D434"/>
    <w:rsid w:val="1C8BCB62"/>
    <w:rsid w:val="1CAC9D30"/>
    <w:rsid w:val="1CD334CA"/>
    <w:rsid w:val="1D3227A9"/>
    <w:rsid w:val="1D365502"/>
    <w:rsid w:val="1D49782C"/>
    <w:rsid w:val="1D593ED4"/>
    <w:rsid w:val="1D5D5C25"/>
    <w:rsid w:val="1D754886"/>
    <w:rsid w:val="1DBECF14"/>
    <w:rsid w:val="1DD9F035"/>
    <w:rsid w:val="1DE7E76D"/>
    <w:rsid w:val="1DE8C326"/>
    <w:rsid w:val="1E21D1C6"/>
    <w:rsid w:val="1E3649C0"/>
    <w:rsid w:val="1E3DE78E"/>
    <w:rsid w:val="1E50743D"/>
    <w:rsid w:val="1E56A5E0"/>
    <w:rsid w:val="1E578A18"/>
    <w:rsid w:val="1E5E0414"/>
    <w:rsid w:val="1E5E6BD2"/>
    <w:rsid w:val="1E7284E9"/>
    <w:rsid w:val="1E997E71"/>
    <w:rsid w:val="1EFB7611"/>
    <w:rsid w:val="1F2DDC19"/>
    <w:rsid w:val="1F30C329"/>
    <w:rsid w:val="1F439DF2"/>
    <w:rsid w:val="1F5FE462"/>
    <w:rsid w:val="1F6501FC"/>
    <w:rsid w:val="1F705E35"/>
    <w:rsid w:val="1FAAD46A"/>
    <w:rsid w:val="1FB78DA7"/>
    <w:rsid w:val="1FCF0582"/>
    <w:rsid w:val="1FE16D66"/>
    <w:rsid w:val="201D6A24"/>
    <w:rsid w:val="202A4A45"/>
    <w:rsid w:val="204E95CB"/>
    <w:rsid w:val="208E14A5"/>
    <w:rsid w:val="20D13942"/>
    <w:rsid w:val="20D8322F"/>
    <w:rsid w:val="20F68562"/>
    <w:rsid w:val="2120E1CC"/>
    <w:rsid w:val="213010C9"/>
    <w:rsid w:val="213F4EF6"/>
    <w:rsid w:val="2155DDB6"/>
    <w:rsid w:val="215DCDD2"/>
    <w:rsid w:val="217D802F"/>
    <w:rsid w:val="218656E9"/>
    <w:rsid w:val="21AF1A6E"/>
    <w:rsid w:val="21B90292"/>
    <w:rsid w:val="21BA15E5"/>
    <w:rsid w:val="21BC4DD8"/>
    <w:rsid w:val="21DF8358"/>
    <w:rsid w:val="21E27E68"/>
    <w:rsid w:val="21FB393A"/>
    <w:rsid w:val="22000167"/>
    <w:rsid w:val="22262927"/>
    <w:rsid w:val="223AD6DB"/>
    <w:rsid w:val="22480679"/>
    <w:rsid w:val="226029E8"/>
    <w:rsid w:val="226CAEEB"/>
    <w:rsid w:val="226F6BD0"/>
    <w:rsid w:val="227E6030"/>
    <w:rsid w:val="2280D16F"/>
    <w:rsid w:val="2299B914"/>
    <w:rsid w:val="22B1C531"/>
    <w:rsid w:val="22D47D13"/>
    <w:rsid w:val="22ED2352"/>
    <w:rsid w:val="22F5FB3A"/>
    <w:rsid w:val="2312D99C"/>
    <w:rsid w:val="233334D7"/>
    <w:rsid w:val="2334D382"/>
    <w:rsid w:val="23761F36"/>
    <w:rsid w:val="23952A28"/>
    <w:rsid w:val="239E88A2"/>
    <w:rsid w:val="23DE66F5"/>
    <w:rsid w:val="241AA08B"/>
    <w:rsid w:val="242E9C21"/>
    <w:rsid w:val="243C3CEF"/>
    <w:rsid w:val="244AD2D0"/>
    <w:rsid w:val="246351CD"/>
    <w:rsid w:val="248B8737"/>
    <w:rsid w:val="24B21A9A"/>
    <w:rsid w:val="24C44345"/>
    <w:rsid w:val="251B7447"/>
    <w:rsid w:val="252A4FF5"/>
    <w:rsid w:val="254EC49C"/>
    <w:rsid w:val="258969EF"/>
    <w:rsid w:val="258C7821"/>
    <w:rsid w:val="25C66D54"/>
    <w:rsid w:val="26167446"/>
    <w:rsid w:val="2647AB7E"/>
    <w:rsid w:val="2667ADC1"/>
    <w:rsid w:val="26768AEB"/>
    <w:rsid w:val="268FE10A"/>
    <w:rsid w:val="26EB01E7"/>
    <w:rsid w:val="26F4B150"/>
    <w:rsid w:val="2707C145"/>
    <w:rsid w:val="270C0B17"/>
    <w:rsid w:val="27199D87"/>
    <w:rsid w:val="271F2C12"/>
    <w:rsid w:val="275EF42C"/>
    <w:rsid w:val="276C434E"/>
    <w:rsid w:val="277E8EE9"/>
    <w:rsid w:val="27A68C68"/>
    <w:rsid w:val="27C3CC93"/>
    <w:rsid w:val="27C957D6"/>
    <w:rsid w:val="27D4501F"/>
    <w:rsid w:val="27E2A4C6"/>
    <w:rsid w:val="27FDBB66"/>
    <w:rsid w:val="28041322"/>
    <w:rsid w:val="28093EBE"/>
    <w:rsid w:val="280C1BD5"/>
    <w:rsid w:val="282A1B4A"/>
    <w:rsid w:val="283160B0"/>
    <w:rsid w:val="28571129"/>
    <w:rsid w:val="2888BB81"/>
    <w:rsid w:val="28CCBE18"/>
    <w:rsid w:val="28E56611"/>
    <w:rsid w:val="28FA2BE8"/>
    <w:rsid w:val="2908E2FB"/>
    <w:rsid w:val="29C3CDB5"/>
    <w:rsid w:val="29CA5ACF"/>
    <w:rsid w:val="29DFBBDE"/>
    <w:rsid w:val="29ED02C6"/>
    <w:rsid w:val="2A263C28"/>
    <w:rsid w:val="2A2FC403"/>
    <w:rsid w:val="2A89EC55"/>
    <w:rsid w:val="2A9D29BD"/>
    <w:rsid w:val="2B371666"/>
    <w:rsid w:val="2B4F2A3B"/>
    <w:rsid w:val="2B6FDCAA"/>
    <w:rsid w:val="2B8284BA"/>
    <w:rsid w:val="2B8F9E29"/>
    <w:rsid w:val="2B9520B6"/>
    <w:rsid w:val="2BA56439"/>
    <w:rsid w:val="2BE754BC"/>
    <w:rsid w:val="2C2E65D6"/>
    <w:rsid w:val="2C46668A"/>
    <w:rsid w:val="2C7528DF"/>
    <w:rsid w:val="2C8087ED"/>
    <w:rsid w:val="2C90FA90"/>
    <w:rsid w:val="2C9A579A"/>
    <w:rsid w:val="2CDEF2AD"/>
    <w:rsid w:val="2CEF01B9"/>
    <w:rsid w:val="2CF28F8F"/>
    <w:rsid w:val="2D213DB1"/>
    <w:rsid w:val="2D406F88"/>
    <w:rsid w:val="2D4B7972"/>
    <w:rsid w:val="2D59A474"/>
    <w:rsid w:val="2D5E361B"/>
    <w:rsid w:val="2D732CE3"/>
    <w:rsid w:val="2DED0F6B"/>
    <w:rsid w:val="2DFB82CF"/>
    <w:rsid w:val="2DFB9194"/>
    <w:rsid w:val="2DFBC6B3"/>
    <w:rsid w:val="2E369E01"/>
    <w:rsid w:val="2E3F13FF"/>
    <w:rsid w:val="2E5A79B0"/>
    <w:rsid w:val="2E610D96"/>
    <w:rsid w:val="2E92B94D"/>
    <w:rsid w:val="2EAEAC13"/>
    <w:rsid w:val="2F112A22"/>
    <w:rsid w:val="2F32EE2D"/>
    <w:rsid w:val="2F8790D1"/>
    <w:rsid w:val="2F9F6D46"/>
    <w:rsid w:val="2FA862D8"/>
    <w:rsid w:val="2FB82D23"/>
    <w:rsid w:val="2FDAF3B1"/>
    <w:rsid w:val="300AE23C"/>
    <w:rsid w:val="300D16D1"/>
    <w:rsid w:val="30287E8E"/>
    <w:rsid w:val="302B9880"/>
    <w:rsid w:val="303D291F"/>
    <w:rsid w:val="3048903A"/>
    <w:rsid w:val="30698D49"/>
    <w:rsid w:val="30750B51"/>
    <w:rsid w:val="307A60B5"/>
    <w:rsid w:val="307C4FE5"/>
    <w:rsid w:val="309DB865"/>
    <w:rsid w:val="30A59E2B"/>
    <w:rsid w:val="30EA9AB2"/>
    <w:rsid w:val="3155753C"/>
    <w:rsid w:val="3185C0D5"/>
    <w:rsid w:val="31B7344E"/>
    <w:rsid w:val="31F93457"/>
    <w:rsid w:val="323772B5"/>
    <w:rsid w:val="32383CF6"/>
    <w:rsid w:val="323EF8E7"/>
    <w:rsid w:val="3243AE4D"/>
    <w:rsid w:val="32496F13"/>
    <w:rsid w:val="32900167"/>
    <w:rsid w:val="329F6E63"/>
    <w:rsid w:val="32AAB6DB"/>
    <w:rsid w:val="32C0467F"/>
    <w:rsid w:val="33115D70"/>
    <w:rsid w:val="33137F50"/>
    <w:rsid w:val="3350BC60"/>
    <w:rsid w:val="33E6FA42"/>
    <w:rsid w:val="340E8FB0"/>
    <w:rsid w:val="34504293"/>
    <w:rsid w:val="34597BD5"/>
    <w:rsid w:val="34749400"/>
    <w:rsid w:val="34799A9D"/>
    <w:rsid w:val="353EFDD2"/>
    <w:rsid w:val="35522B39"/>
    <w:rsid w:val="357DD75B"/>
    <w:rsid w:val="358F0005"/>
    <w:rsid w:val="3595A64B"/>
    <w:rsid w:val="35B892F0"/>
    <w:rsid w:val="35C8A4E9"/>
    <w:rsid w:val="35D2C2FC"/>
    <w:rsid w:val="35DD7240"/>
    <w:rsid w:val="35E273CF"/>
    <w:rsid w:val="35E6F2B2"/>
    <w:rsid w:val="35E7B3B2"/>
    <w:rsid w:val="360404A8"/>
    <w:rsid w:val="364B2D89"/>
    <w:rsid w:val="364C35CE"/>
    <w:rsid w:val="367AE80C"/>
    <w:rsid w:val="367FF526"/>
    <w:rsid w:val="368371AD"/>
    <w:rsid w:val="371ED199"/>
    <w:rsid w:val="372A3F7B"/>
    <w:rsid w:val="372AC413"/>
    <w:rsid w:val="372D0453"/>
    <w:rsid w:val="375AB10F"/>
    <w:rsid w:val="37E1AAA2"/>
    <w:rsid w:val="37EBB5ED"/>
    <w:rsid w:val="382D018F"/>
    <w:rsid w:val="3857CEE0"/>
    <w:rsid w:val="3860804D"/>
    <w:rsid w:val="389F8E1B"/>
    <w:rsid w:val="38A0D44A"/>
    <w:rsid w:val="38ADCC5E"/>
    <w:rsid w:val="3912102E"/>
    <w:rsid w:val="391D34E8"/>
    <w:rsid w:val="3933D99E"/>
    <w:rsid w:val="3938E31F"/>
    <w:rsid w:val="39463F1D"/>
    <w:rsid w:val="395385A0"/>
    <w:rsid w:val="39653107"/>
    <w:rsid w:val="396E0CC6"/>
    <w:rsid w:val="399803AD"/>
    <w:rsid w:val="39BC86B6"/>
    <w:rsid w:val="39D5A829"/>
    <w:rsid w:val="39DA121B"/>
    <w:rsid w:val="39DC6F21"/>
    <w:rsid w:val="39EE4425"/>
    <w:rsid w:val="39F6ED13"/>
    <w:rsid w:val="3A070AA0"/>
    <w:rsid w:val="3A5E9662"/>
    <w:rsid w:val="3A6D874E"/>
    <w:rsid w:val="3A8BFC22"/>
    <w:rsid w:val="3AAD563F"/>
    <w:rsid w:val="3AB2058A"/>
    <w:rsid w:val="3AD95F3C"/>
    <w:rsid w:val="3B0BD5E4"/>
    <w:rsid w:val="3B0E73CA"/>
    <w:rsid w:val="3B18D051"/>
    <w:rsid w:val="3B2363AF"/>
    <w:rsid w:val="3B333BB9"/>
    <w:rsid w:val="3B477A24"/>
    <w:rsid w:val="3B711B27"/>
    <w:rsid w:val="3B7339D1"/>
    <w:rsid w:val="3B87E508"/>
    <w:rsid w:val="3BB66601"/>
    <w:rsid w:val="3C0C65AA"/>
    <w:rsid w:val="3C0FE95F"/>
    <w:rsid w:val="3C1C7946"/>
    <w:rsid w:val="3C739561"/>
    <w:rsid w:val="3C7678AF"/>
    <w:rsid w:val="3CAF39B8"/>
    <w:rsid w:val="3CE9E80D"/>
    <w:rsid w:val="3D3063DE"/>
    <w:rsid w:val="3D3DEF1F"/>
    <w:rsid w:val="3D460A55"/>
    <w:rsid w:val="3D4AD008"/>
    <w:rsid w:val="3D51E174"/>
    <w:rsid w:val="3D5A75A9"/>
    <w:rsid w:val="3D766BCF"/>
    <w:rsid w:val="3D8EC88E"/>
    <w:rsid w:val="3DA1772F"/>
    <w:rsid w:val="3DB0EF23"/>
    <w:rsid w:val="3DBFDFDF"/>
    <w:rsid w:val="3DC2803C"/>
    <w:rsid w:val="3DD296BE"/>
    <w:rsid w:val="3DDE45E7"/>
    <w:rsid w:val="3DDF9A1A"/>
    <w:rsid w:val="3DE624C4"/>
    <w:rsid w:val="3E25BA59"/>
    <w:rsid w:val="3E30377E"/>
    <w:rsid w:val="3E367B49"/>
    <w:rsid w:val="3F7F2084"/>
    <w:rsid w:val="3FA1EA32"/>
    <w:rsid w:val="3FA9719E"/>
    <w:rsid w:val="3FC81688"/>
    <w:rsid w:val="3FCE7A40"/>
    <w:rsid w:val="3FE6E514"/>
    <w:rsid w:val="3FF69F05"/>
    <w:rsid w:val="3FFC2DC1"/>
    <w:rsid w:val="400AEF05"/>
    <w:rsid w:val="4011AB61"/>
    <w:rsid w:val="4028A1D8"/>
    <w:rsid w:val="402BFC82"/>
    <w:rsid w:val="404A911A"/>
    <w:rsid w:val="405A85D3"/>
    <w:rsid w:val="406B1BB8"/>
    <w:rsid w:val="4080D31F"/>
    <w:rsid w:val="4088E19F"/>
    <w:rsid w:val="409C4763"/>
    <w:rsid w:val="40E1F293"/>
    <w:rsid w:val="40E9D4AF"/>
    <w:rsid w:val="413D5284"/>
    <w:rsid w:val="41457466"/>
    <w:rsid w:val="4176E427"/>
    <w:rsid w:val="41F7FC08"/>
    <w:rsid w:val="4205AD3F"/>
    <w:rsid w:val="42238BB3"/>
    <w:rsid w:val="422FB019"/>
    <w:rsid w:val="4290BE2F"/>
    <w:rsid w:val="42B72270"/>
    <w:rsid w:val="42D8B09B"/>
    <w:rsid w:val="42DF4082"/>
    <w:rsid w:val="42F5A266"/>
    <w:rsid w:val="42FE0B17"/>
    <w:rsid w:val="430C6CE1"/>
    <w:rsid w:val="432E1426"/>
    <w:rsid w:val="4342B7EF"/>
    <w:rsid w:val="43451CA6"/>
    <w:rsid w:val="435D94A6"/>
    <w:rsid w:val="43606413"/>
    <w:rsid w:val="437D3943"/>
    <w:rsid w:val="43A9B336"/>
    <w:rsid w:val="43AA0E88"/>
    <w:rsid w:val="43BC4FC3"/>
    <w:rsid w:val="43BF77C1"/>
    <w:rsid w:val="43F7A30A"/>
    <w:rsid w:val="44091E10"/>
    <w:rsid w:val="440F1F76"/>
    <w:rsid w:val="4414BD8D"/>
    <w:rsid w:val="445DB6AF"/>
    <w:rsid w:val="44847869"/>
    <w:rsid w:val="4484CC24"/>
    <w:rsid w:val="44AA61A3"/>
    <w:rsid w:val="44B49DAE"/>
    <w:rsid w:val="44BD6F5B"/>
    <w:rsid w:val="44C7302E"/>
    <w:rsid w:val="44D2865C"/>
    <w:rsid w:val="44F79945"/>
    <w:rsid w:val="44FCDC9F"/>
    <w:rsid w:val="451D0A2A"/>
    <w:rsid w:val="451DA954"/>
    <w:rsid w:val="45251E11"/>
    <w:rsid w:val="4528B32A"/>
    <w:rsid w:val="452BD725"/>
    <w:rsid w:val="454E9CBB"/>
    <w:rsid w:val="455268D7"/>
    <w:rsid w:val="4568760C"/>
    <w:rsid w:val="45AA6827"/>
    <w:rsid w:val="45ACFE45"/>
    <w:rsid w:val="460EE8AF"/>
    <w:rsid w:val="463C63A1"/>
    <w:rsid w:val="467903BC"/>
    <w:rsid w:val="4681BC6E"/>
    <w:rsid w:val="46914AE4"/>
    <w:rsid w:val="46A887B4"/>
    <w:rsid w:val="4709E9CD"/>
    <w:rsid w:val="4739110F"/>
    <w:rsid w:val="4750FD08"/>
    <w:rsid w:val="47533BF3"/>
    <w:rsid w:val="47A5F9D2"/>
    <w:rsid w:val="47A76F1C"/>
    <w:rsid w:val="47AEBEA2"/>
    <w:rsid w:val="47D0A337"/>
    <w:rsid w:val="47E99053"/>
    <w:rsid w:val="47EA7225"/>
    <w:rsid w:val="47F2561A"/>
    <w:rsid w:val="47F3E95C"/>
    <w:rsid w:val="48022BD9"/>
    <w:rsid w:val="48090755"/>
    <w:rsid w:val="483907BC"/>
    <w:rsid w:val="4844DED9"/>
    <w:rsid w:val="486F8467"/>
    <w:rsid w:val="4870011B"/>
    <w:rsid w:val="48BA3C64"/>
    <w:rsid w:val="48DB288A"/>
    <w:rsid w:val="48DF6FF6"/>
    <w:rsid w:val="48E9A2EE"/>
    <w:rsid w:val="48EF0F2E"/>
    <w:rsid w:val="48F72389"/>
    <w:rsid w:val="492778BA"/>
    <w:rsid w:val="496A7CB2"/>
    <w:rsid w:val="49B7710A"/>
    <w:rsid w:val="49BA7655"/>
    <w:rsid w:val="49C0BA70"/>
    <w:rsid w:val="49D474FC"/>
    <w:rsid w:val="49EFD7D4"/>
    <w:rsid w:val="49FB8F46"/>
    <w:rsid w:val="4A01D0F5"/>
    <w:rsid w:val="4A118AFD"/>
    <w:rsid w:val="4A2CBC2B"/>
    <w:rsid w:val="4A44BB8C"/>
    <w:rsid w:val="4A6609E1"/>
    <w:rsid w:val="4A7B4120"/>
    <w:rsid w:val="4A94CDF2"/>
    <w:rsid w:val="4A993417"/>
    <w:rsid w:val="4AC6CE8B"/>
    <w:rsid w:val="4AD72154"/>
    <w:rsid w:val="4B045AF7"/>
    <w:rsid w:val="4B247BCC"/>
    <w:rsid w:val="4B2C7E48"/>
    <w:rsid w:val="4B49DBC2"/>
    <w:rsid w:val="4B59276C"/>
    <w:rsid w:val="4B670D0F"/>
    <w:rsid w:val="4B7696FE"/>
    <w:rsid w:val="4B8E1232"/>
    <w:rsid w:val="4B978201"/>
    <w:rsid w:val="4BC53C0C"/>
    <w:rsid w:val="4BFE0F0F"/>
    <w:rsid w:val="4C076C2D"/>
    <w:rsid w:val="4C16F417"/>
    <w:rsid w:val="4C1AD0AB"/>
    <w:rsid w:val="4C5012B4"/>
    <w:rsid w:val="4CA18549"/>
    <w:rsid w:val="4CA7D4AC"/>
    <w:rsid w:val="4CD53AFB"/>
    <w:rsid w:val="4CFD5C19"/>
    <w:rsid w:val="4D04C8FD"/>
    <w:rsid w:val="4D1B736E"/>
    <w:rsid w:val="4D1FA03E"/>
    <w:rsid w:val="4D2C60FF"/>
    <w:rsid w:val="4D530CE1"/>
    <w:rsid w:val="4D545988"/>
    <w:rsid w:val="4D5DFCB5"/>
    <w:rsid w:val="4D8BB324"/>
    <w:rsid w:val="4DA9BCEC"/>
    <w:rsid w:val="4DB1EBFE"/>
    <w:rsid w:val="4E112F44"/>
    <w:rsid w:val="4E37567A"/>
    <w:rsid w:val="4E4353A4"/>
    <w:rsid w:val="4E5E083C"/>
    <w:rsid w:val="4E69C7C4"/>
    <w:rsid w:val="4E7BE706"/>
    <w:rsid w:val="4E8E9090"/>
    <w:rsid w:val="4E99BBC4"/>
    <w:rsid w:val="4E9C4D68"/>
    <w:rsid w:val="4ED5C242"/>
    <w:rsid w:val="4EECA20E"/>
    <w:rsid w:val="4EF940C8"/>
    <w:rsid w:val="4F06BF63"/>
    <w:rsid w:val="4F21AEDC"/>
    <w:rsid w:val="4F5BF1D0"/>
    <w:rsid w:val="4F7A4ACF"/>
    <w:rsid w:val="4FF57325"/>
    <w:rsid w:val="504D12B5"/>
    <w:rsid w:val="50518F39"/>
    <w:rsid w:val="506FC5F5"/>
    <w:rsid w:val="5096BBB5"/>
    <w:rsid w:val="50B654F2"/>
    <w:rsid w:val="50FF6246"/>
    <w:rsid w:val="51034454"/>
    <w:rsid w:val="516F00CC"/>
    <w:rsid w:val="51CD8FE8"/>
    <w:rsid w:val="51EE5340"/>
    <w:rsid w:val="51F058C4"/>
    <w:rsid w:val="52161CEB"/>
    <w:rsid w:val="5233F966"/>
    <w:rsid w:val="5245EFD8"/>
    <w:rsid w:val="53208ECF"/>
    <w:rsid w:val="5322DF46"/>
    <w:rsid w:val="53358130"/>
    <w:rsid w:val="53A40C0B"/>
    <w:rsid w:val="53D75476"/>
    <w:rsid w:val="53F53974"/>
    <w:rsid w:val="53F9586A"/>
    <w:rsid w:val="53FD535C"/>
    <w:rsid w:val="544A337A"/>
    <w:rsid w:val="5466D1D2"/>
    <w:rsid w:val="54741F6F"/>
    <w:rsid w:val="5484A53F"/>
    <w:rsid w:val="5495E105"/>
    <w:rsid w:val="549DB311"/>
    <w:rsid w:val="54D90B90"/>
    <w:rsid w:val="54DCB50E"/>
    <w:rsid w:val="54E0DC49"/>
    <w:rsid w:val="54EE966A"/>
    <w:rsid w:val="54F4D68F"/>
    <w:rsid w:val="551EECDB"/>
    <w:rsid w:val="55281D00"/>
    <w:rsid w:val="5558F8B7"/>
    <w:rsid w:val="555D0F71"/>
    <w:rsid w:val="55B1D72B"/>
    <w:rsid w:val="55D87D8B"/>
    <w:rsid w:val="55DF8EEE"/>
    <w:rsid w:val="5612B908"/>
    <w:rsid w:val="5619A3E8"/>
    <w:rsid w:val="562BFFD4"/>
    <w:rsid w:val="5640A7D7"/>
    <w:rsid w:val="566B3040"/>
    <w:rsid w:val="56D1B114"/>
    <w:rsid w:val="56E655B6"/>
    <w:rsid w:val="573F94E2"/>
    <w:rsid w:val="5753D04D"/>
    <w:rsid w:val="576F69B8"/>
    <w:rsid w:val="57814A51"/>
    <w:rsid w:val="578176C2"/>
    <w:rsid w:val="57AD9CD8"/>
    <w:rsid w:val="57C3A397"/>
    <w:rsid w:val="580DAFC0"/>
    <w:rsid w:val="583AC577"/>
    <w:rsid w:val="5845C1AC"/>
    <w:rsid w:val="5866FDCD"/>
    <w:rsid w:val="58A580F3"/>
    <w:rsid w:val="58CF42DB"/>
    <w:rsid w:val="59270374"/>
    <w:rsid w:val="593E1C49"/>
    <w:rsid w:val="594956E8"/>
    <w:rsid w:val="595FA245"/>
    <w:rsid w:val="59844830"/>
    <w:rsid w:val="5993E9A5"/>
    <w:rsid w:val="59A097CF"/>
    <w:rsid w:val="59C38FFC"/>
    <w:rsid w:val="59F550CB"/>
    <w:rsid w:val="59F7E3BB"/>
    <w:rsid w:val="59FBB51E"/>
    <w:rsid w:val="5A2C9578"/>
    <w:rsid w:val="5A43931C"/>
    <w:rsid w:val="5A51560D"/>
    <w:rsid w:val="5A5A038F"/>
    <w:rsid w:val="5A647BE0"/>
    <w:rsid w:val="5AAE694A"/>
    <w:rsid w:val="5AB753DC"/>
    <w:rsid w:val="5AB9FEC4"/>
    <w:rsid w:val="5ABCAF45"/>
    <w:rsid w:val="5AC5ED6C"/>
    <w:rsid w:val="5AD66622"/>
    <w:rsid w:val="5B088428"/>
    <w:rsid w:val="5B103AD5"/>
    <w:rsid w:val="5B380BB8"/>
    <w:rsid w:val="5B424266"/>
    <w:rsid w:val="5B5AC125"/>
    <w:rsid w:val="5B82A477"/>
    <w:rsid w:val="5BDE09B4"/>
    <w:rsid w:val="5BEBA20B"/>
    <w:rsid w:val="5C05A920"/>
    <w:rsid w:val="5C15782B"/>
    <w:rsid w:val="5C15D328"/>
    <w:rsid w:val="5C15FDA5"/>
    <w:rsid w:val="5C1AAF32"/>
    <w:rsid w:val="5C275378"/>
    <w:rsid w:val="5C37D0EC"/>
    <w:rsid w:val="5C5FFCE7"/>
    <w:rsid w:val="5C625B7D"/>
    <w:rsid w:val="5C8791CC"/>
    <w:rsid w:val="5CA80F35"/>
    <w:rsid w:val="5CB1A0DA"/>
    <w:rsid w:val="5CB5EC51"/>
    <w:rsid w:val="5D23F193"/>
    <w:rsid w:val="5D27302C"/>
    <w:rsid w:val="5D2E6E4D"/>
    <w:rsid w:val="5D55D57B"/>
    <w:rsid w:val="5D7C080F"/>
    <w:rsid w:val="5D995E3D"/>
    <w:rsid w:val="5DCC4850"/>
    <w:rsid w:val="5E0135F5"/>
    <w:rsid w:val="5E10E12F"/>
    <w:rsid w:val="5E346639"/>
    <w:rsid w:val="5EAFDCA8"/>
    <w:rsid w:val="5EEB336F"/>
    <w:rsid w:val="5EEE7FB6"/>
    <w:rsid w:val="5EF194E4"/>
    <w:rsid w:val="5F23BC4A"/>
    <w:rsid w:val="5F325ECE"/>
    <w:rsid w:val="5F8A134B"/>
    <w:rsid w:val="5F8CBE40"/>
    <w:rsid w:val="5FCE1467"/>
    <w:rsid w:val="5FFCAE63"/>
    <w:rsid w:val="6049577B"/>
    <w:rsid w:val="60784950"/>
    <w:rsid w:val="608C91CC"/>
    <w:rsid w:val="60A0E4C6"/>
    <w:rsid w:val="60CA6C1D"/>
    <w:rsid w:val="60E79AFF"/>
    <w:rsid w:val="618B175E"/>
    <w:rsid w:val="619A6B2E"/>
    <w:rsid w:val="61F8004D"/>
    <w:rsid w:val="62789107"/>
    <w:rsid w:val="628155D0"/>
    <w:rsid w:val="62ADFF73"/>
    <w:rsid w:val="630B17D2"/>
    <w:rsid w:val="630D546B"/>
    <w:rsid w:val="63634AE8"/>
    <w:rsid w:val="637F2F66"/>
    <w:rsid w:val="63A859FC"/>
    <w:rsid w:val="63C30A6B"/>
    <w:rsid w:val="64365103"/>
    <w:rsid w:val="64655AD9"/>
    <w:rsid w:val="646F7323"/>
    <w:rsid w:val="64F06F74"/>
    <w:rsid w:val="64FE2DC5"/>
    <w:rsid w:val="6536C403"/>
    <w:rsid w:val="65463D71"/>
    <w:rsid w:val="6551CB67"/>
    <w:rsid w:val="6552ED9F"/>
    <w:rsid w:val="65858AEC"/>
    <w:rsid w:val="65E4F837"/>
    <w:rsid w:val="65EFA681"/>
    <w:rsid w:val="664127F8"/>
    <w:rsid w:val="667703E0"/>
    <w:rsid w:val="66997C4E"/>
    <w:rsid w:val="66CB8BC2"/>
    <w:rsid w:val="66D1BCF1"/>
    <w:rsid w:val="66E7DD7E"/>
    <w:rsid w:val="672528B9"/>
    <w:rsid w:val="6754E7F2"/>
    <w:rsid w:val="679AFEF0"/>
    <w:rsid w:val="67A930F8"/>
    <w:rsid w:val="680C51E2"/>
    <w:rsid w:val="6867894D"/>
    <w:rsid w:val="687B52DE"/>
    <w:rsid w:val="6885204E"/>
    <w:rsid w:val="68857248"/>
    <w:rsid w:val="68857718"/>
    <w:rsid w:val="6892555D"/>
    <w:rsid w:val="68DC8C57"/>
    <w:rsid w:val="68F46D0C"/>
    <w:rsid w:val="6917DAFC"/>
    <w:rsid w:val="6920F910"/>
    <w:rsid w:val="695DBC3E"/>
    <w:rsid w:val="6960D7A8"/>
    <w:rsid w:val="69734058"/>
    <w:rsid w:val="6989C6F2"/>
    <w:rsid w:val="69900D00"/>
    <w:rsid w:val="69985120"/>
    <w:rsid w:val="699DB543"/>
    <w:rsid w:val="69A6F4B6"/>
    <w:rsid w:val="69C4EAD9"/>
    <w:rsid w:val="69E1B365"/>
    <w:rsid w:val="69EC7523"/>
    <w:rsid w:val="6A120B09"/>
    <w:rsid w:val="6A14D9E6"/>
    <w:rsid w:val="6A1D3C31"/>
    <w:rsid w:val="6A537EB7"/>
    <w:rsid w:val="6A5532BE"/>
    <w:rsid w:val="6A91694E"/>
    <w:rsid w:val="6AAD4823"/>
    <w:rsid w:val="6ABEC0DB"/>
    <w:rsid w:val="6ACFECEC"/>
    <w:rsid w:val="6AE18C7A"/>
    <w:rsid w:val="6AFF0DF7"/>
    <w:rsid w:val="6B55A2B6"/>
    <w:rsid w:val="6B6C1B77"/>
    <w:rsid w:val="6B712C87"/>
    <w:rsid w:val="6B71B5ED"/>
    <w:rsid w:val="6B79EA69"/>
    <w:rsid w:val="6B852A11"/>
    <w:rsid w:val="6B9C9FCD"/>
    <w:rsid w:val="6BBC8A81"/>
    <w:rsid w:val="6BC074FC"/>
    <w:rsid w:val="6C098786"/>
    <w:rsid w:val="6C8519C7"/>
    <w:rsid w:val="6C94E675"/>
    <w:rsid w:val="6D4C52FE"/>
    <w:rsid w:val="6D6F9697"/>
    <w:rsid w:val="6D744BFE"/>
    <w:rsid w:val="6D899259"/>
    <w:rsid w:val="6DB7AFAD"/>
    <w:rsid w:val="6DC6B0EE"/>
    <w:rsid w:val="6DD04B3F"/>
    <w:rsid w:val="6DF0CE85"/>
    <w:rsid w:val="6E23103D"/>
    <w:rsid w:val="6E29B391"/>
    <w:rsid w:val="6E2A8AF0"/>
    <w:rsid w:val="6E737215"/>
    <w:rsid w:val="6E9B8BDB"/>
    <w:rsid w:val="6EC710D0"/>
    <w:rsid w:val="6ED55104"/>
    <w:rsid w:val="6EEB6491"/>
    <w:rsid w:val="6F0391E6"/>
    <w:rsid w:val="6F05AF8A"/>
    <w:rsid w:val="6F141B99"/>
    <w:rsid w:val="6F7ED862"/>
    <w:rsid w:val="6FA6EC16"/>
    <w:rsid w:val="6FB86C2B"/>
    <w:rsid w:val="7003C849"/>
    <w:rsid w:val="70406DA3"/>
    <w:rsid w:val="70DDDAD7"/>
    <w:rsid w:val="71149709"/>
    <w:rsid w:val="712D36C6"/>
    <w:rsid w:val="714D3739"/>
    <w:rsid w:val="7160E04A"/>
    <w:rsid w:val="717478E4"/>
    <w:rsid w:val="7189A59B"/>
    <w:rsid w:val="71939C8F"/>
    <w:rsid w:val="7240D9A7"/>
    <w:rsid w:val="7247AECE"/>
    <w:rsid w:val="7272C818"/>
    <w:rsid w:val="72837085"/>
    <w:rsid w:val="7290195C"/>
    <w:rsid w:val="72A97D2B"/>
    <w:rsid w:val="7327697C"/>
    <w:rsid w:val="7329E126"/>
    <w:rsid w:val="73488A2B"/>
    <w:rsid w:val="73A1FEC8"/>
    <w:rsid w:val="73F1EFCD"/>
    <w:rsid w:val="73FD4117"/>
    <w:rsid w:val="74018345"/>
    <w:rsid w:val="74020F4C"/>
    <w:rsid w:val="7422520E"/>
    <w:rsid w:val="74528220"/>
    <w:rsid w:val="749506B6"/>
    <w:rsid w:val="74E4F9A4"/>
    <w:rsid w:val="74FCAF07"/>
    <w:rsid w:val="75242E04"/>
    <w:rsid w:val="7534D5C0"/>
    <w:rsid w:val="754F1F6E"/>
    <w:rsid w:val="7578CC5C"/>
    <w:rsid w:val="75BE784C"/>
    <w:rsid w:val="75CFFC33"/>
    <w:rsid w:val="75E515D8"/>
    <w:rsid w:val="76013868"/>
    <w:rsid w:val="76173F00"/>
    <w:rsid w:val="762BFEE1"/>
    <w:rsid w:val="76474EE2"/>
    <w:rsid w:val="76897531"/>
    <w:rsid w:val="76A08B87"/>
    <w:rsid w:val="76A141D5"/>
    <w:rsid w:val="76AD31D3"/>
    <w:rsid w:val="76CC10D2"/>
    <w:rsid w:val="76CD4F06"/>
    <w:rsid w:val="7703C4F3"/>
    <w:rsid w:val="77424327"/>
    <w:rsid w:val="77577B45"/>
    <w:rsid w:val="778430C7"/>
    <w:rsid w:val="77BDD944"/>
    <w:rsid w:val="77F22E9F"/>
    <w:rsid w:val="77F4AF61"/>
    <w:rsid w:val="781B0B68"/>
    <w:rsid w:val="784BF679"/>
    <w:rsid w:val="784EF092"/>
    <w:rsid w:val="78A22C31"/>
    <w:rsid w:val="78B2A53D"/>
    <w:rsid w:val="78C2C85F"/>
    <w:rsid w:val="7905A154"/>
    <w:rsid w:val="7962AD63"/>
    <w:rsid w:val="7986E13A"/>
    <w:rsid w:val="798D1DD3"/>
    <w:rsid w:val="7A0C2F57"/>
    <w:rsid w:val="7A357CA1"/>
    <w:rsid w:val="7A4D7F50"/>
    <w:rsid w:val="7A4EAEA9"/>
    <w:rsid w:val="7A773C20"/>
    <w:rsid w:val="7A80C145"/>
    <w:rsid w:val="7AC1DCA0"/>
    <w:rsid w:val="7AC697BC"/>
    <w:rsid w:val="7AD7D974"/>
    <w:rsid w:val="7ADBE7E9"/>
    <w:rsid w:val="7B18F46B"/>
    <w:rsid w:val="7B53CBAD"/>
    <w:rsid w:val="7B53E9DA"/>
    <w:rsid w:val="7B8B6474"/>
    <w:rsid w:val="7B936A3E"/>
    <w:rsid w:val="7BC28F9E"/>
    <w:rsid w:val="7BC5095A"/>
    <w:rsid w:val="7BD9F808"/>
    <w:rsid w:val="7C013FA5"/>
    <w:rsid w:val="7C093251"/>
    <w:rsid w:val="7C456447"/>
    <w:rsid w:val="7C5BB5C7"/>
    <w:rsid w:val="7CA6A6BF"/>
    <w:rsid w:val="7CB25F15"/>
    <w:rsid w:val="7CC1A0E7"/>
    <w:rsid w:val="7CC8999A"/>
    <w:rsid w:val="7CF608D3"/>
    <w:rsid w:val="7D02489E"/>
    <w:rsid w:val="7D161038"/>
    <w:rsid w:val="7D177005"/>
    <w:rsid w:val="7D29477A"/>
    <w:rsid w:val="7D299FC4"/>
    <w:rsid w:val="7D576278"/>
    <w:rsid w:val="7D65F397"/>
    <w:rsid w:val="7D8F072B"/>
    <w:rsid w:val="7D927A07"/>
    <w:rsid w:val="7DABAA80"/>
    <w:rsid w:val="7DB17D96"/>
    <w:rsid w:val="7DD85217"/>
    <w:rsid w:val="7E379D1B"/>
    <w:rsid w:val="7E54E71D"/>
    <w:rsid w:val="7E5C0594"/>
    <w:rsid w:val="7E833A4C"/>
    <w:rsid w:val="7EA6E845"/>
    <w:rsid w:val="7EBB1C25"/>
    <w:rsid w:val="7ED5A8C5"/>
    <w:rsid w:val="7EE10552"/>
    <w:rsid w:val="7EFDB535"/>
    <w:rsid w:val="7F5273AE"/>
    <w:rsid w:val="7F724FA5"/>
    <w:rsid w:val="7F7673F6"/>
    <w:rsid w:val="7F9A35C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F3E374BF-5F7C-488E-BFFF-BD3424D00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7B34"/>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5"/>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6"/>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 w:type="character" w:customStyle="1" w:styleId="font81">
    <w:name w:val="font81"/>
    <w:basedOn w:val="DefaultParagraphFont"/>
    <w:rsid w:val="00B652D1"/>
    <w:rPr>
      <w:rFonts w:ascii="Aptos" w:hAnsi="Aptos" w:hint="default"/>
      <w:b w:val="0"/>
      <w:bCs w:val="0"/>
      <w:i w:val="0"/>
      <w:iCs w:val="0"/>
      <w:strike w:val="0"/>
      <w:dstrike w:val="0"/>
      <w:color w:val="000000"/>
      <w:sz w:val="22"/>
      <w:szCs w:val="22"/>
      <w:u w:val="none"/>
      <w:effect w:val="none"/>
    </w:rPr>
  </w:style>
  <w:style w:type="character" w:customStyle="1" w:styleId="font71">
    <w:name w:val="font71"/>
    <w:basedOn w:val="DefaultParagraphFont"/>
    <w:rsid w:val="00B652D1"/>
    <w:rPr>
      <w:rFonts w:ascii="Aptos" w:hAnsi="Aptos" w:hint="default"/>
      <w:b w:val="0"/>
      <w:bCs w:val="0"/>
      <w:i w:val="0"/>
      <w:iCs w:val="0"/>
      <w:strike w:val="0"/>
      <w:dstrike w:val="0"/>
      <w:color w:val="00000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9958">
      <w:bodyDiv w:val="1"/>
      <w:marLeft w:val="0"/>
      <w:marRight w:val="0"/>
      <w:marTop w:val="0"/>
      <w:marBottom w:val="0"/>
      <w:divBdr>
        <w:top w:val="none" w:sz="0" w:space="0" w:color="auto"/>
        <w:left w:val="none" w:sz="0" w:space="0" w:color="auto"/>
        <w:bottom w:val="none" w:sz="0" w:space="0" w:color="auto"/>
        <w:right w:val="none" w:sz="0" w:space="0" w:color="auto"/>
      </w:divBdr>
    </w:div>
    <w:div w:id="39716301">
      <w:bodyDiv w:val="1"/>
      <w:marLeft w:val="0"/>
      <w:marRight w:val="0"/>
      <w:marTop w:val="0"/>
      <w:marBottom w:val="0"/>
      <w:divBdr>
        <w:top w:val="none" w:sz="0" w:space="0" w:color="auto"/>
        <w:left w:val="none" w:sz="0" w:space="0" w:color="auto"/>
        <w:bottom w:val="none" w:sz="0" w:space="0" w:color="auto"/>
        <w:right w:val="none" w:sz="0" w:space="0" w:color="auto"/>
      </w:divBdr>
    </w:div>
    <w:div w:id="43911544">
      <w:bodyDiv w:val="1"/>
      <w:marLeft w:val="0"/>
      <w:marRight w:val="0"/>
      <w:marTop w:val="0"/>
      <w:marBottom w:val="0"/>
      <w:divBdr>
        <w:top w:val="none" w:sz="0" w:space="0" w:color="auto"/>
        <w:left w:val="none" w:sz="0" w:space="0" w:color="auto"/>
        <w:bottom w:val="none" w:sz="0" w:space="0" w:color="auto"/>
        <w:right w:val="none" w:sz="0" w:space="0" w:color="auto"/>
      </w:divBdr>
    </w:div>
    <w:div w:id="50735004">
      <w:bodyDiv w:val="1"/>
      <w:marLeft w:val="0"/>
      <w:marRight w:val="0"/>
      <w:marTop w:val="0"/>
      <w:marBottom w:val="0"/>
      <w:divBdr>
        <w:top w:val="none" w:sz="0" w:space="0" w:color="auto"/>
        <w:left w:val="none" w:sz="0" w:space="0" w:color="auto"/>
        <w:bottom w:val="none" w:sz="0" w:space="0" w:color="auto"/>
        <w:right w:val="none" w:sz="0" w:space="0" w:color="auto"/>
      </w:divBdr>
    </w:div>
    <w:div w:id="91365294">
      <w:bodyDiv w:val="1"/>
      <w:marLeft w:val="0"/>
      <w:marRight w:val="0"/>
      <w:marTop w:val="0"/>
      <w:marBottom w:val="0"/>
      <w:divBdr>
        <w:top w:val="none" w:sz="0" w:space="0" w:color="auto"/>
        <w:left w:val="none" w:sz="0" w:space="0" w:color="auto"/>
        <w:bottom w:val="none" w:sz="0" w:space="0" w:color="auto"/>
        <w:right w:val="none" w:sz="0" w:space="0" w:color="auto"/>
      </w:divBdr>
      <w:divsChild>
        <w:div w:id="185754997">
          <w:marLeft w:val="0"/>
          <w:marRight w:val="0"/>
          <w:marTop w:val="0"/>
          <w:marBottom w:val="0"/>
          <w:divBdr>
            <w:top w:val="none" w:sz="0" w:space="0" w:color="auto"/>
            <w:left w:val="none" w:sz="0" w:space="0" w:color="auto"/>
            <w:bottom w:val="none" w:sz="0" w:space="0" w:color="auto"/>
            <w:right w:val="none" w:sz="0" w:space="0" w:color="auto"/>
          </w:divBdr>
        </w:div>
        <w:div w:id="1704793990">
          <w:marLeft w:val="0"/>
          <w:marRight w:val="0"/>
          <w:marTop w:val="0"/>
          <w:marBottom w:val="0"/>
          <w:divBdr>
            <w:top w:val="none" w:sz="0" w:space="0" w:color="auto"/>
            <w:left w:val="none" w:sz="0" w:space="0" w:color="auto"/>
            <w:bottom w:val="none" w:sz="0" w:space="0" w:color="auto"/>
            <w:right w:val="none" w:sz="0" w:space="0" w:color="auto"/>
          </w:divBdr>
        </w:div>
        <w:div w:id="1924872503">
          <w:marLeft w:val="0"/>
          <w:marRight w:val="0"/>
          <w:marTop w:val="0"/>
          <w:marBottom w:val="0"/>
          <w:divBdr>
            <w:top w:val="none" w:sz="0" w:space="0" w:color="auto"/>
            <w:left w:val="none" w:sz="0" w:space="0" w:color="auto"/>
            <w:bottom w:val="none" w:sz="0" w:space="0" w:color="auto"/>
            <w:right w:val="none" w:sz="0" w:space="0" w:color="auto"/>
          </w:divBdr>
        </w:div>
        <w:div w:id="2075659799">
          <w:marLeft w:val="0"/>
          <w:marRight w:val="0"/>
          <w:marTop w:val="0"/>
          <w:marBottom w:val="0"/>
          <w:divBdr>
            <w:top w:val="none" w:sz="0" w:space="0" w:color="auto"/>
            <w:left w:val="none" w:sz="0" w:space="0" w:color="auto"/>
            <w:bottom w:val="none" w:sz="0" w:space="0" w:color="auto"/>
            <w:right w:val="none" w:sz="0" w:space="0" w:color="auto"/>
          </w:divBdr>
        </w:div>
      </w:divsChild>
    </w:div>
    <w:div w:id="96022736">
      <w:bodyDiv w:val="1"/>
      <w:marLeft w:val="0"/>
      <w:marRight w:val="0"/>
      <w:marTop w:val="0"/>
      <w:marBottom w:val="0"/>
      <w:divBdr>
        <w:top w:val="none" w:sz="0" w:space="0" w:color="auto"/>
        <w:left w:val="none" w:sz="0" w:space="0" w:color="auto"/>
        <w:bottom w:val="none" w:sz="0" w:space="0" w:color="auto"/>
        <w:right w:val="none" w:sz="0" w:space="0" w:color="auto"/>
      </w:divBdr>
    </w:div>
    <w:div w:id="105124480">
      <w:bodyDiv w:val="1"/>
      <w:marLeft w:val="0"/>
      <w:marRight w:val="0"/>
      <w:marTop w:val="0"/>
      <w:marBottom w:val="0"/>
      <w:divBdr>
        <w:top w:val="none" w:sz="0" w:space="0" w:color="auto"/>
        <w:left w:val="none" w:sz="0" w:space="0" w:color="auto"/>
        <w:bottom w:val="none" w:sz="0" w:space="0" w:color="auto"/>
        <w:right w:val="none" w:sz="0" w:space="0" w:color="auto"/>
      </w:divBdr>
      <w:divsChild>
        <w:div w:id="977027360">
          <w:marLeft w:val="0"/>
          <w:marRight w:val="0"/>
          <w:marTop w:val="0"/>
          <w:marBottom w:val="0"/>
          <w:divBdr>
            <w:top w:val="none" w:sz="0" w:space="0" w:color="auto"/>
            <w:left w:val="none" w:sz="0" w:space="0" w:color="auto"/>
            <w:bottom w:val="none" w:sz="0" w:space="0" w:color="auto"/>
            <w:right w:val="none" w:sz="0" w:space="0" w:color="auto"/>
          </w:divBdr>
          <w:divsChild>
            <w:div w:id="1592006786">
              <w:marLeft w:val="0"/>
              <w:marRight w:val="0"/>
              <w:marTop w:val="0"/>
              <w:marBottom w:val="0"/>
              <w:divBdr>
                <w:top w:val="none" w:sz="0" w:space="0" w:color="auto"/>
                <w:left w:val="none" w:sz="0" w:space="0" w:color="auto"/>
                <w:bottom w:val="none" w:sz="0" w:space="0" w:color="auto"/>
                <w:right w:val="none" w:sz="0" w:space="0" w:color="auto"/>
              </w:divBdr>
              <w:divsChild>
                <w:div w:id="205068822">
                  <w:marLeft w:val="0"/>
                  <w:marRight w:val="0"/>
                  <w:marTop w:val="0"/>
                  <w:marBottom w:val="0"/>
                  <w:divBdr>
                    <w:top w:val="none" w:sz="0" w:space="0" w:color="auto"/>
                    <w:left w:val="none" w:sz="0" w:space="0" w:color="auto"/>
                    <w:bottom w:val="none" w:sz="0" w:space="0" w:color="auto"/>
                    <w:right w:val="none" w:sz="0" w:space="0" w:color="auto"/>
                  </w:divBdr>
                  <w:divsChild>
                    <w:div w:id="22753300">
                      <w:marLeft w:val="0"/>
                      <w:marRight w:val="0"/>
                      <w:marTop w:val="0"/>
                      <w:marBottom w:val="0"/>
                      <w:divBdr>
                        <w:top w:val="none" w:sz="0" w:space="0" w:color="auto"/>
                        <w:left w:val="none" w:sz="0" w:space="0" w:color="auto"/>
                        <w:bottom w:val="none" w:sz="0" w:space="0" w:color="auto"/>
                        <w:right w:val="none" w:sz="0" w:space="0" w:color="auto"/>
                      </w:divBdr>
                      <w:divsChild>
                        <w:div w:id="346102726">
                          <w:marLeft w:val="0"/>
                          <w:marRight w:val="0"/>
                          <w:marTop w:val="0"/>
                          <w:marBottom w:val="0"/>
                          <w:divBdr>
                            <w:top w:val="none" w:sz="0" w:space="0" w:color="auto"/>
                            <w:left w:val="none" w:sz="0" w:space="0" w:color="auto"/>
                            <w:bottom w:val="none" w:sz="0" w:space="0" w:color="auto"/>
                            <w:right w:val="none" w:sz="0" w:space="0" w:color="auto"/>
                          </w:divBdr>
                          <w:divsChild>
                            <w:div w:id="529536255">
                              <w:marLeft w:val="0"/>
                              <w:marRight w:val="0"/>
                              <w:marTop w:val="0"/>
                              <w:marBottom w:val="0"/>
                              <w:divBdr>
                                <w:top w:val="none" w:sz="0" w:space="0" w:color="auto"/>
                                <w:left w:val="none" w:sz="0" w:space="0" w:color="auto"/>
                                <w:bottom w:val="none" w:sz="0" w:space="0" w:color="auto"/>
                                <w:right w:val="none" w:sz="0" w:space="0" w:color="auto"/>
                              </w:divBdr>
                              <w:divsChild>
                                <w:div w:id="162555288">
                                  <w:marLeft w:val="0"/>
                                  <w:marRight w:val="0"/>
                                  <w:marTop w:val="0"/>
                                  <w:marBottom w:val="0"/>
                                  <w:divBdr>
                                    <w:top w:val="none" w:sz="0" w:space="0" w:color="auto"/>
                                    <w:left w:val="none" w:sz="0" w:space="0" w:color="auto"/>
                                    <w:bottom w:val="none" w:sz="0" w:space="0" w:color="auto"/>
                                    <w:right w:val="none" w:sz="0" w:space="0" w:color="auto"/>
                                  </w:divBdr>
                                  <w:divsChild>
                                    <w:div w:id="653729074">
                                      <w:marLeft w:val="0"/>
                                      <w:marRight w:val="0"/>
                                      <w:marTop w:val="0"/>
                                      <w:marBottom w:val="0"/>
                                      <w:divBdr>
                                        <w:top w:val="none" w:sz="0" w:space="0" w:color="auto"/>
                                        <w:left w:val="none" w:sz="0" w:space="0" w:color="auto"/>
                                        <w:bottom w:val="none" w:sz="0" w:space="0" w:color="auto"/>
                                        <w:right w:val="none" w:sz="0" w:space="0" w:color="auto"/>
                                      </w:divBdr>
                                      <w:divsChild>
                                        <w:div w:id="1013920672">
                                          <w:marLeft w:val="0"/>
                                          <w:marRight w:val="0"/>
                                          <w:marTop w:val="0"/>
                                          <w:marBottom w:val="0"/>
                                          <w:divBdr>
                                            <w:top w:val="none" w:sz="0" w:space="0" w:color="auto"/>
                                            <w:left w:val="none" w:sz="0" w:space="0" w:color="auto"/>
                                            <w:bottom w:val="none" w:sz="0" w:space="0" w:color="auto"/>
                                            <w:right w:val="none" w:sz="0" w:space="0" w:color="auto"/>
                                          </w:divBdr>
                                          <w:divsChild>
                                            <w:div w:id="1498837021">
                                              <w:marLeft w:val="0"/>
                                              <w:marRight w:val="0"/>
                                              <w:marTop w:val="0"/>
                                              <w:marBottom w:val="0"/>
                                              <w:divBdr>
                                                <w:top w:val="none" w:sz="0" w:space="0" w:color="auto"/>
                                                <w:left w:val="none" w:sz="0" w:space="0" w:color="auto"/>
                                                <w:bottom w:val="none" w:sz="0" w:space="0" w:color="auto"/>
                                                <w:right w:val="none" w:sz="0" w:space="0" w:color="auto"/>
                                              </w:divBdr>
                                              <w:divsChild>
                                                <w:div w:id="100305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248294">
      <w:bodyDiv w:val="1"/>
      <w:marLeft w:val="0"/>
      <w:marRight w:val="0"/>
      <w:marTop w:val="0"/>
      <w:marBottom w:val="0"/>
      <w:divBdr>
        <w:top w:val="none" w:sz="0" w:space="0" w:color="auto"/>
        <w:left w:val="none" w:sz="0" w:space="0" w:color="auto"/>
        <w:bottom w:val="none" w:sz="0" w:space="0" w:color="auto"/>
        <w:right w:val="none" w:sz="0" w:space="0" w:color="auto"/>
      </w:divBdr>
      <w:divsChild>
        <w:div w:id="1438063358">
          <w:marLeft w:val="0"/>
          <w:marRight w:val="0"/>
          <w:marTop w:val="0"/>
          <w:marBottom w:val="0"/>
          <w:divBdr>
            <w:top w:val="none" w:sz="0" w:space="0" w:color="auto"/>
            <w:left w:val="none" w:sz="0" w:space="0" w:color="auto"/>
            <w:bottom w:val="none" w:sz="0" w:space="0" w:color="auto"/>
            <w:right w:val="none" w:sz="0" w:space="0" w:color="auto"/>
          </w:divBdr>
        </w:div>
        <w:div w:id="1746298403">
          <w:marLeft w:val="0"/>
          <w:marRight w:val="0"/>
          <w:marTop w:val="0"/>
          <w:marBottom w:val="0"/>
          <w:divBdr>
            <w:top w:val="none" w:sz="0" w:space="0" w:color="auto"/>
            <w:left w:val="none" w:sz="0" w:space="0" w:color="auto"/>
            <w:bottom w:val="none" w:sz="0" w:space="0" w:color="auto"/>
            <w:right w:val="none" w:sz="0" w:space="0" w:color="auto"/>
          </w:divBdr>
        </w:div>
        <w:div w:id="2081705241">
          <w:marLeft w:val="0"/>
          <w:marRight w:val="0"/>
          <w:marTop w:val="0"/>
          <w:marBottom w:val="0"/>
          <w:divBdr>
            <w:top w:val="none" w:sz="0" w:space="0" w:color="auto"/>
            <w:left w:val="none" w:sz="0" w:space="0" w:color="auto"/>
            <w:bottom w:val="none" w:sz="0" w:space="0" w:color="auto"/>
            <w:right w:val="none" w:sz="0" w:space="0" w:color="auto"/>
          </w:divBdr>
        </w:div>
      </w:divsChild>
    </w:div>
    <w:div w:id="149292969">
      <w:bodyDiv w:val="1"/>
      <w:marLeft w:val="0"/>
      <w:marRight w:val="0"/>
      <w:marTop w:val="0"/>
      <w:marBottom w:val="0"/>
      <w:divBdr>
        <w:top w:val="none" w:sz="0" w:space="0" w:color="auto"/>
        <w:left w:val="none" w:sz="0" w:space="0" w:color="auto"/>
        <w:bottom w:val="none" w:sz="0" w:space="0" w:color="auto"/>
        <w:right w:val="none" w:sz="0" w:space="0" w:color="auto"/>
      </w:divBdr>
    </w:div>
    <w:div w:id="150751869">
      <w:bodyDiv w:val="1"/>
      <w:marLeft w:val="0"/>
      <w:marRight w:val="0"/>
      <w:marTop w:val="0"/>
      <w:marBottom w:val="0"/>
      <w:divBdr>
        <w:top w:val="none" w:sz="0" w:space="0" w:color="auto"/>
        <w:left w:val="none" w:sz="0" w:space="0" w:color="auto"/>
        <w:bottom w:val="none" w:sz="0" w:space="0" w:color="auto"/>
        <w:right w:val="none" w:sz="0" w:space="0" w:color="auto"/>
      </w:divBdr>
    </w:div>
    <w:div w:id="182090986">
      <w:bodyDiv w:val="1"/>
      <w:marLeft w:val="0"/>
      <w:marRight w:val="0"/>
      <w:marTop w:val="0"/>
      <w:marBottom w:val="0"/>
      <w:divBdr>
        <w:top w:val="none" w:sz="0" w:space="0" w:color="auto"/>
        <w:left w:val="none" w:sz="0" w:space="0" w:color="auto"/>
        <w:bottom w:val="none" w:sz="0" w:space="0" w:color="auto"/>
        <w:right w:val="none" w:sz="0" w:space="0" w:color="auto"/>
      </w:divBdr>
    </w:div>
    <w:div w:id="225577407">
      <w:bodyDiv w:val="1"/>
      <w:marLeft w:val="0"/>
      <w:marRight w:val="0"/>
      <w:marTop w:val="0"/>
      <w:marBottom w:val="0"/>
      <w:divBdr>
        <w:top w:val="none" w:sz="0" w:space="0" w:color="auto"/>
        <w:left w:val="none" w:sz="0" w:space="0" w:color="auto"/>
        <w:bottom w:val="none" w:sz="0" w:space="0" w:color="auto"/>
        <w:right w:val="none" w:sz="0" w:space="0" w:color="auto"/>
      </w:divBdr>
    </w:div>
    <w:div w:id="285427303">
      <w:bodyDiv w:val="1"/>
      <w:marLeft w:val="0"/>
      <w:marRight w:val="0"/>
      <w:marTop w:val="0"/>
      <w:marBottom w:val="0"/>
      <w:divBdr>
        <w:top w:val="none" w:sz="0" w:space="0" w:color="auto"/>
        <w:left w:val="none" w:sz="0" w:space="0" w:color="auto"/>
        <w:bottom w:val="none" w:sz="0" w:space="0" w:color="auto"/>
        <w:right w:val="none" w:sz="0" w:space="0" w:color="auto"/>
      </w:divBdr>
    </w:div>
    <w:div w:id="297226677">
      <w:bodyDiv w:val="1"/>
      <w:marLeft w:val="0"/>
      <w:marRight w:val="0"/>
      <w:marTop w:val="0"/>
      <w:marBottom w:val="0"/>
      <w:divBdr>
        <w:top w:val="none" w:sz="0" w:space="0" w:color="auto"/>
        <w:left w:val="none" w:sz="0" w:space="0" w:color="auto"/>
        <w:bottom w:val="none" w:sz="0" w:space="0" w:color="auto"/>
        <w:right w:val="none" w:sz="0" w:space="0" w:color="auto"/>
      </w:divBdr>
    </w:div>
    <w:div w:id="323509138">
      <w:bodyDiv w:val="1"/>
      <w:marLeft w:val="0"/>
      <w:marRight w:val="0"/>
      <w:marTop w:val="0"/>
      <w:marBottom w:val="0"/>
      <w:divBdr>
        <w:top w:val="none" w:sz="0" w:space="0" w:color="auto"/>
        <w:left w:val="none" w:sz="0" w:space="0" w:color="auto"/>
        <w:bottom w:val="none" w:sz="0" w:space="0" w:color="auto"/>
        <w:right w:val="none" w:sz="0" w:space="0" w:color="auto"/>
      </w:divBdr>
    </w:div>
    <w:div w:id="326833469">
      <w:bodyDiv w:val="1"/>
      <w:marLeft w:val="0"/>
      <w:marRight w:val="0"/>
      <w:marTop w:val="0"/>
      <w:marBottom w:val="0"/>
      <w:divBdr>
        <w:top w:val="none" w:sz="0" w:space="0" w:color="auto"/>
        <w:left w:val="none" w:sz="0" w:space="0" w:color="auto"/>
        <w:bottom w:val="none" w:sz="0" w:space="0" w:color="auto"/>
        <w:right w:val="none" w:sz="0" w:space="0" w:color="auto"/>
      </w:divBdr>
      <w:divsChild>
        <w:div w:id="1903520922">
          <w:marLeft w:val="0"/>
          <w:marRight w:val="0"/>
          <w:marTop w:val="0"/>
          <w:marBottom w:val="0"/>
          <w:divBdr>
            <w:top w:val="none" w:sz="0" w:space="0" w:color="auto"/>
            <w:left w:val="none" w:sz="0" w:space="0" w:color="auto"/>
            <w:bottom w:val="none" w:sz="0" w:space="0" w:color="auto"/>
            <w:right w:val="none" w:sz="0" w:space="0" w:color="auto"/>
          </w:divBdr>
        </w:div>
        <w:div w:id="2014525457">
          <w:marLeft w:val="0"/>
          <w:marRight w:val="0"/>
          <w:marTop w:val="0"/>
          <w:marBottom w:val="0"/>
          <w:divBdr>
            <w:top w:val="none" w:sz="0" w:space="0" w:color="auto"/>
            <w:left w:val="none" w:sz="0" w:space="0" w:color="auto"/>
            <w:bottom w:val="none" w:sz="0" w:space="0" w:color="auto"/>
            <w:right w:val="none" w:sz="0" w:space="0" w:color="auto"/>
          </w:divBdr>
        </w:div>
        <w:div w:id="2131971778">
          <w:marLeft w:val="0"/>
          <w:marRight w:val="0"/>
          <w:marTop w:val="0"/>
          <w:marBottom w:val="0"/>
          <w:divBdr>
            <w:top w:val="none" w:sz="0" w:space="0" w:color="auto"/>
            <w:left w:val="none" w:sz="0" w:space="0" w:color="auto"/>
            <w:bottom w:val="none" w:sz="0" w:space="0" w:color="auto"/>
            <w:right w:val="none" w:sz="0" w:space="0" w:color="auto"/>
          </w:divBdr>
        </w:div>
      </w:divsChild>
    </w:div>
    <w:div w:id="339508566">
      <w:bodyDiv w:val="1"/>
      <w:marLeft w:val="0"/>
      <w:marRight w:val="0"/>
      <w:marTop w:val="0"/>
      <w:marBottom w:val="0"/>
      <w:divBdr>
        <w:top w:val="none" w:sz="0" w:space="0" w:color="auto"/>
        <w:left w:val="none" w:sz="0" w:space="0" w:color="auto"/>
        <w:bottom w:val="none" w:sz="0" w:space="0" w:color="auto"/>
        <w:right w:val="none" w:sz="0" w:space="0" w:color="auto"/>
      </w:divBdr>
    </w:div>
    <w:div w:id="346175345">
      <w:bodyDiv w:val="1"/>
      <w:marLeft w:val="0"/>
      <w:marRight w:val="0"/>
      <w:marTop w:val="0"/>
      <w:marBottom w:val="0"/>
      <w:divBdr>
        <w:top w:val="none" w:sz="0" w:space="0" w:color="auto"/>
        <w:left w:val="none" w:sz="0" w:space="0" w:color="auto"/>
        <w:bottom w:val="none" w:sz="0" w:space="0" w:color="auto"/>
        <w:right w:val="none" w:sz="0" w:space="0" w:color="auto"/>
      </w:divBdr>
    </w:div>
    <w:div w:id="449012250">
      <w:bodyDiv w:val="1"/>
      <w:marLeft w:val="0"/>
      <w:marRight w:val="0"/>
      <w:marTop w:val="0"/>
      <w:marBottom w:val="0"/>
      <w:divBdr>
        <w:top w:val="none" w:sz="0" w:space="0" w:color="auto"/>
        <w:left w:val="none" w:sz="0" w:space="0" w:color="auto"/>
        <w:bottom w:val="none" w:sz="0" w:space="0" w:color="auto"/>
        <w:right w:val="none" w:sz="0" w:space="0" w:color="auto"/>
      </w:divBdr>
    </w:div>
    <w:div w:id="482115127">
      <w:bodyDiv w:val="1"/>
      <w:marLeft w:val="0"/>
      <w:marRight w:val="0"/>
      <w:marTop w:val="0"/>
      <w:marBottom w:val="0"/>
      <w:divBdr>
        <w:top w:val="none" w:sz="0" w:space="0" w:color="auto"/>
        <w:left w:val="none" w:sz="0" w:space="0" w:color="auto"/>
        <w:bottom w:val="none" w:sz="0" w:space="0" w:color="auto"/>
        <w:right w:val="none" w:sz="0" w:space="0" w:color="auto"/>
      </w:divBdr>
    </w:div>
    <w:div w:id="483163196">
      <w:bodyDiv w:val="1"/>
      <w:marLeft w:val="0"/>
      <w:marRight w:val="0"/>
      <w:marTop w:val="0"/>
      <w:marBottom w:val="0"/>
      <w:divBdr>
        <w:top w:val="none" w:sz="0" w:space="0" w:color="auto"/>
        <w:left w:val="none" w:sz="0" w:space="0" w:color="auto"/>
        <w:bottom w:val="none" w:sz="0" w:space="0" w:color="auto"/>
        <w:right w:val="none" w:sz="0" w:space="0" w:color="auto"/>
      </w:divBdr>
      <w:divsChild>
        <w:div w:id="154106947">
          <w:marLeft w:val="0"/>
          <w:marRight w:val="0"/>
          <w:marTop w:val="0"/>
          <w:marBottom w:val="0"/>
          <w:divBdr>
            <w:top w:val="none" w:sz="0" w:space="0" w:color="auto"/>
            <w:left w:val="none" w:sz="0" w:space="0" w:color="auto"/>
            <w:bottom w:val="none" w:sz="0" w:space="0" w:color="auto"/>
            <w:right w:val="none" w:sz="0" w:space="0" w:color="auto"/>
          </w:divBdr>
        </w:div>
        <w:div w:id="302078369">
          <w:marLeft w:val="0"/>
          <w:marRight w:val="0"/>
          <w:marTop w:val="0"/>
          <w:marBottom w:val="0"/>
          <w:divBdr>
            <w:top w:val="none" w:sz="0" w:space="0" w:color="auto"/>
            <w:left w:val="none" w:sz="0" w:space="0" w:color="auto"/>
            <w:bottom w:val="none" w:sz="0" w:space="0" w:color="auto"/>
            <w:right w:val="none" w:sz="0" w:space="0" w:color="auto"/>
          </w:divBdr>
        </w:div>
        <w:div w:id="1108282119">
          <w:marLeft w:val="0"/>
          <w:marRight w:val="0"/>
          <w:marTop w:val="0"/>
          <w:marBottom w:val="0"/>
          <w:divBdr>
            <w:top w:val="none" w:sz="0" w:space="0" w:color="auto"/>
            <w:left w:val="none" w:sz="0" w:space="0" w:color="auto"/>
            <w:bottom w:val="none" w:sz="0" w:space="0" w:color="auto"/>
            <w:right w:val="none" w:sz="0" w:space="0" w:color="auto"/>
          </w:divBdr>
        </w:div>
      </w:divsChild>
    </w:div>
    <w:div w:id="525169955">
      <w:bodyDiv w:val="1"/>
      <w:marLeft w:val="0"/>
      <w:marRight w:val="0"/>
      <w:marTop w:val="0"/>
      <w:marBottom w:val="0"/>
      <w:divBdr>
        <w:top w:val="none" w:sz="0" w:space="0" w:color="auto"/>
        <w:left w:val="none" w:sz="0" w:space="0" w:color="auto"/>
        <w:bottom w:val="none" w:sz="0" w:space="0" w:color="auto"/>
        <w:right w:val="none" w:sz="0" w:space="0" w:color="auto"/>
      </w:divBdr>
      <w:divsChild>
        <w:div w:id="330451490">
          <w:marLeft w:val="0"/>
          <w:marRight w:val="0"/>
          <w:marTop w:val="0"/>
          <w:marBottom w:val="0"/>
          <w:divBdr>
            <w:top w:val="none" w:sz="0" w:space="0" w:color="auto"/>
            <w:left w:val="none" w:sz="0" w:space="0" w:color="auto"/>
            <w:bottom w:val="none" w:sz="0" w:space="0" w:color="auto"/>
            <w:right w:val="none" w:sz="0" w:space="0" w:color="auto"/>
          </w:divBdr>
        </w:div>
        <w:div w:id="451900672">
          <w:marLeft w:val="0"/>
          <w:marRight w:val="0"/>
          <w:marTop w:val="0"/>
          <w:marBottom w:val="0"/>
          <w:divBdr>
            <w:top w:val="none" w:sz="0" w:space="0" w:color="auto"/>
            <w:left w:val="none" w:sz="0" w:space="0" w:color="auto"/>
            <w:bottom w:val="none" w:sz="0" w:space="0" w:color="auto"/>
            <w:right w:val="none" w:sz="0" w:space="0" w:color="auto"/>
          </w:divBdr>
        </w:div>
        <w:div w:id="591595611">
          <w:marLeft w:val="0"/>
          <w:marRight w:val="0"/>
          <w:marTop w:val="0"/>
          <w:marBottom w:val="0"/>
          <w:divBdr>
            <w:top w:val="none" w:sz="0" w:space="0" w:color="auto"/>
            <w:left w:val="none" w:sz="0" w:space="0" w:color="auto"/>
            <w:bottom w:val="none" w:sz="0" w:space="0" w:color="auto"/>
            <w:right w:val="none" w:sz="0" w:space="0" w:color="auto"/>
          </w:divBdr>
        </w:div>
      </w:divsChild>
    </w:div>
    <w:div w:id="553198053">
      <w:bodyDiv w:val="1"/>
      <w:marLeft w:val="0"/>
      <w:marRight w:val="0"/>
      <w:marTop w:val="0"/>
      <w:marBottom w:val="0"/>
      <w:divBdr>
        <w:top w:val="none" w:sz="0" w:space="0" w:color="auto"/>
        <w:left w:val="none" w:sz="0" w:space="0" w:color="auto"/>
        <w:bottom w:val="none" w:sz="0" w:space="0" w:color="auto"/>
        <w:right w:val="none" w:sz="0" w:space="0" w:color="auto"/>
      </w:divBdr>
    </w:div>
    <w:div w:id="604846389">
      <w:bodyDiv w:val="1"/>
      <w:marLeft w:val="0"/>
      <w:marRight w:val="0"/>
      <w:marTop w:val="0"/>
      <w:marBottom w:val="0"/>
      <w:divBdr>
        <w:top w:val="none" w:sz="0" w:space="0" w:color="auto"/>
        <w:left w:val="none" w:sz="0" w:space="0" w:color="auto"/>
        <w:bottom w:val="none" w:sz="0" w:space="0" w:color="auto"/>
        <w:right w:val="none" w:sz="0" w:space="0" w:color="auto"/>
      </w:divBdr>
    </w:div>
    <w:div w:id="625694431">
      <w:bodyDiv w:val="1"/>
      <w:marLeft w:val="0"/>
      <w:marRight w:val="0"/>
      <w:marTop w:val="0"/>
      <w:marBottom w:val="0"/>
      <w:divBdr>
        <w:top w:val="none" w:sz="0" w:space="0" w:color="auto"/>
        <w:left w:val="none" w:sz="0" w:space="0" w:color="auto"/>
        <w:bottom w:val="none" w:sz="0" w:space="0" w:color="auto"/>
        <w:right w:val="none" w:sz="0" w:space="0" w:color="auto"/>
      </w:divBdr>
    </w:div>
    <w:div w:id="675812946">
      <w:bodyDiv w:val="1"/>
      <w:marLeft w:val="0"/>
      <w:marRight w:val="0"/>
      <w:marTop w:val="0"/>
      <w:marBottom w:val="0"/>
      <w:divBdr>
        <w:top w:val="none" w:sz="0" w:space="0" w:color="auto"/>
        <w:left w:val="none" w:sz="0" w:space="0" w:color="auto"/>
        <w:bottom w:val="none" w:sz="0" w:space="0" w:color="auto"/>
        <w:right w:val="none" w:sz="0" w:space="0" w:color="auto"/>
      </w:divBdr>
      <w:divsChild>
        <w:div w:id="1578242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624666">
      <w:bodyDiv w:val="1"/>
      <w:marLeft w:val="0"/>
      <w:marRight w:val="0"/>
      <w:marTop w:val="0"/>
      <w:marBottom w:val="0"/>
      <w:divBdr>
        <w:top w:val="none" w:sz="0" w:space="0" w:color="auto"/>
        <w:left w:val="none" w:sz="0" w:space="0" w:color="auto"/>
        <w:bottom w:val="none" w:sz="0" w:space="0" w:color="auto"/>
        <w:right w:val="none" w:sz="0" w:space="0" w:color="auto"/>
      </w:divBdr>
    </w:div>
    <w:div w:id="735857927">
      <w:bodyDiv w:val="1"/>
      <w:marLeft w:val="0"/>
      <w:marRight w:val="0"/>
      <w:marTop w:val="0"/>
      <w:marBottom w:val="0"/>
      <w:divBdr>
        <w:top w:val="none" w:sz="0" w:space="0" w:color="auto"/>
        <w:left w:val="none" w:sz="0" w:space="0" w:color="auto"/>
        <w:bottom w:val="none" w:sz="0" w:space="0" w:color="auto"/>
        <w:right w:val="none" w:sz="0" w:space="0" w:color="auto"/>
      </w:divBdr>
      <w:divsChild>
        <w:div w:id="707221725">
          <w:marLeft w:val="0"/>
          <w:marRight w:val="0"/>
          <w:marTop w:val="0"/>
          <w:marBottom w:val="0"/>
          <w:divBdr>
            <w:top w:val="none" w:sz="0" w:space="0" w:color="auto"/>
            <w:left w:val="none" w:sz="0" w:space="0" w:color="auto"/>
            <w:bottom w:val="none" w:sz="0" w:space="0" w:color="auto"/>
            <w:right w:val="none" w:sz="0" w:space="0" w:color="auto"/>
          </w:divBdr>
          <w:divsChild>
            <w:div w:id="1264189448">
              <w:marLeft w:val="0"/>
              <w:marRight w:val="0"/>
              <w:marTop w:val="0"/>
              <w:marBottom w:val="0"/>
              <w:divBdr>
                <w:top w:val="none" w:sz="0" w:space="0" w:color="auto"/>
                <w:left w:val="none" w:sz="0" w:space="0" w:color="auto"/>
                <w:bottom w:val="none" w:sz="0" w:space="0" w:color="auto"/>
                <w:right w:val="none" w:sz="0" w:space="0" w:color="auto"/>
              </w:divBdr>
              <w:divsChild>
                <w:div w:id="1338919963">
                  <w:marLeft w:val="0"/>
                  <w:marRight w:val="0"/>
                  <w:marTop w:val="0"/>
                  <w:marBottom w:val="0"/>
                  <w:divBdr>
                    <w:top w:val="none" w:sz="0" w:space="0" w:color="auto"/>
                    <w:left w:val="none" w:sz="0" w:space="0" w:color="auto"/>
                    <w:bottom w:val="none" w:sz="0" w:space="0" w:color="auto"/>
                    <w:right w:val="none" w:sz="0" w:space="0" w:color="auto"/>
                  </w:divBdr>
                  <w:divsChild>
                    <w:div w:id="1274437207">
                      <w:marLeft w:val="0"/>
                      <w:marRight w:val="0"/>
                      <w:marTop w:val="0"/>
                      <w:marBottom w:val="0"/>
                      <w:divBdr>
                        <w:top w:val="none" w:sz="0" w:space="0" w:color="auto"/>
                        <w:left w:val="none" w:sz="0" w:space="0" w:color="auto"/>
                        <w:bottom w:val="none" w:sz="0" w:space="0" w:color="auto"/>
                        <w:right w:val="none" w:sz="0" w:space="0" w:color="auto"/>
                      </w:divBdr>
                      <w:divsChild>
                        <w:div w:id="565452254">
                          <w:marLeft w:val="0"/>
                          <w:marRight w:val="0"/>
                          <w:marTop w:val="0"/>
                          <w:marBottom w:val="0"/>
                          <w:divBdr>
                            <w:top w:val="none" w:sz="0" w:space="0" w:color="auto"/>
                            <w:left w:val="none" w:sz="0" w:space="0" w:color="auto"/>
                            <w:bottom w:val="none" w:sz="0" w:space="0" w:color="auto"/>
                            <w:right w:val="none" w:sz="0" w:space="0" w:color="auto"/>
                          </w:divBdr>
                          <w:divsChild>
                            <w:div w:id="294142574">
                              <w:marLeft w:val="0"/>
                              <w:marRight w:val="0"/>
                              <w:marTop w:val="0"/>
                              <w:marBottom w:val="0"/>
                              <w:divBdr>
                                <w:top w:val="none" w:sz="0" w:space="0" w:color="auto"/>
                                <w:left w:val="none" w:sz="0" w:space="0" w:color="auto"/>
                                <w:bottom w:val="none" w:sz="0" w:space="0" w:color="auto"/>
                                <w:right w:val="none" w:sz="0" w:space="0" w:color="auto"/>
                              </w:divBdr>
                              <w:divsChild>
                                <w:div w:id="1411654615">
                                  <w:marLeft w:val="0"/>
                                  <w:marRight w:val="0"/>
                                  <w:marTop w:val="0"/>
                                  <w:marBottom w:val="0"/>
                                  <w:divBdr>
                                    <w:top w:val="none" w:sz="0" w:space="0" w:color="auto"/>
                                    <w:left w:val="none" w:sz="0" w:space="0" w:color="auto"/>
                                    <w:bottom w:val="none" w:sz="0" w:space="0" w:color="auto"/>
                                    <w:right w:val="none" w:sz="0" w:space="0" w:color="auto"/>
                                  </w:divBdr>
                                  <w:divsChild>
                                    <w:div w:id="709450467">
                                      <w:marLeft w:val="0"/>
                                      <w:marRight w:val="0"/>
                                      <w:marTop w:val="0"/>
                                      <w:marBottom w:val="0"/>
                                      <w:divBdr>
                                        <w:top w:val="none" w:sz="0" w:space="0" w:color="auto"/>
                                        <w:left w:val="none" w:sz="0" w:space="0" w:color="auto"/>
                                        <w:bottom w:val="none" w:sz="0" w:space="0" w:color="auto"/>
                                        <w:right w:val="none" w:sz="0" w:space="0" w:color="auto"/>
                                      </w:divBdr>
                                      <w:divsChild>
                                        <w:div w:id="1001005249">
                                          <w:marLeft w:val="0"/>
                                          <w:marRight w:val="0"/>
                                          <w:marTop w:val="0"/>
                                          <w:marBottom w:val="0"/>
                                          <w:divBdr>
                                            <w:top w:val="none" w:sz="0" w:space="0" w:color="auto"/>
                                            <w:left w:val="none" w:sz="0" w:space="0" w:color="auto"/>
                                            <w:bottom w:val="none" w:sz="0" w:space="0" w:color="auto"/>
                                            <w:right w:val="none" w:sz="0" w:space="0" w:color="auto"/>
                                          </w:divBdr>
                                          <w:divsChild>
                                            <w:div w:id="693846699">
                                              <w:marLeft w:val="0"/>
                                              <w:marRight w:val="0"/>
                                              <w:marTop w:val="0"/>
                                              <w:marBottom w:val="0"/>
                                              <w:divBdr>
                                                <w:top w:val="none" w:sz="0" w:space="0" w:color="auto"/>
                                                <w:left w:val="none" w:sz="0" w:space="0" w:color="auto"/>
                                                <w:bottom w:val="none" w:sz="0" w:space="0" w:color="auto"/>
                                                <w:right w:val="none" w:sz="0" w:space="0" w:color="auto"/>
                                              </w:divBdr>
                                              <w:divsChild>
                                                <w:div w:id="130569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0583844">
      <w:bodyDiv w:val="1"/>
      <w:marLeft w:val="0"/>
      <w:marRight w:val="0"/>
      <w:marTop w:val="0"/>
      <w:marBottom w:val="0"/>
      <w:divBdr>
        <w:top w:val="none" w:sz="0" w:space="0" w:color="auto"/>
        <w:left w:val="none" w:sz="0" w:space="0" w:color="auto"/>
        <w:bottom w:val="none" w:sz="0" w:space="0" w:color="auto"/>
        <w:right w:val="none" w:sz="0" w:space="0" w:color="auto"/>
      </w:divBdr>
    </w:div>
    <w:div w:id="809635024">
      <w:bodyDiv w:val="1"/>
      <w:marLeft w:val="0"/>
      <w:marRight w:val="0"/>
      <w:marTop w:val="0"/>
      <w:marBottom w:val="0"/>
      <w:divBdr>
        <w:top w:val="none" w:sz="0" w:space="0" w:color="auto"/>
        <w:left w:val="none" w:sz="0" w:space="0" w:color="auto"/>
        <w:bottom w:val="none" w:sz="0" w:space="0" w:color="auto"/>
        <w:right w:val="none" w:sz="0" w:space="0" w:color="auto"/>
      </w:divBdr>
    </w:div>
    <w:div w:id="855847338">
      <w:bodyDiv w:val="1"/>
      <w:marLeft w:val="0"/>
      <w:marRight w:val="0"/>
      <w:marTop w:val="0"/>
      <w:marBottom w:val="0"/>
      <w:divBdr>
        <w:top w:val="none" w:sz="0" w:space="0" w:color="auto"/>
        <w:left w:val="none" w:sz="0" w:space="0" w:color="auto"/>
        <w:bottom w:val="none" w:sz="0" w:space="0" w:color="auto"/>
        <w:right w:val="none" w:sz="0" w:space="0" w:color="auto"/>
      </w:divBdr>
    </w:div>
    <w:div w:id="941033346">
      <w:bodyDiv w:val="1"/>
      <w:marLeft w:val="0"/>
      <w:marRight w:val="0"/>
      <w:marTop w:val="0"/>
      <w:marBottom w:val="0"/>
      <w:divBdr>
        <w:top w:val="none" w:sz="0" w:space="0" w:color="auto"/>
        <w:left w:val="none" w:sz="0" w:space="0" w:color="auto"/>
        <w:bottom w:val="none" w:sz="0" w:space="0" w:color="auto"/>
        <w:right w:val="none" w:sz="0" w:space="0" w:color="auto"/>
      </w:divBdr>
    </w:div>
    <w:div w:id="981547158">
      <w:bodyDiv w:val="1"/>
      <w:marLeft w:val="0"/>
      <w:marRight w:val="0"/>
      <w:marTop w:val="0"/>
      <w:marBottom w:val="0"/>
      <w:divBdr>
        <w:top w:val="none" w:sz="0" w:space="0" w:color="auto"/>
        <w:left w:val="none" w:sz="0" w:space="0" w:color="auto"/>
        <w:bottom w:val="none" w:sz="0" w:space="0" w:color="auto"/>
        <w:right w:val="none" w:sz="0" w:space="0" w:color="auto"/>
      </w:divBdr>
    </w:div>
    <w:div w:id="1009409085">
      <w:bodyDiv w:val="1"/>
      <w:marLeft w:val="0"/>
      <w:marRight w:val="0"/>
      <w:marTop w:val="0"/>
      <w:marBottom w:val="0"/>
      <w:divBdr>
        <w:top w:val="none" w:sz="0" w:space="0" w:color="auto"/>
        <w:left w:val="none" w:sz="0" w:space="0" w:color="auto"/>
        <w:bottom w:val="none" w:sz="0" w:space="0" w:color="auto"/>
        <w:right w:val="none" w:sz="0" w:space="0" w:color="auto"/>
      </w:divBdr>
    </w:div>
    <w:div w:id="1063874247">
      <w:bodyDiv w:val="1"/>
      <w:marLeft w:val="0"/>
      <w:marRight w:val="0"/>
      <w:marTop w:val="0"/>
      <w:marBottom w:val="0"/>
      <w:divBdr>
        <w:top w:val="none" w:sz="0" w:space="0" w:color="auto"/>
        <w:left w:val="none" w:sz="0" w:space="0" w:color="auto"/>
        <w:bottom w:val="none" w:sz="0" w:space="0" w:color="auto"/>
        <w:right w:val="none" w:sz="0" w:space="0" w:color="auto"/>
      </w:divBdr>
    </w:div>
    <w:div w:id="1067412654">
      <w:bodyDiv w:val="1"/>
      <w:marLeft w:val="0"/>
      <w:marRight w:val="0"/>
      <w:marTop w:val="0"/>
      <w:marBottom w:val="0"/>
      <w:divBdr>
        <w:top w:val="none" w:sz="0" w:space="0" w:color="auto"/>
        <w:left w:val="none" w:sz="0" w:space="0" w:color="auto"/>
        <w:bottom w:val="none" w:sz="0" w:space="0" w:color="auto"/>
        <w:right w:val="none" w:sz="0" w:space="0" w:color="auto"/>
      </w:divBdr>
      <w:divsChild>
        <w:div w:id="270817858">
          <w:marLeft w:val="0"/>
          <w:marRight w:val="0"/>
          <w:marTop w:val="0"/>
          <w:marBottom w:val="0"/>
          <w:divBdr>
            <w:top w:val="none" w:sz="0" w:space="0" w:color="auto"/>
            <w:left w:val="none" w:sz="0" w:space="0" w:color="auto"/>
            <w:bottom w:val="none" w:sz="0" w:space="0" w:color="auto"/>
            <w:right w:val="none" w:sz="0" w:space="0" w:color="auto"/>
          </w:divBdr>
        </w:div>
        <w:div w:id="1235122470">
          <w:marLeft w:val="0"/>
          <w:marRight w:val="0"/>
          <w:marTop w:val="0"/>
          <w:marBottom w:val="0"/>
          <w:divBdr>
            <w:top w:val="none" w:sz="0" w:space="0" w:color="auto"/>
            <w:left w:val="none" w:sz="0" w:space="0" w:color="auto"/>
            <w:bottom w:val="none" w:sz="0" w:space="0" w:color="auto"/>
            <w:right w:val="none" w:sz="0" w:space="0" w:color="auto"/>
          </w:divBdr>
        </w:div>
        <w:div w:id="1507288201">
          <w:marLeft w:val="0"/>
          <w:marRight w:val="0"/>
          <w:marTop w:val="0"/>
          <w:marBottom w:val="0"/>
          <w:divBdr>
            <w:top w:val="none" w:sz="0" w:space="0" w:color="auto"/>
            <w:left w:val="none" w:sz="0" w:space="0" w:color="auto"/>
            <w:bottom w:val="none" w:sz="0" w:space="0" w:color="auto"/>
            <w:right w:val="none" w:sz="0" w:space="0" w:color="auto"/>
          </w:divBdr>
        </w:div>
        <w:div w:id="1939632705">
          <w:marLeft w:val="0"/>
          <w:marRight w:val="0"/>
          <w:marTop w:val="0"/>
          <w:marBottom w:val="0"/>
          <w:divBdr>
            <w:top w:val="none" w:sz="0" w:space="0" w:color="auto"/>
            <w:left w:val="none" w:sz="0" w:space="0" w:color="auto"/>
            <w:bottom w:val="none" w:sz="0" w:space="0" w:color="auto"/>
            <w:right w:val="none" w:sz="0" w:space="0" w:color="auto"/>
          </w:divBdr>
        </w:div>
      </w:divsChild>
    </w:div>
    <w:div w:id="1073968083">
      <w:bodyDiv w:val="1"/>
      <w:marLeft w:val="0"/>
      <w:marRight w:val="0"/>
      <w:marTop w:val="0"/>
      <w:marBottom w:val="0"/>
      <w:divBdr>
        <w:top w:val="none" w:sz="0" w:space="0" w:color="auto"/>
        <w:left w:val="none" w:sz="0" w:space="0" w:color="auto"/>
        <w:bottom w:val="none" w:sz="0" w:space="0" w:color="auto"/>
        <w:right w:val="none" w:sz="0" w:space="0" w:color="auto"/>
      </w:divBdr>
      <w:divsChild>
        <w:div w:id="296375863">
          <w:marLeft w:val="0"/>
          <w:marRight w:val="0"/>
          <w:marTop w:val="0"/>
          <w:marBottom w:val="0"/>
          <w:divBdr>
            <w:top w:val="none" w:sz="0" w:space="0" w:color="auto"/>
            <w:left w:val="none" w:sz="0" w:space="0" w:color="auto"/>
            <w:bottom w:val="none" w:sz="0" w:space="0" w:color="auto"/>
            <w:right w:val="none" w:sz="0" w:space="0" w:color="auto"/>
          </w:divBdr>
        </w:div>
        <w:div w:id="564804586">
          <w:marLeft w:val="0"/>
          <w:marRight w:val="0"/>
          <w:marTop w:val="0"/>
          <w:marBottom w:val="0"/>
          <w:divBdr>
            <w:top w:val="none" w:sz="0" w:space="0" w:color="auto"/>
            <w:left w:val="none" w:sz="0" w:space="0" w:color="auto"/>
            <w:bottom w:val="none" w:sz="0" w:space="0" w:color="auto"/>
            <w:right w:val="none" w:sz="0" w:space="0" w:color="auto"/>
          </w:divBdr>
        </w:div>
        <w:div w:id="604196704">
          <w:marLeft w:val="0"/>
          <w:marRight w:val="0"/>
          <w:marTop w:val="0"/>
          <w:marBottom w:val="0"/>
          <w:divBdr>
            <w:top w:val="none" w:sz="0" w:space="0" w:color="auto"/>
            <w:left w:val="none" w:sz="0" w:space="0" w:color="auto"/>
            <w:bottom w:val="none" w:sz="0" w:space="0" w:color="auto"/>
            <w:right w:val="none" w:sz="0" w:space="0" w:color="auto"/>
          </w:divBdr>
        </w:div>
        <w:div w:id="1123427162">
          <w:marLeft w:val="0"/>
          <w:marRight w:val="0"/>
          <w:marTop w:val="0"/>
          <w:marBottom w:val="0"/>
          <w:divBdr>
            <w:top w:val="none" w:sz="0" w:space="0" w:color="auto"/>
            <w:left w:val="none" w:sz="0" w:space="0" w:color="auto"/>
            <w:bottom w:val="none" w:sz="0" w:space="0" w:color="auto"/>
            <w:right w:val="none" w:sz="0" w:space="0" w:color="auto"/>
          </w:divBdr>
        </w:div>
      </w:divsChild>
    </w:div>
    <w:div w:id="1086338788">
      <w:bodyDiv w:val="1"/>
      <w:marLeft w:val="0"/>
      <w:marRight w:val="0"/>
      <w:marTop w:val="0"/>
      <w:marBottom w:val="0"/>
      <w:divBdr>
        <w:top w:val="none" w:sz="0" w:space="0" w:color="auto"/>
        <w:left w:val="none" w:sz="0" w:space="0" w:color="auto"/>
        <w:bottom w:val="none" w:sz="0" w:space="0" w:color="auto"/>
        <w:right w:val="none" w:sz="0" w:space="0" w:color="auto"/>
      </w:divBdr>
      <w:divsChild>
        <w:div w:id="318658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3214851">
      <w:bodyDiv w:val="1"/>
      <w:marLeft w:val="0"/>
      <w:marRight w:val="0"/>
      <w:marTop w:val="0"/>
      <w:marBottom w:val="0"/>
      <w:divBdr>
        <w:top w:val="none" w:sz="0" w:space="0" w:color="auto"/>
        <w:left w:val="none" w:sz="0" w:space="0" w:color="auto"/>
        <w:bottom w:val="none" w:sz="0" w:space="0" w:color="auto"/>
        <w:right w:val="none" w:sz="0" w:space="0" w:color="auto"/>
      </w:divBdr>
      <w:divsChild>
        <w:div w:id="211967033">
          <w:marLeft w:val="0"/>
          <w:marRight w:val="0"/>
          <w:marTop w:val="0"/>
          <w:marBottom w:val="0"/>
          <w:divBdr>
            <w:top w:val="none" w:sz="0" w:space="0" w:color="auto"/>
            <w:left w:val="none" w:sz="0" w:space="0" w:color="auto"/>
            <w:bottom w:val="none" w:sz="0" w:space="0" w:color="auto"/>
            <w:right w:val="none" w:sz="0" w:space="0" w:color="auto"/>
          </w:divBdr>
        </w:div>
        <w:div w:id="221020141">
          <w:marLeft w:val="0"/>
          <w:marRight w:val="0"/>
          <w:marTop w:val="0"/>
          <w:marBottom w:val="0"/>
          <w:divBdr>
            <w:top w:val="none" w:sz="0" w:space="0" w:color="auto"/>
            <w:left w:val="none" w:sz="0" w:space="0" w:color="auto"/>
            <w:bottom w:val="none" w:sz="0" w:space="0" w:color="auto"/>
            <w:right w:val="none" w:sz="0" w:space="0" w:color="auto"/>
          </w:divBdr>
        </w:div>
        <w:div w:id="378555994">
          <w:marLeft w:val="0"/>
          <w:marRight w:val="0"/>
          <w:marTop w:val="0"/>
          <w:marBottom w:val="0"/>
          <w:divBdr>
            <w:top w:val="none" w:sz="0" w:space="0" w:color="auto"/>
            <w:left w:val="none" w:sz="0" w:space="0" w:color="auto"/>
            <w:bottom w:val="none" w:sz="0" w:space="0" w:color="auto"/>
            <w:right w:val="none" w:sz="0" w:space="0" w:color="auto"/>
          </w:divBdr>
        </w:div>
        <w:div w:id="438985553">
          <w:marLeft w:val="0"/>
          <w:marRight w:val="0"/>
          <w:marTop w:val="0"/>
          <w:marBottom w:val="0"/>
          <w:divBdr>
            <w:top w:val="none" w:sz="0" w:space="0" w:color="auto"/>
            <w:left w:val="none" w:sz="0" w:space="0" w:color="auto"/>
            <w:bottom w:val="none" w:sz="0" w:space="0" w:color="auto"/>
            <w:right w:val="none" w:sz="0" w:space="0" w:color="auto"/>
          </w:divBdr>
        </w:div>
        <w:div w:id="639775230">
          <w:marLeft w:val="0"/>
          <w:marRight w:val="0"/>
          <w:marTop w:val="0"/>
          <w:marBottom w:val="0"/>
          <w:divBdr>
            <w:top w:val="none" w:sz="0" w:space="0" w:color="auto"/>
            <w:left w:val="none" w:sz="0" w:space="0" w:color="auto"/>
            <w:bottom w:val="none" w:sz="0" w:space="0" w:color="auto"/>
            <w:right w:val="none" w:sz="0" w:space="0" w:color="auto"/>
          </w:divBdr>
        </w:div>
        <w:div w:id="855457788">
          <w:marLeft w:val="0"/>
          <w:marRight w:val="0"/>
          <w:marTop w:val="0"/>
          <w:marBottom w:val="0"/>
          <w:divBdr>
            <w:top w:val="none" w:sz="0" w:space="0" w:color="auto"/>
            <w:left w:val="none" w:sz="0" w:space="0" w:color="auto"/>
            <w:bottom w:val="none" w:sz="0" w:space="0" w:color="auto"/>
            <w:right w:val="none" w:sz="0" w:space="0" w:color="auto"/>
          </w:divBdr>
        </w:div>
        <w:div w:id="1264413793">
          <w:marLeft w:val="0"/>
          <w:marRight w:val="0"/>
          <w:marTop w:val="0"/>
          <w:marBottom w:val="0"/>
          <w:divBdr>
            <w:top w:val="none" w:sz="0" w:space="0" w:color="auto"/>
            <w:left w:val="none" w:sz="0" w:space="0" w:color="auto"/>
            <w:bottom w:val="none" w:sz="0" w:space="0" w:color="auto"/>
            <w:right w:val="none" w:sz="0" w:space="0" w:color="auto"/>
          </w:divBdr>
        </w:div>
        <w:div w:id="1297759996">
          <w:marLeft w:val="0"/>
          <w:marRight w:val="0"/>
          <w:marTop w:val="0"/>
          <w:marBottom w:val="0"/>
          <w:divBdr>
            <w:top w:val="none" w:sz="0" w:space="0" w:color="auto"/>
            <w:left w:val="none" w:sz="0" w:space="0" w:color="auto"/>
            <w:bottom w:val="none" w:sz="0" w:space="0" w:color="auto"/>
            <w:right w:val="none" w:sz="0" w:space="0" w:color="auto"/>
          </w:divBdr>
        </w:div>
        <w:div w:id="1388798000">
          <w:marLeft w:val="0"/>
          <w:marRight w:val="0"/>
          <w:marTop w:val="0"/>
          <w:marBottom w:val="0"/>
          <w:divBdr>
            <w:top w:val="none" w:sz="0" w:space="0" w:color="auto"/>
            <w:left w:val="none" w:sz="0" w:space="0" w:color="auto"/>
            <w:bottom w:val="none" w:sz="0" w:space="0" w:color="auto"/>
            <w:right w:val="none" w:sz="0" w:space="0" w:color="auto"/>
          </w:divBdr>
        </w:div>
        <w:div w:id="1442454969">
          <w:marLeft w:val="0"/>
          <w:marRight w:val="0"/>
          <w:marTop w:val="0"/>
          <w:marBottom w:val="0"/>
          <w:divBdr>
            <w:top w:val="none" w:sz="0" w:space="0" w:color="auto"/>
            <w:left w:val="none" w:sz="0" w:space="0" w:color="auto"/>
            <w:bottom w:val="none" w:sz="0" w:space="0" w:color="auto"/>
            <w:right w:val="none" w:sz="0" w:space="0" w:color="auto"/>
          </w:divBdr>
        </w:div>
        <w:div w:id="1521698468">
          <w:marLeft w:val="0"/>
          <w:marRight w:val="0"/>
          <w:marTop w:val="0"/>
          <w:marBottom w:val="0"/>
          <w:divBdr>
            <w:top w:val="none" w:sz="0" w:space="0" w:color="auto"/>
            <w:left w:val="none" w:sz="0" w:space="0" w:color="auto"/>
            <w:bottom w:val="none" w:sz="0" w:space="0" w:color="auto"/>
            <w:right w:val="none" w:sz="0" w:space="0" w:color="auto"/>
          </w:divBdr>
        </w:div>
        <w:div w:id="1549344450">
          <w:marLeft w:val="0"/>
          <w:marRight w:val="0"/>
          <w:marTop w:val="0"/>
          <w:marBottom w:val="0"/>
          <w:divBdr>
            <w:top w:val="none" w:sz="0" w:space="0" w:color="auto"/>
            <w:left w:val="none" w:sz="0" w:space="0" w:color="auto"/>
            <w:bottom w:val="none" w:sz="0" w:space="0" w:color="auto"/>
            <w:right w:val="none" w:sz="0" w:space="0" w:color="auto"/>
          </w:divBdr>
        </w:div>
        <w:div w:id="1831477619">
          <w:marLeft w:val="0"/>
          <w:marRight w:val="0"/>
          <w:marTop w:val="0"/>
          <w:marBottom w:val="0"/>
          <w:divBdr>
            <w:top w:val="none" w:sz="0" w:space="0" w:color="auto"/>
            <w:left w:val="none" w:sz="0" w:space="0" w:color="auto"/>
            <w:bottom w:val="none" w:sz="0" w:space="0" w:color="auto"/>
            <w:right w:val="none" w:sz="0" w:space="0" w:color="auto"/>
          </w:divBdr>
        </w:div>
        <w:div w:id="1837529062">
          <w:marLeft w:val="0"/>
          <w:marRight w:val="0"/>
          <w:marTop w:val="0"/>
          <w:marBottom w:val="0"/>
          <w:divBdr>
            <w:top w:val="none" w:sz="0" w:space="0" w:color="auto"/>
            <w:left w:val="none" w:sz="0" w:space="0" w:color="auto"/>
            <w:bottom w:val="none" w:sz="0" w:space="0" w:color="auto"/>
            <w:right w:val="none" w:sz="0" w:space="0" w:color="auto"/>
          </w:divBdr>
        </w:div>
        <w:div w:id="1985616385">
          <w:marLeft w:val="0"/>
          <w:marRight w:val="0"/>
          <w:marTop w:val="0"/>
          <w:marBottom w:val="0"/>
          <w:divBdr>
            <w:top w:val="none" w:sz="0" w:space="0" w:color="auto"/>
            <w:left w:val="none" w:sz="0" w:space="0" w:color="auto"/>
            <w:bottom w:val="none" w:sz="0" w:space="0" w:color="auto"/>
            <w:right w:val="none" w:sz="0" w:space="0" w:color="auto"/>
          </w:divBdr>
        </w:div>
        <w:div w:id="2011983672">
          <w:marLeft w:val="0"/>
          <w:marRight w:val="0"/>
          <w:marTop w:val="0"/>
          <w:marBottom w:val="0"/>
          <w:divBdr>
            <w:top w:val="none" w:sz="0" w:space="0" w:color="auto"/>
            <w:left w:val="none" w:sz="0" w:space="0" w:color="auto"/>
            <w:bottom w:val="none" w:sz="0" w:space="0" w:color="auto"/>
            <w:right w:val="none" w:sz="0" w:space="0" w:color="auto"/>
          </w:divBdr>
        </w:div>
        <w:div w:id="2096591523">
          <w:marLeft w:val="0"/>
          <w:marRight w:val="0"/>
          <w:marTop w:val="0"/>
          <w:marBottom w:val="0"/>
          <w:divBdr>
            <w:top w:val="none" w:sz="0" w:space="0" w:color="auto"/>
            <w:left w:val="none" w:sz="0" w:space="0" w:color="auto"/>
            <w:bottom w:val="none" w:sz="0" w:space="0" w:color="auto"/>
            <w:right w:val="none" w:sz="0" w:space="0" w:color="auto"/>
          </w:divBdr>
        </w:div>
      </w:divsChild>
    </w:div>
    <w:div w:id="1169953641">
      <w:bodyDiv w:val="1"/>
      <w:marLeft w:val="0"/>
      <w:marRight w:val="0"/>
      <w:marTop w:val="0"/>
      <w:marBottom w:val="0"/>
      <w:divBdr>
        <w:top w:val="none" w:sz="0" w:space="0" w:color="auto"/>
        <w:left w:val="none" w:sz="0" w:space="0" w:color="auto"/>
        <w:bottom w:val="none" w:sz="0" w:space="0" w:color="auto"/>
        <w:right w:val="none" w:sz="0" w:space="0" w:color="auto"/>
      </w:divBdr>
      <w:divsChild>
        <w:div w:id="418479478">
          <w:marLeft w:val="0"/>
          <w:marRight w:val="0"/>
          <w:marTop w:val="0"/>
          <w:marBottom w:val="0"/>
          <w:divBdr>
            <w:top w:val="none" w:sz="0" w:space="0" w:color="auto"/>
            <w:left w:val="none" w:sz="0" w:space="0" w:color="auto"/>
            <w:bottom w:val="none" w:sz="0" w:space="0" w:color="auto"/>
            <w:right w:val="none" w:sz="0" w:space="0" w:color="auto"/>
          </w:divBdr>
          <w:divsChild>
            <w:div w:id="651981272">
              <w:marLeft w:val="0"/>
              <w:marRight w:val="0"/>
              <w:marTop w:val="0"/>
              <w:marBottom w:val="0"/>
              <w:divBdr>
                <w:top w:val="none" w:sz="0" w:space="0" w:color="auto"/>
                <w:left w:val="none" w:sz="0" w:space="0" w:color="auto"/>
                <w:bottom w:val="none" w:sz="0" w:space="0" w:color="auto"/>
                <w:right w:val="none" w:sz="0" w:space="0" w:color="auto"/>
              </w:divBdr>
              <w:divsChild>
                <w:div w:id="2058049249">
                  <w:marLeft w:val="0"/>
                  <w:marRight w:val="0"/>
                  <w:marTop w:val="0"/>
                  <w:marBottom w:val="0"/>
                  <w:divBdr>
                    <w:top w:val="none" w:sz="0" w:space="0" w:color="auto"/>
                    <w:left w:val="none" w:sz="0" w:space="0" w:color="auto"/>
                    <w:bottom w:val="none" w:sz="0" w:space="0" w:color="auto"/>
                    <w:right w:val="none" w:sz="0" w:space="0" w:color="auto"/>
                  </w:divBdr>
                  <w:divsChild>
                    <w:div w:id="1997685361">
                      <w:marLeft w:val="0"/>
                      <w:marRight w:val="0"/>
                      <w:marTop w:val="0"/>
                      <w:marBottom w:val="0"/>
                      <w:divBdr>
                        <w:top w:val="none" w:sz="0" w:space="0" w:color="auto"/>
                        <w:left w:val="none" w:sz="0" w:space="0" w:color="auto"/>
                        <w:bottom w:val="none" w:sz="0" w:space="0" w:color="auto"/>
                        <w:right w:val="none" w:sz="0" w:space="0" w:color="auto"/>
                      </w:divBdr>
                      <w:divsChild>
                        <w:div w:id="371347208">
                          <w:marLeft w:val="0"/>
                          <w:marRight w:val="0"/>
                          <w:marTop w:val="0"/>
                          <w:marBottom w:val="0"/>
                          <w:divBdr>
                            <w:top w:val="none" w:sz="0" w:space="0" w:color="auto"/>
                            <w:left w:val="none" w:sz="0" w:space="0" w:color="auto"/>
                            <w:bottom w:val="none" w:sz="0" w:space="0" w:color="auto"/>
                            <w:right w:val="none" w:sz="0" w:space="0" w:color="auto"/>
                          </w:divBdr>
                          <w:divsChild>
                            <w:div w:id="1849906976">
                              <w:marLeft w:val="0"/>
                              <w:marRight w:val="0"/>
                              <w:marTop w:val="0"/>
                              <w:marBottom w:val="0"/>
                              <w:divBdr>
                                <w:top w:val="none" w:sz="0" w:space="0" w:color="auto"/>
                                <w:left w:val="none" w:sz="0" w:space="0" w:color="auto"/>
                                <w:bottom w:val="none" w:sz="0" w:space="0" w:color="auto"/>
                                <w:right w:val="none" w:sz="0" w:space="0" w:color="auto"/>
                              </w:divBdr>
                              <w:divsChild>
                                <w:div w:id="159365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0680629">
      <w:bodyDiv w:val="1"/>
      <w:marLeft w:val="0"/>
      <w:marRight w:val="0"/>
      <w:marTop w:val="0"/>
      <w:marBottom w:val="0"/>
      <w:divBdr>
        <w:top w:val="none" w:sz="0" w:space="0" w:color="auto"/>
        <w:left w:val="none" w:sz="0" w:space="0" w:color="auto"/>
        <w:bottom w:val="none" w:sz="0" w:space="0" w:color="auto"/>
        <w:right w:val="none" w:sz="0" w:space="0" w:color="auto"/>
      </w:divBdr>
    </w:div>
    <w:div w:id="1176724340">
      <w:bodyDiv w:val="1"/>
      <w:marLeft w:val="0"/>
      <w:marRight w:val="0"/>
      <w:marTop w:val="0"/>
      <w:marBottom w:val="0"/>
      <w:divBdr>
        <w:top w:val="none" w:sz="0" w:space="0" w:color="auto"/>
        <w:left w:val="none" w:sz="0" w:space="0" w:color="auto"/>
        <w:bottom w:val="none" w:sz="0" w:space="0" w:color="auto"/>
        <w:right w:val="none" w:sz="0" w:space="0" w:color="auto"/>
      </w:divBdr>
    </w:div>
    <w:div w:id="1176962232">
      <w:bodyDiv w:val="1"/>
      <w:marLeft w:val="0"/>
      <w:marRight w:val="0"/>
      <w:marTop w:val="0"/>
      <w:marBottom w:val="0"/>
      <w:divBdr>
        <w:top w:val="none" w:sz="0" w:space="0" w:color="auto"/>
        <w:left w:val="none" w:sz="0" w:space="0" w:color="auto"/>
        <w:bottom w:val="none" w:sz="0" w:space="0" w:color="auto"/>
        <w:right w:val="none" w:sz="0" w:space="0" w:color="auto"/>
      </w:divBdr>
    </w:div>
    <w:div w:id="1214463970">
      <w:bodyDiv w:val="1"/>
      <w:marLeft w:val="0"/>
      <w:marRight w:val="0"/>
      <w:marTop w:val="0"/>
      <w:marBottom w:val="0"/>
      <w:divBdr>
        <w:top w:val="none" w:sz="0" w:space="0" w:color="auto"/>
        <w:left w:val="none" w:sz="0" w:space="0" w:color="auto"/>
        <w:bottom w:val="none" w:sz="0" w:space="0" w:color="auto"/>
        <w:right w:val="none" w:sz="0" w:space="0" w:color="auto"/>
      </w:divBdr>
      <w:divsChild>
        <w:div w:id="1352150798">
          <w:marLeft w:val="0"/>
          <w:marRight w:val="0"/>
          <w:marTop w:val="0"/>
          <w:marBottom w:val="0"/>
          <w:divBdr>
            <w:top w:val="none" w:sz="0" w:space="0" w:color="auto"/>
            <w:left w:val="none" w:sz="0" w:space="0" w:color="auto"/>
            <w:bottom w:val="none" w:sz="0" w:space="0" w:color="auto"/>
            <w:right w:val="none" w:sz="0" w:space="0" w:color="auto"/>
          </w:divBdr>
        </w:div>
      </w:divsChild>
    </w:div>
    <w:div w:id="1285162556">
      <w:bodyDiv w:val="1"/>
      <w:marLeft w:val="0"/>
      <w:marRight w:val="0"/>
      <w:marTop w:val="0"/>
      <w:marBottom w:val="0"/>
      <w:divBdr>
        <w:top w:val="none" w:sz="0" w:space="0" w:color="auto"/>
        <w:left w:val="none" w:sz="0" w:space="0" w:color="auto"/>
        <w:bottom w:val="none" w:sz="0" w:space="0" w:color="auto"/>
        <w:right w:val="none" w:sz="0" w:space="0" w:color="auto"/>
      </w:divBdr>
    </w:div>
    <w:div w:id="1289697881">
      <w:bodyDiv w:val="1"/>
      <w:marLeft w:val="0"/>
      <w:marRight w:val="0"/>
      <w:marTop w:val="0"/>
      <w:marBottom w:val="0"/>
      <w:divBdr>
        <w:top w:val="none" w:sz="0" w:space="0" w:color="auto"/>
        <w:left w:val="none" w:sz="0" w:space="0" w:color="auto"/>
        <w:bottom w:val="none" w:sz="0" w:space="0" w:color="auto"/>
        <w:right w:val="none" w:sz="0" w:space="0" w:color="auto"/>
      </w:divBdr>
    </w:div>
    <w:div w:id="1424063308">
      <w:bodyDiv w:val="1"/>
      <w:marLeft w:val="0"/>
      <w:marRight w:val="0"/>
      <w:marTop w:val="0"/>
      <w:marBottom w:val="0"/>
      <w:divBdr>
        <w:top w:val="none" w:sz="0" w:space="0" w:color="auto"/>
        <w:left w:val="none" w:sz="0" w:space="0" w:color="auto"/>
        <w:bottom w:val="none" w:sz="0" w:space="0" w:color="auto"/>
        <w:right w:val="none" w:sz="0" w:space="0" w:color="auto"/>
      </w:divBdr>
    </w:div>
    <w:div w:id="1443499906">
      <w:bodyDiv w:val="1"/>
      <w:marLeft w:val="0"/>
      <w:marRight w:val="0"/>
      <w:marTop w:val="0"/>
      <w:marBottom w:val="0"/>
      <w:divBdr>
        <w:top w:val="none" w:sz="0" w:space="0" w:color="auto"/>
        <w:left w:val="none" w:sz="0" w:space="0" w:color="auto"/>
        <w:bottom w:val="none" w:sz="0" w:space="0" w:color="auto"/>
        <w:right w:val="none" w:sz="0" w:space="0" w:color="auto"/>
      </w:divBdr>
    </w:div>
    <w:div w:id="1506044575">
      <w:bodyDiv w:val="1"/>
      <w:marLeft w:val="0"/>
      <w:marRight w:val="0"/>
      <w:marTop w:val="0"/>
      <w:marBottom w:val="0"/>
      <w:divBdr>
        <w:top w:val="none" w:sz="0" w:space="0" w:color="auto"/>
        <w:left w:val="none" w:sz="0" w:space="0" w:color="auto"/>
        <w:bottom w:val="none" w:sz="0" w:space="0" w:color="auto"/>
        <w:right w:val="none" w:sz="0" w:space="0" w:color="auto"/>
      </w:divBdr>
    </w:div>
    <w:div w:id="1514763993">
      <w:bodyDiv w:val="1"/>
      <w:marLeft w:val="0"/>
      <w:marRight w:val="0"/>
      <w:marTop w:val="0"/>
      <w:marBottom w:val="0"/>
      <w:divBdr>
        <w:top w:val="none" w:sz="0" w:space="0" w:color="auto"/>
        <w:left w:val="none" w:sz="0" w:space="0" w:color="auto"/>
        <w:bottom w:val="none" w:sz="0" w:space="0" w:color="auto"/>
        <w:right w:val="none" w:sz="0" w:space="0" w:color="auto"/>
      </w:divBdr>
    </w:div>
    <w:div w:id="1523857454">
      <w:bodyDiv w:val="1"/>
      <w:marLeft w:val="0"/>
      <w:marRight w:val="0"/>
      <w:marTop w:val="0"/>
      <w:marBottom w:val="0"/>
      <w:divBdr>
        <w:top w:val="none" w:sz="0" w:space="0" w:color="auto"/>
        <w:left w:val="none" w:sz="0" w:space="0" w:color="auto"/>
        <w:bottom w:val="none" w:sz="0" w:space="0" w:color="auto"/>
        <w:right w:val="none" w:sz="0" w:space="0" w:color="auto"/>
      </w:divBdr>
    </w:div>
    <w:div w:id="1524905909">
      <w:bodyDiv w:val="1"/>
      <w:marLeft w:val="0"/>
      <w:marRight w:val="0"/>
      <w:marTop w:val="0"/>
      <w:marBottom w:val="0"/>
      <w:divBdr>
        <w:top w:val="none" w:sz="0" w:space="0" w:color="auto"/>
        <w:left w:val="none" w:sz="0" w:space="0" w:color="auto"/>
        <w:bottom w:val="none" w:sz="0" w:space="0" w:color="auto"/>
        <w:right w:val="none" w:sz="0" w:space="0" w:color="auto"/>
      </w:divBdr>
    </w:div>
    <w:div w:id="1526361556">
      <w:bodyDiv w:val="1"/>
      <w:marLeft w:val="0"/>
      <w:marRight w:val="0"/>
      <w:marTop w:val="0"/>
      <w:marBottom w:val="0"/>
      <w:divBdr>
        <w:top w:val="none" w:sz="0" w:space="0" w:color="auto"/>
        <w:left w:val="none" w:sz="0" w:space="0" w:color="auto"/>
        <w:bottom w:val="none" w:sz="0" w:space="0" w:color="auto"/>
        <w:right w:val="none" w:sz="0" w:space="0" w:color="auto"/>
      </w:divBdr>
    </w:div>
    <w:div w:id="1546915872">
      <w:bodyDiv w:val="1"/>
      <w:marLeft w:val="0"/>
      <w:marRight w:val="0"/>
      <w:marTop w:val="0"/>
      <w:marBottom w:val="0"/>
      <w:divBdr>
        <w:top w:val="none" w:sz="0" w:space="0" w:color="auto"/>
        <w:left w:val="none" w:sz="0" w:space="0" w:color="auto"/>
        <w:bottom w:val="none" w:sz="0" w:space="0" w:color="auto"/>
        <w:right w:val="none" w:sz="0" w:space="0" w:color="auto"/>
      </w:divBdr>
    </w:div>
    <w:div w:id="1599365237">
      <w:bodyDiv w:val="1"/>
      <w:marLeft w:val="0"/>
      <w:marRight w:val="0"/>
      <w:marTop w:val="0"/>
      <w:marBottom w:val="0"/>
      <w:divBdr>
        <w:top w:val="none" w:sz="0" w:space="0" w:color="auto"/>
        <w:left w:val="none" w:sz="0" w:space="0" w:color="auto"/>
        <w:bottom w:val="none" w:sz="0" w:space="0" w:color="auto"/>
        <w:right w:val="none" w:sz="0" w:space="0" w:color="auto"/>
      </w:divBdr>
    </w:div>
    <w:div w:id="1624118803">
      <w:bodyDiv w:val="1"/>
      <w:marLeft w:val="0"/>
      <w:marRight w:val="0"/>
      <w:marTop w:val="0"/>
      <w:marBottom w:val="0"/>
      <w:divBdr>
        <w:top w:val="none" w:sz="0" w:space="0" w:color="auto"/>
        <w:left w:val="none" w:sz="0" w:space="0" w:color="auto"/>
        <w:bottom w:val="none" w:sz="0" w:space="0" w:color="auto"/>
        <w:right w:val="none" w:sz="0" w:space="0" w:color="auto"/>
      </w:divBdr>
    </w:div>
    <w:div w:id="1635409792">
      <w:bodyDiv w:val="1"/>
      <w:marLeft w:val="0"/>
      <w:marRight w:val="0"/>
      <w:marTop w:val="0"/>
      <w:marBottom w:val="0"/>
      <w:divBdr>
        <w:top w:val="none" w:sz="0" w:space="0" w:color="auto"/>
        <w:left w:val="none" w:sz="0" w:space="0" w:color="auto"/>
        <w:bottom w:val="none" w:sz="0" w:space="0" w:color="auto"/>
        <w:right w:val="none" w:sz="0" w:space="0" w:color="auto"/>
      </w:divBdr>
    </w:div>
    <w:div w:id="1713186971">
      <w:bodyDiv w:val="1"/>
      <w:marLeft w:val="0"/>
      <w:marRight w:val="0"/>
      <w:marTop w:val="0"/>
      <w:marBottom w:val="0"/>
      <w:divBdr>
        <w:top w:val="none" w:sz="0" w:space="0" w:color="auto"/>
        <w:left w:val="none" w:sz="0" w:space="0" w:color="auto"/>
        <w:bottom w:val="none" w:sz="0" w:space="0" w:color="auto"/>
        <w:right w:val="none" w:sz="0" w:space="0" w:color="auto"/>
      </w:divBdr>
      <w:divsChild>
        <w:div w:id="1057555646">
          <w:marLeft w:val="0"/>
          <w:marRight w:val="0"/>
          <w:marTop w:val="0"/>
          <w:marBottom w:val="0"/>
          <w:divBdr>
            <w:top w:val="none" w:sz="0" w:space="0" w:color="auto"/>
            <w:left w:val="none" w:sz="0" w:space="0" w:color="auto"/>
            <w:bottom w:val="none" w:sz="0" w:space="0" w:color="auto"/>
            <w:right w:val="none" w:sz="0" w:space="0" w:color="auto"/>
          </w:divBdr>
          <w:divsChild>
            <w:div w:id="89206862">
              <w:marLeft w:val="0"/>
              <w:marRight w:val="0"/>
              <w:marTop w:val="0"/>
              <w:marBottom w:val="0"/>
              <w:divBdr>
                <w:top w:val="none" w:sz="0" w:space="0" w:color="auto"/>
                <w:left w:val="none" w:sz="0" w:space="0" w:color="auto"/>
                <w:bottom w:val="none" w:sz="0" w:space="0" w:color="auto"/>
                <w:right w:val="none" w:sz="0" w:space="0" w:color="auto"/>
              </w:divBdr>
              <w:divsChild>
                <w:div w:id="974943811">
                  <w:marLeft w:val="0"/>
                  <w:marRight w:val="0"/>
                  <w:marTop w:val="0"/>
                  <w:marBottom w:val="0"/>
                  <w:divBdr>
                    <w:top w:val="none" w:sz="0" w:space="0" w:color="auto"/>
                    <w:left w:val="none" w:sz="0" w:space="0" w:color="auto"/>
                    <w:bottom w:val="none" w:sz="0" w:space="0" w:color="auto"/>
                    <w:right w:val="none" w:sz="0" w:space="0" w:color="auto"/>
                  </w:divBdr>
                  <w:divsChild>
                    <w:div w:id="114832783">
                      <w:marLeft w:val="0"/>
                      <w:marRight w:val="0"/>
                      <w:marTop w:val="0"/>
                      <w:marBottom w:val="0"/>
                      <w:divBdr>
                        <w:top w:val="none" w:sz="0" w:space="0" w:color="auto"/>
                        <w:left w:val="none" w:sz="0" w:space="0" w:color="auto"/>
                        <w:bottom w:val="none" w:sz="0" w:space="0" w:color="auto"/>
                        <w:right w:val="none" w:sz="0" w:space="0" w:color="auto"/>
                      </w:divBdr>
                      <w:divsChild>
                        <w:div w:id="1806269215">
                          <w:marLeft w:val="0"/>
                          <w:marRight w:val="0"/>
                          <w:marTop w:val="0"/>
                          <w:marBottom w:val="0"/>
                          <w:divBdr>
                            <w:top w:val="none" w:sz="0" w:space="0" w:color="auto"/>
                            <w:left w:val="none" w:sz="0" w:space="0" w:color="auto"/>
                            <w:bottom w:val="none" w:sz="0" w:space="0" w:color="auto"/>
                            <w:right w:val="none" w:sz="0" w:space="0" w:color="auto"/>
                          </w:divBdr>
                          <w:divsChild>
                            <w:div w:id="628705545">
                              <w:marLeft w:val="0"/>
                              <w:marRight w:val="0"/>
                              <w:marTop w:val="0"/>
                              <w:marBottom w:val="0"/>
                              <w:divBdr>
                                <w:top w:val="none" w:sz="0" w:space="0" w:color="auto"/>
                                <w:left w:val="none" w:sz="0" w:space="0" w:color="auto"/>
                                <w:bottom w:val="none" w:sz="0" w:space="0" w:color="auto"/>
                                <w:right w:val="none" w:sz="0" w:space="0" w:color="auto"/>
                              </w:divBdr>
                              <w:divsChild>
                                <w:div w:id="204231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428896">
      <w:bodyDiv w:val="1"/>
      <w:marLeft w:val="0"/>
      <w:marRight w:val="0"/>
      <w:marTop w:val="0"/>
      <w:marBottom w:val="0"/>
      <w:divBdr>
        <w:top w:val="none" w:sz="0" w:space="0" w:color="auto"/>
        <w:left w:val="none" w:sz="0" w:space="0" w:color="auto"/>
        <w:bottom w:val="none" w:sz="0" w:space="0" w:color="auto"/>
        <w:right w:val="none" w:sz="0" w:space="0" w:color="auto"/>
      </w:divBdr>
    </w:div>
    <w:div w:id="1717780783">
      <w:bodyDiv w:val="1"/>
      <w:marLeft w:val="0"/>
      <w:marRight w:val="0"/>
      <w:marTop w:val="0"/>
      <w:marBottom w:val="0"/>
      <w:divBdr>
        <w:top w:val="none" w:sz="0" w:space="0" w:color="auto"/>
        <w:left w:val="none" w:sz="0" w:space="0" w:color="auto"/>
        <w:bottom w:val="none" w:sz="0" w:space="0" w:color="auto"/>
        <w:right w:val="none" w:sz="0" w:space="0" w:color="auto"/>
      </w:divBdr>
    </w:div>
    <w:div w:id="1739085628">
      <w:bodyDiv w:val="1"/>
      <w:marLeft w:val="0"/>
      <w:marRight w:val="0"/>
      <w:marTop w:val="0"/>
      <w:marBottom w:val="0"/>
      <w:divBdr>
        <w:top w:val="none" w:sz="0" w:space="0" w:color="auto"/>
        <w:left w:val="none" w:sz="0" w:space="0" w:color="auto"/>
        <w:bottom w:val="none" w:sz="0" w:space="0" w:color="auto"/>
        <w:right w:val="none" w:sz="0" w:space="0" w:color="auto"/>
      </w:divBdr>
    </w:div>
    <w:div w:id="1744447456">
      <w:bodyDiv w:val="1"/>
      <w:marLeft w:val="0"/>
      <w:marRight w:val="0"/>
      <w:marTop w:val="0"/>
      <w:marBottom w:val="0"/>
      <w:divBdr>
        <w:top w:val="none" w:sz="0" w:space="0" w:color="auto"/>
        <w:left w:val="none" w:sz="0" w:space="0" w:color="auto"/>
        <w:bottom w:val="none" w:sz="0" w:space="0" w:color="auto"/>
        <w:right w:val="none" w:sz="0" w:space="0" w:color="auto"/>
      </w:divBdr>
    </w:div>
    <w:div w:id="1769496671">
      <w:bodyDiv w:val="1"/>
      <w:marLeft w:val="0"/>
      <w:marRight w:val="0"/>
      <w:marTop w:val="0"/>
      <w:marBottom w:val="0"/>
      <w:divBdr>
        <w:top w:val="none" w:sz="0" w:space="0" w:color="auto"/>
        <w:left w:val="none" w:sz="0" w:space="0" w:color="auto"/>
        <w:bottom w:val="none" w:sz="0" w:space="0" w:color="auto"/>
        <w:right w:val="none" w:sz="0" w:space="0" w:color="auto"/>
      </w:divBdr>
      <w:divsChild>
        <w:div w:id="34669757">
          <w:marLeft w:val="0"/>
          <w:marRight w:val="0"/>
          <w:marTop w:val="0"/>
          <w:marBottom w:val="0"/>
          <w:divBdr>
            <w:top w:val="none" w:sz="0" w:space="0" w:color="auto"/>
            <w:left w:val="none" w:sz="0" w:space="0" w:color="auto"/>
            <w:bottom w:val="none" w:sz="0" w:space="0" w:color="auto"/>
            <w:right w:val="none" w:sz="0" w:space="0" w:color="auto"/>
          </w:divBdr>
        </w:div>
        <w:div w:id="36241742">
          <w:marLeft w:val="0"/>
          <w:marRight w:val="0"/>
          <w:marTop w:val="0"/>
          <w:marBottom w:val="0"/>
          <w:divBdr>
            <w:top w:val="none" w:sz="0" w:space="0" w:color="auto"/>
            <w:left w:val="none" w:sz="0" w:space="0" w:color="auto"/>
            <w:bottom w:val="none" w:sz="0" w:space="0" w:color="auto"/>
            <w:right w:val="none" w:sz="0" w:space="0" w:color="auto"/>
          </w:divBdr>
        </w:div>
        <w:div w:id="98305169">
          <w:marLeft w:val="0"/>
          <w:marRight w:val="0"/>
          <w:marTop w:val="0"/>
          <w:marBottom w:val="0"/>
          <w:divBdr>
            <w:top w:val="none" w:sz="0" w:space="0" w:color="auto"/>
            <w:left w:val="none" w:sz="0" w:space="0" w:color="auto"/>
            <w:bottom w:val="none" w:sz="0" w:space="0" w:color="auto"/>
            <w:right w:val="none" w:sz="0" w:space="0" w:color="auto"/>
          </w:divBdr>
        </w:div>
        <w:div w:id="206140828">
          <w:marLeft w:val="0"/>
          <w:marRight w:val="0"/>
          <w:marTop w:val="0"/>
          <w:marBottom w:val="0"/>
          <w:divBdr>
            <w:top w:val="none" w:sz="0" w:space="0" w:color="auto"/>
            <w:left w:val="none" w:sz="0" w:space="0" w:color="auto"/>
            <w:bottom w:val="none" w:sz="0" w:space="0" w:color="auto"/>
            <w:right w:val="none" w:sz="0" w:space="0" w:color="auto"/>
          </w:divBdr>
        </w:div>
        <w:div w:id="327177426">
          <w:marLeft w:val="0"/>
          <w:marRight w:val="0"/>
          <w:marTop w:val="0"/>
          <w:marBottom w:val="0"/>
          <w:divBdr>
            <w:top w:val="none" w:sz="0" w:space="0" w:color="auto"/>
            <w:left w:val="none" w:sz="0" w:space="0" w:color="auto"/>
            <w:bottom w:val="none" w:sz="0" w:space="0" w:color="auto"/>
            <w:right w:val="none" w:sz="0" w:space="0" w:color="auto"/>
          </w:divBdr>
        </w:div>
        <w:div w:id="366638450">
          <w:marLeft w:val="0"/>
          <w:marRight w:val="0"/>
          <w:marTop w:val="0"/>
          <w:marBottom w:val="0"/>
          <w:divBdr>
            <w:top w:val="none" w:sz="0" w:space="0" w:color="auto"/>
            <w:left w:val="none" w:sz="0" w:space="0" w:color="auto"/>
            <w:bottom w:val="none" w:sz="0" w:space="0" w:color="auto"/>
            <w:right w:val="none" w:sz="0" w:space="0" w:color="auto"/>
          </w:divBdr>
        </w:div>
        <w:div w:id="491064478">
          <w:marLeft w:val="0"/>
          <w:marRight w:val="0"/>
          <w:marTop w:val="0"/>
          <w:marBottom w:val="0"/>
          <w:divBdr>
            <w:top w:val="none" w:sz="0" w:space="0" w:color="auto"/>
            <w:left w:val="none" w:sz="0" w:space="0" w:color="auto"/>
            <w:bottom w:val="none" w:sz="0" w:space="0" w:color="auto"/>
            <w:right w:val="none" w:sz="0" w:space="0" w:color="auto"/>
          </w:divBdr>
        </w:div>
        <w:div w:id="621501093">
          <w:marLeft w:val="0"/>
          <w:marRight w:val="0"/>
          <w:marTop w:val="0"/>
          <w:marBottom w:val="0"/>
          <w:divBdr>
            <w:top w:val="none" w:sz="0" w:space="0" w:color="auto"/>
            <w:left w:val="none" w:sz="0" w:space="0" w:color="auto"/>
            <w:bottom w:val="none" w:sz="0" w:space="0" w:color="auto"/>
            <w:right w:val="none" w:sz="0" w:space="0" w:color="auto"/>
          </w:divBdr>
        </w:div>
        <w:div w:id="719282382">
          <w:marLeft w:val="0"/>
          <w:marRight w:val="0"/>
          <w:marTop w:val="0"/>
          <w:marBottom w:val="0"/>
          <w:divBdr>
            <w:top w:val="none" w:sz="0" w:space="0" w:color="auto"/>
            <w:left w:val="none" w:sz="0" w:space="0" w:color="auto"/>
            <w:bottom w:val="none" w:sz="0" w:space="0" w:color="auto"/>
            <w:right w:val="none" w:sz="0" w:space="0" w:color="auto"/>
          </w:divBdr>
        </w:div>
        <w:div w:id="753818839">
          <w:marLeft w:val="0"/>
          <w:marRight w:val="0"/>
          <w:marTop w:val="0"/>
          <w:marBottom w:val="0"/>
          <w:divBdr>
            <w:top w:val="none" w:sz="0" w:space="0" w:color="auto"/>
            <w:left w:val="none" w:sz="0" w:space="0" w:color="auto"/>
            <w:bottom w:val="none" w:sz="0" w:space="0" w:color="auto"/>
            <w:right w:val="none" w:sz="0" w:space="0" w:color="auto"/>
          </w:divBdr>
        </w:div>
        <w:div w:id="913901290">
          <w:marLeft w:val="0"/>
          <w:marRight w:val="0"/>
          <w:marTop w:val="0"/>
          <w:marBottom w:val="0"/>
          <w:divBdr>
            <w:top w:val="none" w:sz="0" w:space="0" w:color="auto"/>
            <w:left w:val="none" w:sz="0" w:space="0" w:color="auto"/>
            <w:bottom w:val="none" w:sz="0" w:space="0" w:color="auto"/>
            <w:right w:val="none" w:sz="0" w:space="0" w:color="auto"/>
          </w:divBdr>
        </w:div>
        <w:div w:id="1051733342">
          <w:marLeft w:val="0"/>
          <w:marRight w:val="0"/>
          <w:marTop w:val="0"/>
          <w:marBottom w:val="0"/>
          <w:divBdr>
            <w:top w:val="none" w:sz="0" w:space="0" w:color="auto"/>
            <w:left w:val="none" w:sz="0" w:space="0" w:color="auto"/>
            <w:bottom w:val="none" w:sz="0" w:space="0" w:color="auto"/>
            <w:right w:val="none" w:sz="0" w:space="0" w:color="auto"/>
          </w:divBdr>
        </w:div>
        <w:div w:id="1328754158">
          <w:marLeft w:val="0"/>
          <w:marRight w:val="0"/>
          <w:marTop w:val="0"/>
          <w:marBottom w:val="0"/>
          <w:divBdr>
            <w:top w:val="none" w:sz="0" w:space="0" w:color="auto"/>
            <w:left w:val="none" w:sz="0" w:space="0" w:color="auto"/>
            <w:bottom w:val="none" w:sz="0" w:space="0" w:color="auto"/>
            <w:right w:val="none" w:sz="0" w:space="0" w:color="auto"/>
          </w:divBdr>
        </w:div>
        <w:div w:id="1447314348">
          <w:marLeft w:val="0"/>
          <w:marRight w:val="0"/>
          <w:marTop w:val="0"/>
          <w:marBottom w:val="0"/>
          <w:divBdr>
            <w:top w:val="none" w:sz="0" w:space="0" w:color="auto"/>
            <w:left w:val="none" w:sz="0" w:space="0" w:color="auto"/>
            <w:bottom w:val="none" w:sz="0" w:space="0" w:color="auto"/>
            <w:right w:val="none" w:sz="0" w:space="0" w:color="auto"/>
          </w:divBdr>
        </w:div>
        <w:div w:id="1561281884">
          <w:marLeft w:val="0"/>
          <w:marRight w:val="0"/>
          <w:marTop w:val="0"/>
          <w:marBottom w:val="0"/>
          <w:divBdr>
            <w:top w:val="none" w:sz="0" w:space="0" w:color="auto"/>
            <w:left w:val="none" w:sz="0" w:space="0" w:color="auto"/>
            <w:bottom w:val="none" w:sz="0" w:space="0" w:color="auto"/>
            <w:right w:val="none" w:sz="0" w:space="0" w:color="auto"/>
          </w:divBdr>
        </w:div>
        <w:div w:id="1968775384">
          <w:marLeft w:val="0"/>
          <w:marRight w:val="0"/>
          <w:marTop w:val="0"/>
          <w:marBottom w:val="0"/>
          <w:divBdr>
            <w:top w:val="none" w:sz="0" w:space="0" w:color="auto"/>
            <w:left w:val="none" w:sz="0" w:space="0" w:color="auto"/>
            <w:bottom w:val="none" w:sz="0" w:space="0" w:color="auto"/>
            <w:right w:val="none" w:sz="0" w:space="0" w:color="auto"/>
          </w:divBdr>
        </w:div>
        <w:div w:id="2093156432">
          <w:marLeft w:val="0"/>
          <w:marRight w:val="0"/>
          <w:marTop w:val="0"/>
          <w:marBottom w:val="0"/>
          <w:divBdr>
            <w:top w:val="none" w:sz="0" w:space="0" w:color="auto"/>
            <w:left w:val="none" w:sz="0" w:space="0" w:color="auto"/>
            <w:bottom w:val="none" w:sz="0" w:space="0" w:color="auto"/>
            <w:right w:val="none" w:sz="0" w:space="0" w:color="auto"/>
          </w:divBdr>
        </w:div>
      </w:divsChild>
    </w:div>
    <w:div w:id="1774665874">
      <w:bodyDiv w:val="1"/>
      <w:marLeft w:val="0"/>
      <w:marRight w:val="0"/>
      <w:marTop w:val="0"/>
      <w:marBottom w:val="0"/>
      <w:divBdr>
        <w:top w:val="none" w:sz="0" w:space="0" w:color="auto"/>
        <w:left w:val="none" w:sz="0" w:space="0" w:color="auto"/>
        <w:bottom w:val="none" w:sz="0" w:space="0" w:color="auto"/>
        <w:right w:val="none" w:sz="0" w:space="0" w:color="auto"/>
      </w:divBdr>
    </w:div>
    <w:div w:id="1781954156">
      <w:bodyDiv w:val="1"/>
      <w:marLeft w:val="0"/>
      <w:marRight w:val="0"/>
      <w:marTop w:val="0"/>
      <w:marBottom w:val="0"/>
      <w:divBdr>
        <w:top w:val="none" w:sz="0" w:space="0" w:color="auto"/>
        <w:left w:val="none" w:sz="0" w:space="0" w:color="auto"/>
        <w:bottom w:val="none" w:sz="0" w:space="0" w:color="auto"/>
        <w:right w:val="none" w:sz="0" w:space="0" w:color="auto"/>
      </w:divBdr>
    </w:div>
    <w:div w:id="1869367465">
      <w:bodyDiv w:val="1"/>
      <w:marLeft w:val="0"/>
      <w:marRight w:val="0"/>
      <w:marTop w:val="0"/>
      <w:marBottom w:val="0"/>
      <w:divBdr>
        <w:top w:val="none" w:sz="0" w:space="0" w:color="auto"/>
        <w:left w:val="none" w:sz="0" w:space="0" w:color="auto"/>
        <w:bottom w:val="none" w:sz="0" w:space="0" w:color="auto"/>
        <w:right w:val="none" w:sz="0" w:space="0" w:color="auto"/>
      </w:divBdr>
    </w:div>
    <w:div w:id="1884053636">
      <w:bodyDiv w:val="1"/>
      <w:marLeft w:val="0"/>
      <w:marRight w:val="0"/>
      <w:marTop w:val="0"/>
      <w:marBottom w:val="0"/>
      <w:divBdr>
        <w:top w:val="none" w:sz="0" w:space="0" w:color="auto"/>
        <w:left w:val="none" w:sz="0" w:space="0" w:color="auto"/>
        <w:bottom w:val="none" w:sz="0" w:space="0" w:color="auto"/>
        <w:right w:val="none" w:sz="0" w:space="0" w:color="auto"/>
      </w:divBdr>
    </w:div>
    <w:div w:id="1884780422">
      <w:bodyDiv w:val="1"/>
      <w:marLeft w:val="0"/>
      <w:marRight w:val="0"/>
      <w:marTop w:val="0"/>
      <w:marBottom w:val="0"/>
      <w:divBdr>
        <w:top w:val="none" w:sz="0" w:space="0" w:color="auto"/>
        <w:left w:val="none" w:sz="0" w:space="0" w:color="auto"/>
        <w:bottom w:val="none" w:sz="0" w:space="0" w:color="auto"/>
        <w:right w:val="none" w:sz="0" w:space="0" w:color="auto"/>
      </w:divBdr>
      <w:divsChild>
        <w:div w:id="2015456780">
          <w:marLeft w:val="0"/>
          <w:marRight w:val="0"/>
          <w:marTop w:val="0"/>
          <w:marBottom w:val="0"/>
          <w:divBdr>
            <w:top w:val="none" w:sz="0" w:space="0" w:color="auto"/>
            <w:left w:val="none" w:sz="0" w:space="0" w:color="auto"/>
            <w:bottom w:val="none" w:sz="0" w:space="0" w:color="auto"/>
            <w:right w:val="none" w:sz="0" w:space="0" w:color="auto"/>
          </w:divBdr>
        </w:div>
      </w:divsChild>
    </w:div>
    <w:div w:id="1888688779">
      <w:bodyDiv w:val="1"/>
      <w:marLeft w:val="0"/>
      <w:marRight w:val="0"/>
      <w:marTop w:val="0"/>
      <w:marBottom w:val="0"/>
      <w:divBdr>
        <w:top w:val="none" w:sz="0" w:space="0" w:color="auto"/>
        <w:left w:val="none" w:sz="0" w:space="0" w:color="auto"/>
        <w:bottom w:val="none" w:sz="0" w:space="0" w:color="auto"/>
        <w:right w:val="none" w:sz="0" w:space="0" w:color="auto"/>
      </w:divBdr>
    </w:div>
    <w:div w:id="1973824919">
      <w:bodyDiv w:val="1"/>
      <w:marLeft w:val="0"/>
      <w:marRight w:val="0"/>
      <w:marTop w:val="0"/>
      <w:marBottom w:val="0"/>
      <w:divBdr>
        <w:top w:val="none" w:sz="0" w:space="0" w:color="auto"/>
        <w:left w:val="none" w:sz="0" w:space="0" w:color="auto"/>
        <w:bottom w:val="none" w:sz="0" w:space="0" w:color="auto"/>
        <w:right w:val="none" w:sz="0" w:space="0" w:color="auto"/>
      </w:divBdr>
    </w:div>
    <w:div w:id="1980452474">
      <w:bodyDiv w:val="1"/>
      <w:marLeft w:val="0"/>
      <w:marRight w:val="0"/>
      <w:marTop w:val="0"/>
      <w:marBottom w:val="0"/>
      <w:divBdr>
        <w:top w:val="none" w:sz="0" w:space="0" w:color="auto"/>
        <w:left w:val="none" w:sz="0" w:space="0" w:color="auto"/>
        <w:bottom w:val="none" w:sz="0" w:space="0" w:color="auto"/>
        <w:right w:val="none" w:sz="0" w:space="0" w:color="auto"/>
      </w:divBdr>
    </w:div>
    <w:div w:id="2096439925">
      <w:bodyDiv w:val="1"/>
      <w:marLeft w:val="0"/>
      <w:marRight w:val="0"/>
      <w:marTop w:val="0"/>
      <w:marBottom w:val="0"/>
      <w:divBdr>
        <w:top w:val="none" w:sz="0" w:space="0" w:color="auto"/>
        <w:left w:val="none" w:sz="0" w:space="0" w:color="auto"/>
        <w:bottom w:val="none" w:sz="0" w:space="0" w:color="auto"/>
        <w:right w:val="none" w:sz="0" w:space="0" w:color="auto"/>
      </w:divBdr>
      <w:divsChild>
        <w:div w:id="5755572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7265390">
      <w:bodyDiv w:val="1"/>
      <w:marLeft w:val="0"/>
      <w:marRight w:val="0"/>
      <w:marTop w:val="0"/>
      <w:marBottom w:val="0"/>
      <w:divBdr>
        <w:top w:val="none" w:sz="0" w:space="0" w:color="auto"/>
        <w:left w:val="none" w:sz="0" w:space="0" w:color="auto"/>
        <w:bottom w:val="none" w:sz="0" w:space="0" w:color="auto"/>
        <w:right w:val="none" w:sz="0" w:space="0" w:color="auto"/>
      </w:divBdr>
    </w:div>
    <w:div w:id="2124838539">
      <w:bodyDiv w:val="1"/>
      <w:marLeft w:val="0"/>
      <w:marRight w:val="0"/>
      <w:marTop w:val="0"/>
      <w:marBottom w:val="0"/>
      <w:divBdr>
        <w:top w:val="none" w:sz="0" w:space="0" w:color="auto"/>
        <w:left w:val="none" w:sz="0" w:space="0" w:color="auto"/>
        <w:bottom w:val="none" w:sz="0" w:space="0" w:color="auto"/>
        <w:right w:val="none" w:sz="0" w:space="0" w:color="auto"/>
      </w:divBdr>
      <w:divsChild>
        <w:div w:id="1974024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smc.gouvernement.lu/en/dossiers/strategy-ads2030/strategy-ads2030.html" TargetMode="Externa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yperlink" Target="https://www.luxprovide.lu/meluxina-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www.luxprovide.lu/meluxina-ai/" TargetMode="External"/><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yperlink" Target="https://digital-strategy.ec.europa.eu/en/news-redirect/93854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www.eurohpc-ju.europa.eu/ai-factories_en" TargetMode="External"/><Relationship Id="rId30" Type="http://schemas.openxmlformats.org/officeDocument/2006/relationships/hyperlink" Target="https://ai4lux.public.lu/en.html" TargetMode="External"/><Relationship Id="rId35" Type="http://schemas.openxmlformats.org/officeDocument/2006/relationships/theme" Target="theme/theme1.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documenttasks/documenttasks1.xml><?xml version="1.0" encoding="utf-8"?>
<t:Tasks xmlns:t="http://schemas.microsoft.com/office/tasks/2019/documenttasks" xmlns:oel="http://schemas.microsoft.com/office/2019/extlst">
  <t:Task id="{4D6B6330-F0FE-4B25-B348-5EDD2DF7FC68}">
    <t:Anchor>
      <t:Comment id="1647170844"/>
    </t:Anchor>
    <t:History>
      <t:Event time="2026-04-13T15:00:48.162Z" id="{6B706B36-ADD1-400D-8076-54E3E4C37BD8}">
        <t:Attribution userId="S::hugues.thomas-castelnau@ext.ec.europa.eu::f7d7a8fa-becd-47e9-83af-3a0ff9cdf7c1" userName="THOMAS-CASTELNAU Hugues (CNECT-EXT)" userProvider="AD"/>
        <t:Anchor>
          <t:Comment id="1799462144"/>
        </t:Anchor>
        <t:Create/>
      </t:Event>
      <t:Event time="2026-04-13T15:00:48.162Z" id="{4F78CA9E-B288-4A90-92F8-491BFEAEE78F}">
        <t:Attribution userId="S::hugues.thomas-castelnau@ext.ec.europa.eu::f7d7a8fa-becd-47e9-83af-3a0ff9cdf7c1" userName="THOMAS-CASTELNAU Hugues (CNECT-EXT)" userProvider="AD"/>
        <t:Anchor>
          <t:Comment id="1799462144"/>
        </t:Anchor>
        <t:Assign userId="S::Kaja-Aleksandra.KLENCKA@ext.ec.europa.eu::f22a1bd6-1154-47a9-a27e-33322e3d0564" userName="KLENCKA Kaja (CNECT-EXT)" userProvider="AD"/>
      </t:Event>
      <t:Event time="2026-04-13T15:00:48.162Z" id="{23DCB371-3A67-44FD-AA56-B397C82EE805}">
        <t:Attribution userId="S::hugues.thomas-castelnau@ext.ec.europa.eu::f7d7a8fa-becd-47e9-83af-3a0ff9cdf7c1" userName="THOMAS-CASTELNAU Hugues (CNECT-EXT)" userProvider="AD"/>
        <t:Anchor>
          <t:Comment id="1799462144"/>
        </t:Anchor>
        <t:SetTitle title="@KLENCKA Kaja (CNECT-EXT) sorry to bother but did I miss something or it is still pending ?"/>
      </t:Event>
    </t:History>
  </t:Task>
</t:Task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4513E-2522-44BE-85FD-257414880AF7}">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2.xml><?xml version="1.0" encoding="utf-8"?>
<ds:datastoreItem xmlns:ds="http://schemas.openxmlformats.org/officeDocument/2006/customXml" ds:itemID="{1E7E2394-2B8E-4A2A-B2DB-782C569E7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659741-D098-42F8-9951-785E683E4B7D}">
  <ds:schemaRefs>
    <ds:schemaRef ds:uri="http://schemas.microsoft.com/sharepoint/v3/contenttype/forms"/>
  </ds:schemaRefs>
</ds:datastoreItem>
</file>

<file path=customXml/itemProps4.xml><?xml version="1.0" encoding="utf-8"?>
<ds:datastoreItem xmlns:ds="http://schemas.openxmlformats.org/officeDocument/2006/customXml" ds:itemID="{C721595F-B5AD-444F-AD12-06B482F56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1908</Words>
  <Characters>10880</Characters>
  <Application>Microsoft Office Word</Application>
  <DocSecurity>0</DocSecurity>
  <Lines>90</Lines>
  <Paragraphs>25</Paragraphs>
  <ScaleCrop>false</ScaleCrop>
  <Manager/>
  <Company/>
  <LinksUpToDate>false</LinksUpToDate>
  <CharactersWithSpaces>12763</CharactersWithSpaces>
  <SharedDoc>false</SharedDoc>
  <HLinks>
    <vt:vector size="36" baseType="variant">
      <vt:variant>
        <vt:i4>6029386</vt:i4>
      </vt:variant>
      <vt:variant>
        <vt:i4>15</vt:i4>
      </vt:variant>
      <vt:variant>
        <vt:i4>0</vt:i4>
      </vt:variant>
      <vt:variant>
        <vt:i4>5</vt:i4>
      </vt:variant>
      <vt:variant>
        <vt:lpwstr>https://digital-strategy.ec.europa.eu/en/news-redirect/938549</vt:lpwstr>
      </vt:variant>
      <vt:variant>
        <vt:lpwstr/>
      </vt:variant>
      <vt:variant>
        <vt:i4>2031644</vt:i4>
      </vt:variant>
      <vt:variant>
        <vt:i4>12</vt:i4>
      </vt:variant>
      <vt:variant>
        <vt:i4>0</vt:i4>
      </vt:variant>
      <vt:variant>
        <vt:i4>5</vt:i4>
      </vt:variant>
      <vt:variant>
        <vt:lpwstr>https://ai4lux.public.lu/en.html</vt:lpwstr>
      </vt:variant>
      <vt:variant>
        <vt:lpwstr/>
      </vt:variant>
      <vt:variant>
        <vt:i4>262229</vt:i4>
      </vt:variant>
      <vt:variant>
        <vt:i4>9</vt:i4>
      </vt:variant>
      <vt:variant>
        <vt:i4>0</vt:i4>
      </vt:variant>
      <vt:variant>
        <vt:i4>5</vt:i4>
      </vt:variant>
      <vt:variant>
        <vt:lpwstr>https://www.luxprovide.lu/meluxina-q/</vt:lpwstr>
      </vt:variant>
      <vt:variant>
        <vt:lpwstr/>
      </vt:variant>
      <vt:variant>
        <vt:i4>3866684</vt:i4>
      </vt:variant>
      <vt:variant>
        <vt:i4>6</vt:i4>
      </vt:variant>
      <vt:variant>
        <vt:i4>0</vt:i4>
      </vt:variant>
      <vt:variant>
        <vt:i4>5</vt:i4>
      </vt:variant>
      <vt:variant>
        <vt:lpwstr>https://www.luxprovide.lu/meluxina-ai/</vt:lpwstr>
      </vt:variant>
      <vt:variant>
        <vt:lpwstr/>
      </vt:variant>
      <vt:variant>
        <vt:i4>3735637</vt:i4>
      </vt:variant>
      <vt:variant>
        <vt:i4>3</vt:i4>
      </vt:variant>
      <vt:variant>
        <vt:i4>0</vt:i4>
      </vt:variant>
      <vt:variant>
        <vt:i4>5</vt:i4>
      </vt:variant>
      <vt:variant>
        <vt:lpwstr>https://www.eurohpc-ju.europa.eu/ai-factories_en</vt:lpwstr>
      </vt:variant>
      <vt:variant>
        <vt:lpwstr/>
      </vt:variant>
      <vt:variant>
        <vt:i4>3407930</vt:i4>
      </vt:variant>
      <vt:variant>
        <vt:i4>0</vt:i4>
      </vt:variant>
      <vt:variant>
        <vt:i4>0</vt:i4>
      </vt:variant>
      <vt:variant>
        <vt:i4>5</vt:i4>
      </vt:variant>
      <vt:variant>
        <vt:lpwstr>https://smc.gouvernement.lu/en/dossiers/strategy-ads2030/strategy-ads2030.html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57</cp:revision>
  <cp:lastPrinted>2026-01-31T13:37:00Z</cp:lastPrinted>
  <dcterms:created xsi:type="dcterms:W3CDTF">2026-05-07T17:42:00Z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18</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