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7880A0CB" w:rsidR="00717869" w:rsidRPr="007C0C4B" w:rsidRDefault="00367FB8" w:rsidP="00367FB8">
      <w:pPr>
        <w:pStyle w:val="Pagedecouverture"/>
        <w:rPr>
          <w:noProof/>
        </w:rPr>
      </w:pPr>
      <w:bookmarkStart w:id="0" w:name="LW_BM_COVERPAGE"/>
      <w:r>
        <w:rPr>
          <w:noProof/>
        </w:rPr>
        <w:pict w14:anchorId="4DFBEA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8032E7-5E88-4541-92F3-C19A6BA436CD" style="width:455.25pt;height:399.75pt">
            <v:imagedata r:id="rId11" o:title=""/>
          </v:shape>
        </w:pict>
      </w:r>
    </w:p>
    <w:bookmarkEnd w:id="0"/>
    <w:p w14:paraId="78790243" w14:textId="77777777" w:rsidR="0004296B" w:rsidRDefault="0004296B" w:rsidP="0004296B">
      <w:pPr>
        <w:rPr>
          <w:noProof/>
        </w:rPr>
        <w:sectPr w:rsidR="0004296B" w:rsidSect="00367FB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09CFBCF1">
                <wp:simplePos x="0" y="0"/>
                <wp:positionH relativeFrom="margin">
                  <wp:align>right</wp:align>
                </wp:positionH>
                <wp:positionV relativeFrom="paragraph">
                  <wp:posOffset>33034</wp:posOffset>
                </wp:positionV>
                <wp:extent cx="5175114"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175114"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A23D74C" w:rsidR="00362EBD" w:rsidRPr="00362EBD" w:rsidRDefault="00681043"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356.3pt;margin-top:2.6pt;width:407.5pt;height:160.4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hTkOwIAAF8EAAAOAAAAZHJzL2Uyb0RvYy54bWysVE1v2zAMvQ/YfxB0X2znszHiFFmLDAOK&#10;tkBaFNhNkaXEgCxqkhI7+/WjZCcNup2GXWSKpEjxvScvbttakaOwrgJd0GyQUiI0h7LSu4K+vqy/&#10;3FDiPNMlU6BFQU/C0dvl50+LxuRiCHtQpbAEi2iXN6age+9NniSO70XN3ACM0BiUYGvmcWt3SWlZ&#10;g9VrlQzTdJo0YEtjgQvn0HvfBeky1pdScP8kpROeqILi3XxcbVy3YU2WC5bvLDP7ivfXYP9wi5pV&#10;GpteSt0zz8jBVn+UqituwYH0Aw51AlJWXMQZcJos/TDNZs+MiLMgOM5cYHL/ryx/PD5bUpUFnY+H&#10;0+lsdDOnRLMaqfqBhJFSEC9aL8gsQNUYl+OJjcEzvv0KLVJ+9jt0BgRaaevwxdkIxhH00wVorEQ4&#10;OifZbJJlY0o4xobpaJaNx6FO8n7cWOe/CahJMApqkckIMDs+ON+lnlNCNw3rSqnIptKkKeh0NEnj&#10;gUsEiyuNPcIQ3WWD5dtt20+2hfKEg1noVOIMX1fY/IE5/8wsygJnQan7J1ykAmwCvUXJHuyvv/lD&#10;PrKFUUoalFlB3c8Ds4IS9V0jj3OcPOgybsaT2RA39jqyvY7oQ30HqOQMH5Xh0Qz5Xp1NaaF+wxex&#10;Cl0xxDTH3gX1Z/POd+LHF8XFahWTUImG+Qe9MTyUDnAGaF/aN2ZNj38QwSOcBcnyDzR0uR0Rq4MH&#10;WUWOAsAdqj3uqOLIcv/iwjO53ses9//C8jcAAAD//wMAUEsDBBQABgAIAAAAIQDS/ZNf3QAAAAYB&#10;AAAPAAAAZHJzL2Rvd25yZXYueG1sTI9BS8NAFITvgv9heYI3u2kkJcRsSgkUQfTQ2ou3l+xrEtx9&#10;G7PbNvrrXU/2OMww8025nq0RZ5r84FjBcpGAIG6dHrhTcHjfPuQgfEDWaByTgm/ysK5ub0ostLvw&#10;js770IlYwr5ABX0IYyGlb3uy6BduJI7e0U0WQ5RTJ/WEl1hujUyTZCUtDhwXehyp7qn93J+sgpd6&#10;+4a7JrX5j6mfX4+b8evwkSl1fzdvnkAEmsN/GP7wIzpUkalxJ9ZeGAXxSFCQpSCimS+zqBsFj+kq&#10;AVmV8hq/+gUAAP//AwBQSwECLQAUAAYACAAAACEAtoM4kv4AAADhAQAAEwAAAAAAAAAAAAAAAAAA&#10;AAAAW0NvbnRlbnRfVHlwZXNdLnhtbFBLAQItABQABgAIAAAAIQA4/SH/1gAAAJQBAAALAAAAAAAA&#10;AAAAAAAAAC8BAABfcmVscy8ucmVsc1BLAQItABQABgAIAAAAIQDU0hTkOwIAAF8EAAAOAAAAAAAA&#10;AAAAAAAAAC4CAABkcnMvZTJvRG9jLnhtbFBLAQItABQABgAIAAAAIQDS/ZNf3QAAAAYBAAAPAAAA&#10;AAAAAAAAAAAAAJUEAABkcnMvZG93bnJldi54bWxQSwUGAAAAAAQABADzAAAAnwU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A23D74C" w:rsidR="00362EBD" w:rsidRPr="00362EBD" w:rsidRDefault="00681043"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w10:wrap anchorx="margin"/>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4A987FB3" w:rsidR="0092635F" w:rsidRPr="00CB0AF6" w:rsidRDefault="000447C6"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Czechia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4A987FB3" w:rsidR="0092635F" w:rsidRPr="00CB0AF6" w:rsidRDefault="000447C6"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Czechia</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5285150">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6A79107F">
                <v:stroke joinstyle="miter"/>
              </v:roundrect>
            </w:pict>
          </mc:Fallback>
        </mc:AlternateContent>
      </w:r>
      <w:r w:rsidR="00717869" w:rsidRPr="007C0C4B">
        <w:rPr>
          <w:b/>
          <w:bCs/>
          <w:noProof/>
        </w:rPr>
        <w:br/>
      </w:r>
      <w:r w:rsidR="00717869" w:rsidRPr="007C0C4B">
        <w:rPr>
          <w:b/>
          <w:bCs/>
          <w:noProof/>
        </w:rPr>
        <w:br/>
      </w:r>
    </w:p>
    <w:p w14:paraId="08B3DE18" w14:textId="77777777" w:rsidR="007B6715" w:rsidRDefault="008E3DC1">
      <w:pPr>
        <w:spacing w:after="0" w:line="240" w:lineRule="auto"/>
        <w:rPr>
          <w:noProof/>
        </w:rPr>
        <w:sectPr w:rsidR="007B6715" w:rsidSect="0004296B">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1A46BA76" w14:textId="77777777" w:rsidR="00B828AE" w:rsidRDefault="00B828AE" w:rsidP="00B828AE">
      <w:pPr>
        <w:pStyle w:val="Heading1"/>
        <w:jc w:val="both"/>
        <w:rPr>
          <w:noProof/>
          <w:lang w:val="en-GB"/>
        </w:rPr>
      </w:pPr>
      <w:bookmarkStart w:id="2" w:name="_Toc220422727"/>
      <w:bookmarkStart w:id="3" w:name="_Toc228971572"/>
      <w:r w:rsidRPr="5D8E2523">
        <w:rPr>
          <w:noProof/>
          <w:lang w:val="en-GB"/>
        </w:rPr>
        <w:t>Executive summary</w:t>
      </w:r>
      <w:bookmarkEnd w:id="2"/>
      <w:bookmarkEnd w:id="3"/>
    </w:p>
    <w:p w14:paraId="359E2B1A" w14:textId="650B3478" w:rsidR="5D8E2523" w:rsidRDefault="5D8E2523" w:rsidP="5D8E2523">
      <w:pPr>
        <w:jc w:val="both"/>
        <w:rPr>
          <w:noProof/>
        </w:rPr>
      </w:pPr>
    </w:p>
    <w:p w14:paraId="07E3B323" w14:textId="3DB1F674" w:rsidR="00FB508D" w:rsidRPr="00905FCB" w:rsidRDefault="00BB1552" w:rsidP="00BB1552">
      <w:pPr>
        <w:jc w:val="both"/>
        <w:rPr>
          <w:b/>
          <w:bCs/>
          <w:noProof/>
        </w:rPr>
      </w:pPr>
      <w:r w:rsidRPr="00BB1552">
        <w:rPr>
          <w:noProof/>
        </w:rPr>
        <w:t xml:space="preserve">Overall, </w:t>
      </w:r>
      <w:r w:rsidRPr="00905FCB">
        <w:rPr>
          <w:b/>
          <w:bCs/>
          <w:noProof/>
        </w:rPr>
        <w:t>Czechia shows solid foundations in basic digital skills and a well-performing eGovernment ecosystem</w:t>
      </w:r>
      <w:r w:rsidRPr="00BB1552">
        <w:rPr>
          <w:noProof/>
        </w:rPr>
        <w:t xml:space="preserve">. It also demonstrates </w:t>
      </w:r>
      <w:r w:rsidRPr="00905FCB">
        <w:rPr>
          <w:b/>
          <w:bCs/>
          <w:noProof/>
        </w:rPr>
        <w:t>strengths in advanced research areas such as AI and quantum technologies</w:t>
      </w:r>
      <w:r w:rsidRPr="00BB1552">
        <w:rPr>
          <w:noProof/>
        </w:rPr>
        <w:t xml:space="preserve">. However, important gaps remain in the digitalisation of SMEs, particularly in the uptake of advanced technologies (AI, cloud, data analytics), as well as in the availability of ICT specialists. </w:t>
      </w:r>
      <w:r w:rsidRPr="00905FCB">
        <w:rPr>
          <w:b/>
          <w:bCs/>
          <w:noProof/>
        </w:rPr>
        <w:t>Structural weaknesses also persist in areas such as interoperability, data use in public administration and the absence of a comprehensive green-digital strategy.</w:t>
      </w:r>
    </w:p>
    <w:p w14:paraId="3690C8FC" w14:textId="159108A2" w:rsidR="000E4B63" w:rsidRDefault="000E4B63" w:rsidP="00BB1552">
      <w:pPr>
        <w:jc w:val="both"/>
        <w:rPr>
          <w:noProof/>
        </w:rPr>
      </w:pPr>
      <w:r w:rsidRPr="000E4B63">
        <w:rPr>
          <w:noProof/>
        </w:rPr>
        <w:t xml:space="preserve">The remaining gaps in </w:t>
      </w:r>
      <w:r w:rsidRPr="00905FCB">
        <w:rPr>
          <w:b/>
          <w:bCs/>
          <w:noProof/>
        </w:rPr>
        <w:t>SME digitalisation and advanced technology uptake weigh on productivity and competitiveness, limiting the ability of businesses to scale, innovate and integrate into digital value chains.</w:t>
      </w:r>
      <w:r w:rsidRPr="000E4B63">
        <w:rPr>
          <w:noProof/>
        </w:rPr>
        <w:t xml:space="preserve"> Shortages of ICT specialists further constrain digital transformation across sectors. At the same time, incomplete interoperability and limited data-sharing practices reduce the efficiency gains that could be achieved through fully digital public administration, while gaps in eHealth uptake and integration affect the broader performance of the system.</w:t>
      </w:r>
    </w:p>
    <w:p w14:paraId="17B7009C" w14:textId="34E40F1D" w:rsidR="00690ACE" w:rsidRPr="000E4B63" w:rsidRDefault="00690ACE" w:rsidP="00BB1552">
      <w:pPr>
        <w:jc w:val="both"/>
        <w:rPr>
          <w:noProof/>
        </w:rPr>
      </w:pPr>
      <w:r>
        <w:rPr>
          <w:noProof/>
        </w:rPr>
        <w:t xml:space="preserve">Czechia can nevertheless </w:t>
      </w:r>
      <w:r w:rsidRPr="00905FCB">
        <w:rPr>
          <w:b/>
          <w:bCs/>
          <w:noProof/>
        </w:rPr>
        <w:t>rely on several assets for digital leadership</w:t>
      </w:r>
      <w:r>
        <w:rPr>
          <w:noProof/>
        </w:rPr>
        <w:t xml:space="preserve">. It is developing a structured approach to AI through </w:t>
      </w:r>
      <w:r w:rsidR="00A04961">
        <w:rPr>
          <w:noProof/>
        </w:rPr>
        <w:t xml:space="preserve">the </w:t>
      </w:r>
      <w:r>
        <w:rPr>
          <w:noProof/>
        </w:rPr>
        <w:t>National A</w:t>
      </w:r>
      <w:r w:rsidR="00A04961">
        <w:rPr>
          <w:noProof/>
        </w:rPr>
        <w:t xml:space="preserve">rtificial </w:t>
      </w:r>
      <w:r>
        <w:rPr>
          <w:noProof/>
        </w:rPr>
        <w:t>I</w:t>
      </w:r>
      <w:r w:rsidR="00A04961">
        <w:rPr>
          <w:noProof/>
        </w:rPr>
        <w:t>ntelligence</w:t>
      </w:r>
      <w:r>
        <w:rPr>
          <w:noProof/>
        </w:rPr>
        <w:t xml:space="preserve"> Strategy</w:t>
      </w:r>
      <w:r w:rsidR="00A04961">
        <w:rPr>
          <w:noProof/>
        </w:rPr>
        <w:t xml:space="preserve"> of the Czech Republic 2030</w:t>
      </w:r>
      <w:r>
        <w:rPr>
          <w:noProof/>
        </w:rPr>
        <w:t xml:space="preserve"> and related support </w:t>
      </w:r>
      <w:r w:rsidR="00FA6CBC">
        <w:rPr>
          <w:noProof/>
        </w:rPr>
        <w:t>initiatives</w:t>
      </w:r>
      <w:r>
        <w:rPr>
          <w:noProof/>
        </w:rPr>
        <w:t xml:space="preserve"> (including </w:t>
      </w:r>
      <w:r w:rsidR="00FA6CBC">
        <w:rPr>
          <w:noProof/>
        </w:rPr>
        <w:t xml:space="preserve">the advanced tech </w:t>
      </w:r>
      <w:r>
        <w:rPr>
          <w:noProof/>
        </w:rPr>
        <w:t>TWIST</w:t>
      </w:r>
      <w:r w:rsidR="00FA6CBC">
        <w:rPr>
          <w:noProof/>
        </w:rPr>
        <w:t xml:space="preserve"> programme</w:t>
      </w:r>
      <w:r>
        <w:rPr>
          <w:noProof/>
        </w:rPr>
        <w:t xml:space="preserve"> and EDIHs), while maintaining strong participation in European initiatives such as EuroHPC and quantum research. The innovation ecosystem is supported by incubation and internationalisation programmes, although scaling-up remains a challenge. Continued investment in advanced technologies, combined with stronger links between research and industry, will be key to consolidating this position.</w:t>
      </w:r>
    </w:p>
    <w:p w14:paraId="3DD98A35" w14:textId="66E4C30C" w:rsidR="00B23024" w:rsidRDefault="00C04D6E" w:rsidP="00C04D6E">
      <w:pPr>
        <w:rPr>
          <w:rFonts w:asciiTheme="majorHAnsi" w:hAnsiTheme="majorHAnsi" w:cstheme="majorHAnsi"/>
          <w:b/>
          <w:iCs/>
          <w:noProof/>
          <w:color w:val="0046FF"/>
          <w:sz w:val="30"/>
          <w:szCs w:val="30"/>
        </w:rPr>
      </w:pPr>
      <w:r>
        <w:rPr>
          <w:rFonts w:asciiTheme="majorHAnsi" w:hAnsiTheme="majorHAnsi" w:cstheme="majorHAnsi"/>
          <w:b/>
          <w:iCs/>
          <w:noProof/>
          <w:color w:val="0046FF"/>
          <w:sz w:val="30"/>
          <w:szCs w:val="30"/>
        </w:rPr>
        <w:t>Czechia</w:t>
      </w:r>
      <w:r w:rsidR="006C2B87" w:rsidRPr="00C04D6E">
        <w:rPr>
          <w:rFonts w:asciiTheme="majorHAnsi" w:hAnsiTheme="majorHAnsi" w:cstheme="majorHAnsi"/>
          <w:b/>
          <w:iCs/>
          <w:noProof/>
          <w:color w:val="0046FF"/>
          <w:sz w:val="30"/>
          <w:szCs w:val="30"/>
        </w:rPr>
        <w:t xml:space="preserve"> in the Digital Decade </w:t>
      </w:r>
    </w:p>
    <w:p w14:paraId="0C60E531" w14:textId="2C24951E" w:rsidR="00546222" w:rsidRDefault="00546222" w:rsidP="00546222">
      <w:pPr>
        <w:jc w:val="both"/>
        <w:rPr>
          <w:noProof/>
        </w:rPr>
      </w:pPr>
      <w:r w:rsidRPr="00343AA8">
        <w:rPr>
          <w:b/>
          <w:bCs/>
          <w:noProof/>
        </w:rPr>
        <w:t>Czechia shows a low level of ambition in its contribution to the Digital Decade having set 14 national targets (out of 14 possible),</w:t>
      </w:r>
      <w:r w:rsidRPr="00546222">
        <w:rPr>
          <w:noProof/>
        </w:rPr>
        <w:t xml:space="preserve"> 43% of which aligned with the EU 2030 targets. Czechia also set a target of 60% for the combined adoption of technologies by businesses, shy of the 75% at EU level. In its national roadmap, Czechia provided 14 trajectory points for 2025 (out of 14 analysed). </w:t>
      </w:r>
      <w:r w:rsidRPr="00343AA8">
        <w:rPr>
          <w:b/>
          <w:bCs/>
          <w:noProof/>
        </w:rPr>
        <w:t>The country is following them moderately well with 64% considered on track</w:t>
      </w:r>
      <w:r w:rsidRPr="00546222">
        <w:rPr>
          <w:noProof/>
        </w:rPr>
        <w:t xml:space="preserve">. </w:t>
      </w:r>
      <w:r w:rsidR="00723D6B">
        <w:rPr>
          <w:noProof/>
        </w:rPr>
        <w:t xml:space="preserve">Czechia </w:t>
      </w:r>
      <w:r w:rsidR="00723D6B" w:rsidRPr="00E26B9A">
        <w:rPr>
          <w:noProof/>
        </w:rPr>
        <w:t xml:space="preserve">addressed </w:t>
      </w:r>
      <w:r w:rsidR="00723D6B">
        <w:rPr>
          <w:noProof/>
        </w:rPr>
        <w:t>17</w:t>
      </w:r>
      <w:r w:rsidR="00723D6B" w:rsidRPr="00E26B9A">
        <w:rPr>
          <w:noProof/>
        </w:rPr>
        <w:t xml:space="preserve">% of the </w:t>
      </w:r>
      <w:r w:rsidR="00723D6B">
        <w:rPr>
          <w:noProof/>
        </w:rPr>
        <w:t xml:space="preserve">6 </w:t>
      </w:r>
      <w:r w:rsidR="00723D6B" w:rsidRPr="00E26B9A">
        <w:rPr>
          <w:noProof/>
        </w:rPr>
        <w:t xml:space="preserve">recommendations issued by the Commission in </w:t>
      </w:r>
      <w:r w:rsidR="00723D6B">
        <w:rPr>
          <w:noProof/>
        </w:rPr>
        <w:t xml:space="preserve">2025 </w:t>
      </w:r>
      <w:r w:rsidR="00723D6B" w:rsidRPr="000336FA">
        <w:rPr>
          <w:noProof/>
          <w:lang w:val="en-US"/>
        </w:rPr>
        <w:t>by</w:t>
      </w:r>
      <w:r w:rsidR="00723D6B" w:rsidRPr="00E26B9A">
        <w:rPr>
          <w:noProof/>
          <w:lang w:val="en-US"/>
        </w:rPr>
        <w:t xml:space="preserve"> making some changes </w:t>
      </w:r>
      <w:r w:rsidR="00723D6B">
        <w:rPr>
          <w:noProof/>
          <w:lang w:val="en-US"/>
        </w:rPr>
        <w:t>thr</w:t>
      </w:r>
      <w:r w:rsidR="00723D6B" w:rsidRPr="00E26B9A">
        <w:rPr>
          <w:noProof/>
          <w:lang w:val="en-US"/>
        </w:rPr>
        <w:t>ough new measures</w:t>
      </w:r>
      <w:r w:rsidR="00723D6B">
        <w:rPr>
          <w:noProof/>
          <w:lang w:val="en-US"/>
        </w:rPr>
        <w:t xml:space="preserve">. </w:t>
      </w:r>
      <w:r w:rsidRPr="00546222">
        <w:rPr>
          <w:noProof/>
        </w:rPr>
        <w:t xml:space="preserve">According to the national roadmap, by the end of 2026, 69% of the measures will come to an end. The total public budget associated to these measures is EUR </w:t>
      </w:r>
      <w:r w:rsidR="001A400E" w:rsidRPr="00546222">
        <w:rPr>
          <w:noProof/>
        </w:rPr>
        <w:t>98</w:t>
      </w:r>
      <w:r w:rsidR="001A400E">
        <w:rPr>
          <w:noProof/>
        </w:rPr>
        <w:t>8</w:t>
      </w:r>
      <w:r w:rsidR="001A400E" w:rsidRPr="00546222">
        <w:rPr>
          <w:noProof/>
        </w:rPr>
        <w:t xml:space="preserve"> </w:t>
      </w:r>
      <w:r w:rsidRPr="00546222">
        <w:rPr>
          <w:noProof/>
        </w:rPr>
        <w:t xml:space="preserve">million, representing 31% of the total public budget outlined in the roadmap. </w:t>
      </w:r>
    </w:p>
    <w:p w14:paraId="22D819CE" w14:textId="5DD6CC40" w:rsidR="00343AA8" w:rsidRDefault="005F1474" w:rsidP="00546222">
      <w:pPr>
        <w:jc w:val="both"/>
        <w:rPr>
          <w:noProof/>
        </w:rPr>
      </w:pPr>
      <w:r w:rsidRPr="005F1474">
        <w:rPr>
          <w:noProof/>
        </w:rPr>
        <w:t>According to the</w:t>
      </w:r>
      <w:r w:rsidRPr="00A3565F">
        <w:rPr>
          <w:b/>
          <w:bCs/>
          <w:noProof/>
        </w:rPr>
        <w:t xml:space="preserve"> special Eurobarometer on 'the Digital Decade' 2026, 7</w:t>
      </w:r>
      <w:r w:rsidR="004D1D92">
        <w:rPr>
          <w:b/>
          <w:bCs/>
          <w:noProof/>
        </w:rPr>
        <w:t>2</w:t>
      </w:r>
      <w:r w:rsidRPr="00A3565F">
        <w:rPr>
          <w:b/>
          <w:bCs/>
          <w:noProof/>
        </w:rPr>
        <w:t>% of Czech people consider that digital policy should have a very high/high priority for the EU in shaping our future in Europe</w:t>
      </w:r>
      <w:r w:rsidRPr="005F1474">
        <w:rPr>
          <w:noProof/>
        </w:rPr>
        <w:t xml:space="preserve">. They also think that, in the next ten years, </w:t>
      </w:r>
      <w:r w:rsidRPr="00BC404E">
        <w:rPr>
          <w:b/>
          <w:bCs/>
          <w:noProof/>
        </w:rPr>
        <w:t>the EU should cooperate with Member States to reinforce cybersecurity and protection from online threats</w:t>
      </w:r>
      <w:r w:rsidRPr="005F1474">
        <w:rPr>
          <w:noProof/>
        </w:rPr>
        <w:t xml:space="preserve"> (86%), </w:t>
      </w:r>
      <w:r w:rsidRPr="00BC404E">
        <w:rPr>
          <w:b/>
          <w:bCs/>
          <w:noProof/>
        </w:rPr>
        <w:t>promote digital education and skills programs</w:t>
      </w:r>
      <w:r w:rsidRPr="005F1474">
        <w:rPr>
          <w:noProof/>
        </w:rPr>
        <w:t xml:space="preserve"> (80%) and </w:t>
      </w:r>
      <w:r w:rsidR="00962251">
        <w:rPr>
          <w:b/>
          <w:bCs/>
          <w:noProof/>
        </w:rPr>
        <w:t xml:space="preserve">develop shared digital </w:t>
      </w:r>
      <w:r w:rsidR="00F55BAB">
        <w:rPr>
          <w:b/>
          <w:bCs/>
          <w:noProof/>
        </w:rPr>
        <w:t>public</w:t>
      </w:r>
      <w:r w:rsidR="00416F8F">
        <w:rPr>
          <w:b/>
          <w:bCs/>
          <w:noProof/>
        </w:rPr>
        <w:t xml:space="preserve"> </w:t>
      </w:r>
      <w:r w:rsidR="00962251">
        <w:rPr>
          <w:b/>
          <w:bCs/>
          <w:noProof/>
        </w:rPr>
        <w:t>services</w:t>
      </w:r>
      <w:r w:rsidRPr="00BC404E">
        <w:rPr>
          <w:b/>
          <w:bCs/>
          <w:noProof/>
        </w:rPr>
        <w:t xml:space="preserve"> </w:t>
      </w:r>
      <w:r w:rsidRPr="005F1474">
        <w:rPr>
          <w:noProof/>
        </w:rPr>
        <w:t xml:space="preserve">(74%). In addition, </w:t>
      </w:r>
      <w:r w:rsidRPr="00805503">
        <w:rPr>
          <w:b/>
          <w:bCs/>
          <w:noProof/>
        </w:rPr>
        <w:t>77% of Czech respondents think that the EU should reduce its dependencies on digital from third countries</w:t>
      </w:r>
      <w:r w:rsidRPr="005F1474">
        <w:rPr>
          <w:noProof/>
        </w:rPr>
        <w:t xml:space="preserve">, and </w:t>
      </w:r>
      <w:r w:rsidRPr="00510FB7">
        <w:rPr>
          <w:b/>
          <w:bCs/>
          <w:noProof/>
        </w:rPr>
        <w:t>77% that the EU should prioritise investments in digital infrastructure and services that are developed and controlled in Europe</w:t>
      </w:r>
      <w:r w:rsidRPr="005F1474">
        <w:rPr>
          <w:noProof/>
        </w:rPr>
        <w:t xml:space="preserve">. Meanwhile, </w:t>
      </w:r>
      <w:r w:rsidRPr="00510FB7">
        <w:rPr>
          <w:b/>
          <w:bCs/>
          <w:noProof/>
        </w:rPr>
        <w:t>45% would be willing to switch to an EU-based digital service provider</w:t>
      </w:r>
      <w:r w:rsidRPr="005F1474">
        <w:rPr>
          <w:noProof/>
        </w:rPr>
        <w:t xml:space="preserve"> even if it means slightly higher costs.</w:t>
      </w:r>
    </w:p>
    <w:p w14:paraId="22D911DF" w14:textId="77777777" w:rsidR="0004296B" w:rsidRDefault="0004296B" w:rsidP="00546222">
      <w:pPr>
        <w:jc w:val="both"/>
        <w:rPr>
          <w:noProof/>
        </w:rPr>
      </w:pPr>
    </w:p>
    <w:p w14:paraId="21D99A5E" w14:textId="77777777" w:rsidR="0004296B" w:rsidRPr="00546222" w:rsidRDefault="0004296B" w:rsidP="00546222">
      <w:pPr>
        <w:jc w:val="both"/>
        <w:rPr>
          <w:noProof/>
        </w:rPr>
      </w:pPr>
    </w:p>
    <w:p w14:paraId="22AFE0CC" w14:textId="21EFECEC" w:rsidR="00A77238" w:rsidRDefault="00A77238" w:rsidP="00A77238">
      <w:pPr>
        <w:rPr>
          <w:rFonts w:asciiTheme="majorHAnsi" w:hAnsiTheme="majorHAnsi" w:cstheme="majorHAnsi"/>
          <w:b/>
          <w:iCs/>
          <w:noProof/>
          <w:color w:val="0046FF"/>
          <w:sz w:val="30"/>
          <w:szCs w:val="30"/>
        </w:rPr>
      </w:pPr>
      <w:r w:rsidRPr="00A77238">
        <w:rPr>
          <w:rFonts w:asciiTheme="majorHAnsi" w:hAnsiTheme="majorHAnsi" w:cstheme="majorHAnsi"/>
          <w:b/>
          <w:iCs/>
          <w:noProof/>
          <w:color w:val="0046FF"/>
          <w:sz w:val="30"/>
          <w:szCs w:val="30"/>
        </w:rPr>
        <w:t>Funding for digital and multi-country projects  </w:t>
      </w:r>
    </w:p>
    <w:p w14:paraId="758640AE" w14:textId="312A9A81" w:rsidR="0021773A" w:rsidRPr="00412A75" w:rsidRDefault="009D27B7" w:rsidP="008D7491">
      <w:pPr>
        <w:jc w:val="both"/>
        <w:rPr>
          <w:noProof/>
        </w:rPr>
      </w:pPr>
      <w:bookmarkStart w:id="4" w:name="_Toc220422728"/>
      <w:r>
        <w:rPr>
          <w:noProof/>
        </w:rPr>
        <w:t>Czechia allocates 22</w:t>
      </w:r>
      <w:r w:rsidRPr="00CE296D">
        <w:rPr>
          <w:noProof/>
        </w:rPr>
        <w:t>% of its total</w:t>
      </w:r>
      <w:r>
        <w:rPr>
          <w:noProof/>
        </w:rPr>
        <w:t xml:space="preserve"> recovery and resilience plan</w:t>
      </w:r>
      <w:r w:rsidRPr="00CE296D">
        <w:rPr>
          <w:noProof/>
        </w:rPr>
        <w:t xml:space="preserve"> </w:t>
      </w:r>
      <w:r w:rsidRPr="002A4C5B">
        <w:rPr>
          <w:noProof/>
        </w:rPr>
        <w:t>to digital (EUR 1.8 billion). In addition, under cohesion policy, EUR 1.8 billion, representing 9% of the country’s total cohesion policy funding, is dedicated to advancing Czechia’s digital transformation.</w:t>
      </w:r>
    </w:p>
    <w:p w14:paraId="7E133059" w14:textId="1BC06A8C" w:rsidR="00AA26A4" w:rsidRDefault="00FA7F27" w:rsidP="5D8E2523">
      <w:pPr>
        <w:jc w:val="both"/>
        <w:rPr>
          <w:b/>
          <w:bCs/>
          <w:noProof/>
        </w:rPr>
      </w:pPr>
      <w:r w:rsidRPr="5D8E2523">
        <w:rPr>
          <w:b/>
          <w:bCs/>
          <w:noProof/>
        </w:rPr>
        <w:t xml:space="preserve">Czechia is a member of the Alliance for Language Technologies EDIC and of the Local Digital Twins towards the CitiVERSE EDIC. </w:t>
      </w:r>
      <w:r>
        <w:rPr>
          <w:noProof/>
        </w:rPr>
        <w:t>Czechia is directly participating in the IPCEI on Microelectronics and Communication Technologies (IPCEI-ME/CT</w:t>
      </w:r>
      <w:r w:rsidRPr="00A31C52">
        <w:rPr>
          <w:noProof/>
        </w:rPr>
        <w:t>)</w:t>
      </w:r>
      <w:r w:rsidR="51BD473C" w:rsidRPr="00A31C52">
        <w:rPr>
          <w:rFonts w:ascii="Calibri" w:eastAsia="Calibri" w:hAnsi="Calibri" w:cs="Calibri"/>
          <w:noProof/>
        </w:rPr>
        <w:t>, supported under National Recovery Plan</w:t>
      </w:r>
      <w:r w:rsidRPr="00A31C52">
        <w:rPr>
          <w:noProof/>
        </w:rPr>
        <w:t xml:space="preserve">. Czechia </w:t>
      </w:r>
      <w:r>
        <w:rPr>
          <w:noProof/>
        </w:rPr>
        <w:t>is a participating state of the EuroHPC Joint Undertaking (JU) and of the Chips JU.</w:t>
      </w:r>
      <w:r w:rsidRPr="5D8E2523">
        <w:rPr>
          <w:b/>
          <w:bCs/>
          <w:noProof/>
        </w:rPr>
        <w:t xml:space="preserve">  </w:t>
      </w:r>
    </w:p>
    <w:p w14:paraId="17054E7C" w14:textId="77777777" w:rsidR="00FA7F27" w:rsidRPr="007C0C4B" w:rsidRDefault="00FA7F27" w:rsidP="008D7491">
      <w:pPr>
        <w:jc w:val="both"/>
        <w:rPr>
          <w:noProof/>
        </w:rPr>
      </w:pPr>
    </w:p>
    <w:tbl>
      <w:tblPr>
        <w:tblStyle w:val="TableGrid"/>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436"/>
        <w:gridCol w:w="995"/>
        <w:gridCol w:w="809"/>
        <w:gridCol w:w="813"/>
        <w:gridCol w:w="1060"/>
        <w:gridCol w:w="664"/>
        <w:gridCol w:w="772"/>
        <w:gridCol w:w="756"/>
        <w:gridCol w:w="711"/>
      </w:tblGrid>
      <w:tr w:rsidR="00214005" w:rsidRPr="00602CDA" w14:paraId="048F18CD" w14:textId="77777777" w:rsidTr="00214005">
        <w:trPr>
          <w:trHeight w:hRule="exact" w:val="454"/>
        </w:trPr>
        <w:tc>
          <w:tcPr>
            <w:tcW w:w="2436"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4132C5EF" w14:textId="77777777" w:rsidR="00214005" w:rsidRPr="00602CDA" w:rsidRDefault="00214005" w:rsidP="00D37202">
            <w:pPr>
              <w:rPr>
                <w:noProof/>
                <w:color w:val="FFFFFF" w:themeColor="background1"/>
              </w:rPr>
            </w:pPr>
            <w:r w:rsidRPr="00602CDA">
              <w:rPr>
                <w:rFonts w:ascii="Calibri" w:eastAsia="Times New Roman" w:hAnsi="Calibri" w:cs="Calibri"/>
                <w:noProof/>
                <w:color w:val="FFFFFF" w:themeColor="background1"/>
                <w:sz w:val="28"/>
                <w:szCs w:val="28"/>
                <w:lang w:eastAsia="en-IE"/>
              </w:rPr>
              <w:t>Digital Decade KPI</w:t>
            </w:r>
            <w:r w:rsidRPr="00602CDA">
              <w:rPr>
                <w:rFonts w:ascii="Calibri" w:eastAsia="Times New Roman" w:hAnsi="Calibri" w:cs="Calibri"/>
                <w:noProof/>
                <w:color w:val="FFFFFF" w:themeColor="background1"/>
                <w:sz w:val="24"/>
                <w:szCs w:val="24"/>
                <w:lang w:eastAsia="en-IE"/>
              </w:rPr>
              <w:t xml:space="preserve"> </w:t>
            </w:r>
            <w:r w:rsidRPr="00602CDA">
              <w:rPr>
                <w:rFonts w:ascii="Calibri" w:eastAsia="Times New Roman" w:hAnsi="Calibri" w:cs="Calibri"/>
                <w:noProof/>
                <w:color w:val="FFFFFF" w:themeColor="background1"/>
                <w:sz w:val="24"/>
                <w:szCs w:val="24"/>
                <w:vertAlign w:val="superscript"/>
                <w:lang w:eastAsia="en-IE"/>
              </w:rPr>
              <w:t>(1)</w:t>
            </w:r>
          </w:p>
        </w:tc>
        <w:tc>
          <w:tcPr>
            <w:tcW w:w="3677" w:type="dxa"/>
            <w:gridSpan w:val="4"/>
            <w:tcBorders>
              <w:top w:val="single" w:sz="4" w:space="0" w:color="8B73FF"/>
              <w:left w:val="single" w:sz="4" w:space="0" w:color="8B73FF"/>
              <w:bottom w:val="single" w:sz="4" w:space="0" w:color="8B73FF"/>
              <w:right w:val="single" w:sz="4" w:space="0" w:color="8B73FF"/>
            </w:tcBorders>
            <w:shd w:val="clear" w:color="auto" w:fill="8B73FF"/>
            <w:vAlign w:val="center"/>
          </w:tcPr>
          <w:p w14:paraId="18B17B5D" w14:textId="6ABCEE5C" w:rsidR="00214005" w:rsidRPr="00602CDA" w:rsidRDefault="00214005" w:rsidP="00D37202">
            <w:pPr>
              <w:jc w:val="center"/>
              <w:rPr>
                <w:rFonts w:ascii="Calibri" w:eastAsia="Times New Roman" w:hAnsi="Calibri" w:cs="Calibri"/>
                <w:noProof/>
                <w:color w:val="FFFFFF" w:themeColor="background1"/>
                <w:sz w:val="24"/>
                <w:szCs w:val="24"/>
                <w:lang w:eastAsia="en-IE"/>
              </w:rPr>
            </w:pPr>
            <w:r>
              <w:rPr>
                <w:noProof/>
                <w:color w:val="FFFFFF" w:themeColor="background1"/>
              </w:rPr>
              <w:t>Czechia</w:t>
            </w:r>
          </w:p>
        </w:tc>
        <w:tc>
          <w:tcPr>
            <w:tcW w:w="1436"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5E4C242F" w14:textId="1B7954A8" w:rsidR="00214005" w:rsidRPr="00602CDA" w:rsidRDefault="00214005" w:rsidP="00D37202">
            <w:pPr>
              <w:jc w:val="center"/>
              <w:rPr>
                <w:noProof/>
                <w:color w:val="FFFFFF" w:themeColor="background1"/>
              </w:rPr>
            </w:pPr>
            <w:r w:rsidRPr="00602CDA">
              <w:rPr>
                <w:rFonts w:ascii="Calibri" w:eastAsia="Times New Roman" w:hAnsi="Calibri" w:cs="Calibri"/>
                <w:noProof/>
                <w:color w:val="FFFFFF" w:themeColor="background1"/>
                <w:sz w:val="24"/>
                <w:szCs w:val="24"/>
                <w:lang w:eastAsia="en-IE"/>
              </w:rPr>
              <w:t>EU</w:t>
            </w:r>
          </w:p>
        </w:tc>
        <w:tc>
          <w:tcPr>
            <w:tcW w:w="1467"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2A150C8C" w14:textId="77777777" w:rsidR="00214005" w:rsidRPr="00602CDA" w:rsidRDefault="00214005" w:rsidP="00D37202">
            <w:pPr>
              <w:jc w:val="center"/>
              <w:rPr>
                <w:noProof/>
                <w:color w:val="FFFFFF" w:themeColor="background1"/>
              </w:rPr>
            </w:pPr>
            <w:r w:rsidRPr="00602CDA">
              <w:rPr>
                <w:rFonts w:ascii="Calibri" w:eastAsia="Times New Roman" w:hAnsi="Calibri" w:cs="Calibri"/>
                <w:noProof/>
                <w:color w:val="FFFFFF" w:themeColor="background1"/>
                <w:sz w:val="16"/>
                <w:szCs w:val="16"/>
                <w:lang w:eastAsia="en-IE"/>
              </w:rPr>
              <w:t>Digital Decade target by 2030</w:t>
            </w:r>
          </w:p>
        </w:tc>
      </w:tr>
      <w:tr w:rsidR="00214005" w:rsidRPr="00602CDA" w14:paraId="2399EB49" w14:textId="77777777" w:rsidTr="00F6606C">
        <w:trPr>
          <w:cantSplit/>
          <w:trHeight w:hRule="exact" w:val="863"/>
        </w:trPr>
        <w:tc>
          <w:tcPr>
            <w:tcW w:w="2436" w:type="dxa"/>
            <w:vMerge/>
            <w:tcBorders>
              <w:top w:val="single" w:sz="4" w:space="0" w:color="8B73FF"/>
              <w:left w:val="single" w:sz="4" w:space="0" w:color="8B73FF"/>
              <w:bottom w:val="single" w:sz="4" w:space="0" w:color="8B73FF"/>
              <w:right w:val="single" w:sz="4" w:space="0" w:color="8B73FF"/>
            </w:tcBorders>
          </w:tcPr>
          <w:p w14:paraId="00B71DF5" w14:textId="77777777" w:rsidR="00214005" w:rsidRPr="00602CDA" w:rsidRDefault="00214005" w:rsidP="00D37202">
            <w:pPr>
              <w:rPr>
                <w:noProof/>
              </w:rPr>
            </w:pPr>
          </w:p>
        </w:tc>
        <w:tc>
          <w:tcPr>
            <w:tcW w:w="99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C04FD4C" w14:textId="5F0A9EB6" w:rsidR="00214005" w:rsidRPr="00602CDA" w:rsidRDefault="00214005" w:rsidP="00F6606C">
            <w:pPr>
              <w:jc w:val="center"/>
              <w:rPr>
                <w:noProof/>
                <w:color w:val="000000" w:themeColor="text1"/>
              </w:rPr>
            </w:pPr>
            <w:r w:rsidRPr="005E0A3C">
              <w:rPr>
                <w:rFonts w:ascii="Calibri" w:eastAsia="Times New Roman" w:hAnsi="Calibri" w:cs="Calibri"/>
                <w:bCs/>
                <w:noProof/>
                <w:color w:val="000000" w:themeColor="text1"/>
                <w:sz w:val="16"/>
                <w:szCs w:val="16"/>
                <w:lang w:eastAsia="en-IE"/>
              </w:rPr>
              <w:t>Last available</w:t>
            </w:r>
            <w:r>
              <w:rPr>
                <w:rFonts w:ascii="Calibri" w:eastAsia="Times New Roman" w:hAnsi="Calibri" w:cs="Calibri"/>
                <w:bCs/>
                <w:noProof/>
                <w:color w:val="000000" w:themeColor="text1"/>
                <w:sz w:val="16"/>
                <w:szCs w:val="16"/>
                <w:lang w:eastAsia="en-IE"/>
              </w:rPr>
              <w:t xml:space="preserve"> </w:t>
            </w:r>
            <w:r w:rsidRPr="005E0A3C">
              <w:rPr>
                <w:rFonts w:ascii="Calibri" w:eastAsia="Times New Roman" w:hAnsi="Calibri" w:cs="Calibri"/>
                <w:bCs/>
                <w:noProof/>
                <w:color w:val="000000" w:themeColor="text1"/>
                <w:sz w:val="16"/>
                <w:szCs w:val="16"/>
                <w:lang w:eastAsia="en-IE"/>
              </w:rPr>
              <w:t>data (2)</w:t>
            </w:r>
          </w:p>
        </w:tc>
        <w:tc>
          <w:tcPr>
            <w:tcW w:w="80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676166A" w14:textId="1DB18809" w:rsidR="00214005" w:rsidRPr="00602CDA" w:rsidRDefault="00214005" w:rsidP="00F6606C">
            <w:pPr>
              <w:jc w:val="center"/>
              <w:rPr>
                <w:noProof/>
                <w:color w:val="000000" w:themeColor="text1"/>
              </w:rPr>
            </w:pPr>
            <w:r w:rsidRPr="00602CDA">
              <w:rPr>
                <w:rFonts w:ascii="Calibri" w:eastAsia="Times New Roman" w:hAnsi="Calibri" w:cs="Calibri"/>
                <w:bCs/>
                <w:noProof/>
                <w:color w:val="000000" w:themeColor="text1"/>
                <w:sz w:val="16"/>
                <w:szCs w:val="16"/>
                <w:lang w:eastAsia="en-IE"/>
              </w:rPr>
              <w:t>DESI 202</w:t>
            </w:r>
            <w:r>
              <w:rPr>
                <w:rFonts w:ascii="Calibri" w:eastAsia="Times New Roman" w:hAnsi="Calibri" w:cs="Calibri"/>
                <w:bCs/>
                <w:noProof/>
                <w:color w:val="000000" w:themeColor="text1"/>
                <w:sz w:val="16"/>
                <w:szCs w:val="16"/>
                <w:lang w:eastAsia="en-IE"/>
              </w:rPr>
              <w:t>6 (</w:t>
            </w:r>
            <w:r w:rsidRPr="00602CDA">
              <w:rPr>
                <w:rFonts w:ascii="Calibri" w:eastAsia="Times New Roman" w:hAnsi="Calibri" w:cs="Calibri"/>
                <w:bCs/>
                <w:noProof/>
                <w:color w:val="000000" w:themeColor="text1"/>
                <w:sz w:val="16"/>
                <w:szCs w:val="16"/>
                <w:lang w:eastAsia="en-IE"/>
              </w:rPr>
              <w:t>year 202</w:t>
            </w:r>
            <w:r w:rsidR="00A04961">
              <w:rPr>
                <w:rFonts w:ascii="Calibri" w:eastAsia="Times New Roman" w:hAnsi="Calibri" w:cs="Calibri"/>
                <w:bCs/>
                <w:noProof/>
                <w:color w:val="000000" w:themeColor="text1"/>
                <w:sz w:val="16"/>
                <w:szCs w:val="16"/>
                <w:lang w:eastAsia="en-IE"/>
              </w:rPr>
              <w:t>5</w:t>
            </w:r>
            <w:r w:rsidRPr="00602CDA">
              <w:rPr>
                <w:rFonts w:ascii="Calibri" w:eastAsia="Times New Roman" w:hAnsi="Calibri" w:cs="Calibri"/>
                <w:bCs/>
                <w:noProof/>
                <w:color w:val="000000" w:themeColor="text1"/>
                <w:sz w:val="16"/>
                <w:szCs w:val="16"/>
                <w:lang w:eastAsia="en-IE"/>
              </w:rPr>
              <w:t>)</w:t>
            </w:r>
          </w:p>
        </w:tc>
        <w:tc>
          <w:tcPr>
            <w:tcW w:w="81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B46C2A0" w14:textId="77777777" w:rsidR="00214005" w:rsidRPr="00602CDA" w:rsidRDefault="00214005" w:rsidP="00F6606C">
            <w:pPr>
              <w:jc w:val="center"/>
              <w:rPr>
                <w:noProof/>
                <w:color w:val="000000" w:themeColor="text1"/>
              </w:rPr>
            </w:pPr>
            <w:r w:rsidRPr="00602CDA">
              <w:rPr>
                <w:rFonts w:ascii="Calibri" w:eastAsia="Times New Roman" w:hAnsi="Calibri" w:cs="Calibri"/>
                <w:bCs/>
                <w:noProof/>
                <w:color w:val="000000" w:themeColor="text1"/>
                <w:sz w:val="16"/>
                <w:szCs w:val="16"/>
                <w:lang w:eastAsia="en-IE"/>
              </w:rPr>
              <w:t>Annual progress</w:t>
            </w:r>
          </w:p>
        </w:tc>
        <w:tc>
          <w:tcPr>
            <w:tcW w:w="106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F7E021E" w14:textId="3B863FB9" w:rsidR="00214005" w:rsidRPr="00602CDA" w:rsidRDefault="00214005" w:rsidP="00F6606C">
            <w:pPr>
              <w:jc w:val="center"/>
              <w:rPr>
                <w:rFonts w:ascii="Calibri" w:eastAsia="Times New Roman" w:hAnsi="Calibri" w:cs="Calibri"/>
                <w:bCs/>
                <w:noProof/>
                <w:color w:val="000000" w:themeColor="text1"/>
                <w:sz w:val="16"/>
                <w:szCs w:val="16"/>
                <w:lang w:eastAsia="en-IE"/>
              </w:rPr>
            </w:pPr>
            <w:r>
              <w:rPr>
                <w:rFonts w:ascii="Calibri" w:eastAsia="Times New Roman" w:hAnsi="Calibri" w:cs="Calibri"/>
                <w:bCs/>
                <w:noProof/>
                <w:color w:val="000000" w:themeColor="text1"/>
                <w:sz w:val="16"/>
                <w:szCs w:val="16"/>
                <w:lang w:eastAsia="en-IE"/>
              </w:rPr>
              <w:t>National trajectory (3)</w:t>
            </w:r>
          </w:p>
        </w:tc>
        <w:tc>
          <w:tcPr>
            <w:tcW w:w="66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4A55BAE" w14:textId="3EBC86BA" w:rsidR="00214005" w:rsidRPr="00602CDA" w:rsidRDefault="00214005" w:rsidP="00F6606C">
            <w:pPr>
              <w:jc w:val="center"/>
              <w:rPr>
                <w:noProof/>
                <w:color w:val="000000" w:themeColor="text1"/>
              </w:rPr>
            </w:pPr>
            <w:r w:rsidRPr="00602CDA">
              <w:rPr>
                <w:rFonts w:ascii="Calibri" w:eastAsia="Times New Roman" w:hAnsi="Calibri" w:cs="Calibri"/>
                <w:bCs/>
                <w:noProof/>
                <w:color w:val="000000" w:themeColor="text1"/>
                <w:sz w:val="16"/>
                <w:szCs w:val="16"/>
                <w:lang w:eastAsia="en-IE"/>
              </w:rPr>
              <w:t>DESI 202</w:t>
            </w:r>
            <w:r>
              <w:rPr>
                <w:rFonts w:ascii="Calibri" w:eastAsia="Times New Roman" w:hAnsi="Calibri" w:cs="Calibri"/>
                <w:bCs/>
                <w:noProof/>
                <w:color w:val="000000" w:themeColor="text1"/>
                <w:sz w:val="16"/>
                <w:szCs w:val="16"/>
                <w:lang w:eastAsia="en-IE"/>
              </w:rPr>
              <w:t xml:space="preserve">6 </w:t>
            </w:r>
            <w:r w:rsidRPr="00602CDA">
              <w:rPr>
                <w:rFonts w:ascii="Calibri" w:eastAsia="Times New Roman" w:hAnsi="Calibri" w:cs="Calibri"/>
                <w:bCs/>
                <w:noProof/>
                <w:color w:val="000000" w:themeColor="text1"/>
                <w:sz w:val="16"/>
                <w:szCs w:val="16"/>
                <w:lang w:eastAsia="en-IE"/>
              </w:rPr>
              <w:t>(year 202</w:t>
            </w:r>
            <w:r w:rsidR="00A04961">
              <w:rPr>
                <w:rFonts w:ascii="Calibri" w:eastAsia="Times New Roman" w:hAnsi="Calibri" w:cs="Calibri"/>
                <w:bCs/>
                <w:noProof/>
                <w:color w:val="000000" w:themeColor="text1"/>
                <w:sz w:val="16"/>
                <w:szCs w:val="16"/>
                <w:lang w:eastAsia="en-IE"/>
              </w:rPr>
              <w:t>5</w:t>
            </w:r>
            <w:r w:rsidRPr="00602CDA">
              <w:rPr>
                <w:rFonts w:ascii="Calibri" w:eastAsia="Times New Roman" w:hAnsi="Calibri" w:cs="Calibri"/>
                <w:bCs/>
                <w:noProof/>
                <w:color w:val="000000" w:themeColor="text1"/>
                <w:sz w:val="16"/>
                <w:szCs w:val="16"/>
                <w:lang w:eastAsia="en-IE"/>
              </w:rPr>
              <w:t>)</w:t>
            </w:r>
          </w:p>
        </w:tc>
        <w:tc>
          <w:tcPr>
            <w:tcW w:w="77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6BAD6E3" w14:textId="77777777" w:rsidR="00214005" w:rsidRPr="00602CDA" w:rsidRDefault="00214005" w:rsidP="00F6606C">
            <w:pPr>
              <w:jc w:val="center"/>
              <w:rPr>
                <w:noProof/>
                <w:color w:val="000000" w:themeColor="text1"/>
              </w:rPr>
            </w:pPr>
            <w:r w:rsidRPr="00602CDA">
              <w:rPr>
                <w:rFonts w:ascii="Calibri" w:eastAsia="Times New Roman" w:hAnsi="Calibri" w:cs="Calibri"/>
                <w:bCs/>
                <w:noProof/>
                <w:color w:val="000000" w:themeColor="text1"/>
                <w:sz w:val="16"/>
                <w:szCs w:val="16"/>
                <w:lang w:eastAsia="en-IE"/>
              </w:rPr>
              <w:t>Annual progress</w:t>
            </w:r>
          </w:p>
        </w:tc>
        <w:tc>
          <w:tcPr>
            <w:tcW w:w="75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8D2908A" w14:textId="3492F14F" w:rsidR="00214005" w:rsidRPr="00602CDA" w:rsidRDefault="00214005" w:rsidP="00F6606C">
            <w:pPr>
              <w:jc w:val="center"/>
              <w:rPr>
                <w:noProof/>
                <w:color w:val="000000" w:themeColor="text1"/>
              </w:rPr>
            </w:pPr>
            <w:r w:rsidRPr="00D31388">
              <w:rPr>
                <w:rFonts w:ascii="Calibri" w:eastAsia="Times New Roman" w:hAnsi="Calibri" w:cs="Calibri"/>
                <w:b/>
                <w:noProof/>
                <w:color w:val="000000" w:themeColor="text1"/>
                <w:sz w:val="16"/>
                <w:szCs w:val="16"/>
                <w:lang w:eastAsia="en-IE"/>
              </w:rPr>
              <w:t>CZ</w:t>
            </w:r>
          </w:p>
        </w:tc>
        <w:tc>
          <w:tcPr>
            <w:tcW w:w="711"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0FFE24F" w14:textId="77777777" w:rsidR="00214005" w:rsidRPr="00602CDA" w:rsidRDefault="00214005" w:rsidP="00F6606C">
            <w:pPr>
              <w:jc w:val="center"/>
              <w:rPr>
                <w:noProof/>
                <w:color w:val="000000" w:themeColor="text1"/>
              </w:rPr>
            </w:pPr>
            <w:r w:rsidRPr="00602CDA">
              <w:rPr>
                <w:rFonts w:ascii="Calibri" w:eastAsia="Times New Roman" w:hAnsi="Calibri" w:cs="Calibri"/>
                <w:b/>
                <w:noProof/>
                <w:color w:val="000000" w:themeColor="text1"/>
                <w:sz w:val="16"/>
                <w:szCs w:val="16"/>
                <w:lang w:eastAsia="en-IE"/>
              </w:rPr>
              <w:t>EU</w:t>
            </w:r>
          </w:p>
        </w:tc>
      </w:tr>
      <w:tr w:rsidR="00295677" w:rsidRPr="00602CDA" w14:paraId="6C1A35D0" w14:textId="77777777" w:rsidTr="000E1D14">
        <w:trPr>
          <w:cantSplit/>
          <w:trHeight w:hRule="exact" w:val="472"/>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2E4094A" w14:textId="38685D5D" w:rsidR="00295677" w:rsidRPr="00214005" w:rsidRDefault="00295677" w:rsidP="00295677">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Fixed Very High Capacity Network (VHCN) coverage</w:t>
            </w:r>
          </w:p>
        </w:tc>
        <w:tc>
          <w:tcPr>
            <w:tcW w:w="995" w:type="dxa"/>
            <w:tcBorders>
              <w:top w:val="single" w:sz="4" w:space="0" w:color="8B73FF"/>
              <w:left w:val="single" w:sz="4" w:space="0" w:color="8B73FF"/>
              <w:bottom w:val="single" w:sz="4" w:space="0" w:color="8B73FF"/>
              <w:right w:val="single" w:sz="4" w:space="0" w:color="8B73FF"/>
            </w:tcBorders>
            <w:vAlign w:val="center"/>
          </w:tcPr>
          <w:p w14:paraId="61453772" w14:textId="477D5891" w:rsidR="00295677" w:rsidRPr="00DC3920"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53.9%</w:t>
            </w:r>
          </w:p>
        </w:tc>
        <w:tc>
          <w:tcPr>
            <w:tcW w:w="809" w:type="dxa"/>
            <w:tcBorders>
              <w:top w:val="single" w:sz="4" w:space="0" w:color="8B73FF"/>
              <w:left w:val="single" w:sz="4" w:space="0" w:color="8B73FF"/>
              <w:bottom w:val="single" w:sz="4" w:space="0" w:color="8B73FF"/>
              <w:right w:val="single" w:sz="4" w:space="0" w:color="8B73FF"/>
            </w:tcBorders>
            <w:vAlign w:val="center"/>
          </w:tcPr>
          <w:p w14:paraId="376CE8E8" w14:textId="6ECD95CF" w:rsidR="00295677" w:rsidRPr="00DC3920"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54.7%</w:t>
            </w:r>
          </w:p>
        </w:tc>
        <w:tc>
          <w:tcPr>
            <w:tcW w:w="813" w:type="dxa"/>
            <w:tcBorders>
              <w:top w:val="single" w:sz="4" w:space="0" w:color="8B73FF"/>
              <w:left w:val="single" w:sz="4" w:space="0" w:color="8B73FF"/>
              <w:bottom w:val="single" w:sz="4" w:space="0" w:color="8B73FF"/>
              <w:right w:val="single" w:sz="4" w:space="0" w:color="8B73FF"/>
            </w:tcBorders>
            <w:vAlign w:val="center"/>
          </w:tcPr>
          <w:p w14:paraId="682FD39C" w14:textId="71BF2C22" w:rsidR="00295677" w:rsidRPr="00B02EF9"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1.4%</w:t>
            </w:r>
          </w:p>
        </w:tc>
        <w:tc>
          <w:tcPr>
            <w:tcW w:w="1060" w:type="dxa"/>
            <w:tcBorders>
              <w:top w:val="single" w:sz="4" w:space="0" w:color="8B73FF"/>
              <w:left w:val="single" w:sz="4" w:space="0" w:color="8B73FF"/>
              <w:bottom w:val="single" w:sz="4" w:space="0" w:color="8B73FF"/>
              <w:right w:val="single" w:sz="4" w:space="0" w:color="8B73FF"/>
            </w:tcBorders>
            <w:vAlign w:val="center"/>
          </w:tcPr>
          <w:p w14:paraId="6914F855" w14:textId="6270B03B" w:rsidR="00295677" w:rsidRPr="00602CDA"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68.9% </w:t>
            </w:r>
          </w:p>
        </w:tc>
        <w:tc>
          <w:tcPr>
            <w:tcW w:w="664" w:type="dxa"/>
            <w:tcBorders>
              <w:top w:val="single" w:sz="4" w:space="0" w:color="8B73FF"/>
              <w:left w:val="single" w:sz="4" w:space="0" w:color="8B73FF"/>
              <w:bottom w:val="single" w:sz="4" w:space="0" w:color="8B73FF"/>
              <w:right w:val="single" w:sz="4" w:space="0" w:color="8B73FF"/>
            </w:tcBorders>
            <w:vAlign w:val="center"/>
          </w:tcPr>
          <w:p w14:paraId="0DD604E1" w14:textId="79ED4677" w:rsidR="00295677" w:rsidRPr="00602CDA" w:rsidRDefault="00295677" w:rsidP="00295677">
            <w:pPr>
              <w:jc w:val="center"/>
              <w:rPr>
                <w:noProof/>
              </w:rPr>
            </w:pPr>
            <w:r>
              <w:rPr>
                <w:rFonts w:ascii="Calibri" w:hAnsi="Calibri" w:cs="Calibri"/>
                <w:noProof/>
                <w:color w:val="000000"/>
                <w:sz w:val="16"/>
                <w:szCs w:val="16"/>
              </w:rPr>
              <w:t>85.5%</w:t>
            </w:r>
          </w:p>
        </w:tc>
        <w:tc>
          <w:tcPr>
            <w:tcW w:w="772" w:type="dxa"/>
            <w:tcBorders>
              <w:top w:val="single" w:sz="4" w:space="0" w:color="8B73FF"/>
              <w:left w:val="single" w:sz="4" w:space="0" w:color="8B73FF"/>
              <w:bottom w:val="single" w:sz="4" w:space="0" w:color="8B73FF"/>
              <w:right w:val="single" w:sz="4" w:space="0" w:color="8B73FF"/>
            </w:tcBorders>
            <w:vAlign w:val="center"/>
          </w:tcPr>
          <w:p w14:paraId="6685F338" w14:textId="29593CF9" w:rsidR="00295677" w:rsidRPr="00602CDA" w:rsidRDefault="00295677" w:rsidP="00295677">
            <w:pPr>
              <w:jc w:val="center"/>
              <w:rPr>
                <w:noProof/>
              </w:rPr>
            </w:pPr>
            <w:r>
              <w:rPr>
                <w:rFonts w:ascii="Calibri" w:hAnsi="Calibri" w:cs="Calibri"/>
                <w:noProof/>
                <w:color w:val="000000"/>
                <w:sz w:val="16"/>
                <w:szCs w:val="16"/>
              </w:rPr>
              <w:t>3.7%</w:t>
            </w:r>
          </w:p>
        </w:tc>
        <w:tc>
          <w:tcPr>
            <w:tcW w:w="756" w:type="dxa"/>
            <w:tcBorders>
              <w:top w:val="single" w:sz="4" w:space="0" w:color="8B73FF"/>
              <w:left w:val="single" w:sz="4" w:space="0" w:color="8B73FF"/>
              <w:bottom w:val="single" w:sz="4" w:space="0" w:color="8B73FF"/>
              <w:right w:val="single" w:sz="4" w:space="0" w:color="8B73FF"/>
            </w:tcBorders>
            <w:vAlign w:val="center"/>
          </w:tcPr>
          <w:p w14:paraId="3BD0901F" w14:textId="6BF4499B" w:rsidR="00295677" w:rsidRPr="00602CDA" w:rsidRDefault="00295677" w:rsidP="00295677">
            <w:pPr>
              <w:jc w:val="center"/>
              <w:rPr>
                <w:noProof/>
              </w:rPr>
            </w:pPr>
            <w:r>
              <w:rPr>
                <w:rFonts w:ascii="Calibri" w:hAnsi="Calibri" w:cs="Calibri"/>
                <w:noProof/>
                <w:color w:val="000000"/>
                <w:sz w:val="16"/>
                <w:szCs w:val="16"/>
              </w:rPr>
              <w:t>95.0%</w:t>
            </w:r>
          </w:p>
        </w:tc>
        <w:tc>
          <w:tcPr>
            <w:tcW w:w="711" w:type="dxa"/>
            <w:tcBorders>
              <w:top w:val="single" w:sz="4" w:space="0" w:color="8B73FF"/>
              <w:left w:val="single" w:sz="4" w:space="0" w:color="8B73FF"/>
              <w:bottom w:val="single" w:sz="4" w:space="0" w:color="8B73FF"/>
              <w:right w:val="single" w:sz="4" w:space="0" w:color="8B73FF"/>
            </w:tcBorders>
            <w:vAlign w:val="center"/>
          </w:tcPr>
          <w:p w14:paraId="4B35DADD" w14:textId="6A89A27E" w:rsidR="00295677" w:rsidRPr="00602CDA" w:rsidRDefault="00295677" w:rsidP="00295677">
            <w:pPr>
              <w:jc w:val="center"/>
              <w:rPr>
                <w:noProof/>
              </w:rPr>
            </w:pPr>
            <w:r>
              <w:rPr>
                <w:rFonts w:ascii="Calibri" w:hAnsi="Calibri" w:cs="Calibri"/>
                <w:noProof/>
                <w:color w:val="000000"/>
                <w:sz w:val="16"/>
                <w:szCs w:val="16"/>
              </w:rPr>
              <w:t>100%</w:t>
            </w:r>
          </w:p>
        </w:tc>
      </w:tr>
      <w:tr w:rsidR="00295677" w:rsidRPr="00602CDA" w14:paraId="775D9A0D"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48F4B1F" w14:textId="23A10038" w:rsidR="00295677" w:rsidRPr="00214005" w:rsidRDefault="00295677" w:rsidP="00295677">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Fibre to the Premises (FTTP) coverage</w:t>
            </w:r>
          </w:p>
        </w:tc>
        <w:tc>
          <w:tcPr>
            <w:tcW w:w="995" w:type="dxa"/>
            <w:tcBorders>
              <w:top w:val="single" w:sz="4" w:space="0" w:color="8B73FF"/>
              <w:left w:val="single" w:sz="4" w:space="0" w:color="8B73FF"/>
              <w:bottom w:val="single" w:sz="4" w:space="0" w:color="8B73FF"/>
              <w:right w:val="single" w:sz="4" w:space="0" w:color="8B73FF"/>
            </w:tcBorders>
            <w:vAlign w:val="center"/>
          </w:tcPr>
          <w:p w14:paraId="4841C718" w14:textId="0A73B896" w:rsidR="00295677" w:rsidRPr="00DC3920"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40.6%</w:t>
            </w:r>
          </w:p>
        </w:tc>
        <w:tc>
          <w:tcPr>
            <w:tcW w:w="809" w:type="dxa"/>
            <w:tcBorders>
              <w:top w:val="single" w:sz="4" w:space="0" w:color="8B73FF"/>
              <w:left w:val="single" w:sz="4" w:space="0" w:color="8B73FF"/>
              <w:bottom w:val="single" w:sz="4" w:space="0" w:color="8B73FF"/>
              <w:right w:val="single" w:sz="4" w:space="0" w:color="8B73FF"/>
            </w:tcBorders>
            <w:vAlign w:val="center"/>
          </w:tcPr>
          <w:p w14:paraId="1E7FAD9A" w14:textId="1D9C92C6" w:rsidR="00295677" w:rsidRPr="00DC3920"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44.8%</w:t>
            </w:r>
          </w:p>
        </w:tc>
        <w:tc>
          <w:tcPr>
            <w:tcW w:w="813" w:type="dxa"/>
            <w:tcBorders>
              <w:top w:val="single" w:sz="4" w:space="0" w:color="8B73FF"/>
              <w:left w:val="single" w:sz="4" w:space="0" w:color="8B73FF"/>
              <w:bottom w:val="single" w:sz="4" w:space="0" w:color="8B73FF"/>
              <w:right w:val="single" w:sz="4" w:space="0" w:color="8B73FF"/>
            </w:tcBorders>
            <w:vAlign w:val="center"/>
          </w:tcPr>
          <w:p w14:paraId="2333A42B" w14:textId="0B9B1234" w:rsidR="00295677" w:rsidRPr="00B02EF9"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10.4%</w:t>
            </w:r>
          </w:p>
        </w:tc>
        <w:tc>
          <w:tcPr>
            <w:tcW w:w="1060" w:type="dxa"/>
            <w:tcBorders>
              <w:top w:val="single" w:sz="4" w:space="0" w:color="8B73FF"/>
              <w:left w:val="single" w:sz="4" w:space="0" w:color="8B73FF"/>
              <w:bottom w:val="single" w:sz="4" w:space="0" w:color="8B73FF"/>
              <w:right w:val="single" w:sz="4" w:space="0" w:color="8B73FF"/>
            </w:tcBorders>
            <w:vAlign w:val="center"/>
          </w:tcPr>
          <w:p w14:paraId="17CF9772" w14:textId="045723CC" w:rsidR="00295677" w:rsidRPr="00602CDA"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42.9% </w:t>
            </w:r>
          </w:p>
        </w:tc>
        <w:tc>
          <w:tcPr>
            <w:tcW w:w="664" w:type="dxa"/>
            <w:tcBorders>
              <w:top w:val="single" w:sz="4" w:space="0" w:color="8B73FF"/>
              <w:left w:val="single" w:sz="4" w:space="0" w:color="8B73FF"/>
              <w:bottom w:val="single" w:sz="4" w:space="0" w:color="8B73FF"/>
              <w:right w:val="single" w:sz="4" w:space="0" w:color="8B73FF"/>
            </w:tcBorders>
            <w:vAlign w:val="center"/>
          </w:tcPr>
          <w:p w14:paraId="0F2DDA71" w14:textId="4057F84B" w:rsidR="00295677" w:rsidRPr="00602CDA" w:rsidRDefault="00295677" w:rsidP="00295677">
            <w:pPr>
              <w:jc w:val="center"/>
              <w:rPr>
                <w:noProof/>
              </w:rPr>
            </w:pPr>
            <w:r>
              <w:rPr>
                <w:rFonts w:ascii="Calibri" w:hAnsi="Calibri" w:cs="Calibri"/>
                <w:noProof/>
                <w:color w:val="000000"/>
                <w:sz w:val="16"/>
                <w:szCs w:val="16"/>
              </w:rPr>
              <w:t>74.1%</w:t>
            </w:r>
          </w:p>
        </w:tc>
        <w:tc>
          <w:tcPr>
            <w:tcW w:w="772" w:type="dxa"/>
            <w:tcBorders>
              <w:top w:val="single" w:sz="4" w:space="0" w:color="8B73FF"/>
              <w:left w:val="single" w:sz="4" w:space="0" w:color="8B73FF"/>
              <w:bottom w:val="single" w:sz="4" w:space="0" w:color="8B73FF"/>
              <w:right w:val="single" w:sz="4" w:space="0" w:color="8B73FF"/>
            </w:tcBorders>
            <w:vAlign w:val="center"/>
          </w:tcPr>
          <w:p w14:paraId="6D21EC34" w14:textId="05F10A55" w:rsidR="00295677" w:rsidRPr="00602CDA" w:rsidRDefault="00295677" w:rsidP="00295677">
            <w:pPr>
              <w:jc w:val="center"/>
              <w:rPr>
                <w:noProof/>
              </w:rPr>
            </w:pPr>
            <w:r>
              <w:rPr>
                <w:rFonts w:ascii="Calibri" w:hAnsi="Calibri" w:cs="Calibri"/>
                <w:noProof/>
                <w:color w:val="000000"/>
                <w:sz w:val="16"/>
                <w:szCs w:val="16"/>
              </w:rPr>
              <w:t>7.1%</w:t>
            </w:r>
          </w:p>
        </w:tc>
        <w:tc>
          <w:tcPr>
            <w:tcW w:w="756" w:type="dxa"/>
            <w:tcBorders>
              <w:top w:val="single" w:sz="4" w:space="0" w:color="8B73FF"/>
              <w:left w:val="single" w:sz="4" w:space="0" w:color="8B73FF"/>
              <w:bottom w:val="single" w:sz="4" w:space="0" w:color="8B73FF"/>
              <w:right w:val="single" w:sz="4" w:space="0" w:color="8B73FF"/>
            </w:tcBorders>
            <w:vAlign w:val="center"/>
          </w:tcPr>
          <w:p w14:paraId="496F67D9" w14:textId="365B0778" w:rsidR="00295677" w:rsidRPr="00602CDA" w:rsidRDefault="00295677" w:rsidP="00295677">
            <w:pPr>
              <w:jc w:val="center"/>
              <w:rPr>
                <w:noProof/>
              </w:rPr>
            </w:pPr>
            <w:r>
              <w:rPr>
                <w:rFonts w:ascii="Calibri" w:hAnsi="Calibri" w:cs="Calibri"/>
                <w:noProof/>
                <w:color w:val="000000"/>
                <w:sz w:val="16"/>
                <w:szCs w:val="16"/>
              </w:rPr>
              <w:t>60.0%</w:t>
            </w:r>
          </w:p>
        </w:tc>
        <w:tc>
          <w:tcPr>
            <w:tcW w:w="711" w:type="dxa"/>
            <w:tcBorders>
              <w:top w:val="single" w:sz="4" w:space="0" w:color="8B73FF"/>
              <w:left w:val="single" w:sz="4" w:space="0" w:color="8B73FF"/>
              <w:bottom w:val="single" w:sz="4" w:space="0" w:color="8B73FF"/>
              <w:right w:val="single" w:sz="4" w:space="0" w:color="8B73FF"/>
            </w:tcBorders>
            <w:vAlign w:val="center"/>
          </w:tcPr>
          <w:p w14:paraId="51EFCB78" w14:textId="21450E83" w:rsidR="00295677" w:rsidRPr="00602CDA" w:rsidRDefault="00295677" w:rsidP="00295677">
            <w:pPr>
              <w:jc w:val="center"/>
              <w:rPr>
                <w:noProof/>
              </w:rPr>
            </w:pPr>
            <w:r>
              <w:rPr>
                <w:rFonts w:ascii="Calibri" w:hAnsi="Calibri" w:cs="Calibri"/>
                <w:noProof/>
                <w:color w:val="000000"/>
                <w:sz w:val="16"/>
                <w:szCs w:val="16"/>
              </w:rPr>
              <w:t>-</w:t>
            </w:r>
          </w:p>
        </w:tc>
      </w:tr>
      <w:tr w:rsidR="00295677" w:rsidRPr="00602CDA" w14:paraId="3E6B4B74"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CEBCE4C" w14:textId="4CA86C66" w:rsidR="00295677" w:rsidRPr="00214005" w:rsidRDefault="00295677" w:rsidP="00295677">
            <w:pPr>
              <w:rPr>
                <w:noProof/>
                <w:color w:val="000000" w:themeColor="text1"/>
                <w:sz w:val="16"/>
                <w:szCs w:val="16"/>
              </w:rPr>
            </w:pPr>
            <w:r>
              <w:rPr>
                <w:rFonts w:ascii="Calibri" w:eastAsia="Times New Roman" w:hAnsi="Calibri" w:cs="Calibri"/>
                <w:noProof/>
                <w:color w:val="000000"/>
                <w:kern w:val="0"/>
                <w:sz w:val="16"/>
                <w:szCs w:val="16"/>
                <w:lang w:eastAsia="en-IE"/>
                <w14:ligatures w14:val="none"/>
              </w:rPr>
              <w:t>Basic</w:t>
            </w:r>
            <w:r w:rsidRPr="00FB508D">
              <w:rPr>
                <w:rFonts w:ascii="Calibri" w:eastAsia="Times New Roman" w:hAnsi="Calibri" w:cs="Calibri"/>
                <w:noProof/>
                <w:color w:val="000000"/>
                <w:kern w:val="0"/>
                <w:sz w:val="16"/>
                <w:szCs w:val="16"/>
                <w:lang w:eastAsia="en-IE"/>
                <w14:ligatures w14:val="none"/>
              </w:rPr>
              <w:t xml:space="preserve"> 5G coverage</w:t>
            </w:r>
          </w:p>
        </w:tc>
        <w:tc>
          <w:tcPr>
            <w:tcW w:w="995" w:type="dxa"/>
            <w:tcBorders>
              <w:top w:val="single" w:sz="4" w:space="0" w:color="8B73FF"/>
              <w:left w:val="single" w:sz="4" w:space="0" w:color="8B73FF"/>
              <w:bottom w:val="single" w:sz="4" w:space="0" w:color="8B73FF"/>
              <w:right w:val="single" w:sz="4" w:space="0" w:color="8B73FF"/>
            </w:tcBorders>
            <w:vAlign w:val="center"/>
          </w:tcPr>
          <w:p w14:paraId="5D5610E6" w14:textId="4D05B0F7" w:rsidR="00295677" w:rsidRPr="00DC3920"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99.1%</w:t>
            </w:r>
          </w:p>
        </w:tc>
        <w:tc>
          <w:tcPr>
            <w:tcW w:w="809" w:type="dxa"/>
            <w:tcBorders>
              <w:top w:val="single" w:sz="4" w:space="0" w:color="8B73FF"/>
              <w:left w:val="single" w:sz="4" w:space="0" w:color="8B73FF"/>
              <w:bottom w:val="single" w:sz="4" w:space="0" w:color="8B73FF"/>
              <w:right w:val="single" w:sz="4" w:space="0" w:color="8B73FF"/>
            </w:tcBorders>
            <w:vAlign w:val="center"/>
          </w:tcPr>
          <w:p w14:paraId="49D338D9" w14:textId="603B82C9" w:rsidR="00295677" w:rsidRPr="00DC3920"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99.7%</w:t>
            </w:r>
          </w:p>
        </w:tc>
        <w:tc>
          <w:tcPr>
            <w:tcW w:w="813" w:type="dxa"/>
            <w:tcBorders>
              <w:top w:val="single" w:sz="4" w:space="0" w:color="8B73FF"/>
              <w:left w:val="single" w:sz="4" w:space="0" w:color="8B73FF"/>
              <w:bottom w:val="single" w:sz="4" w:space="0" w:color="8B73FF"/>
              <w:right w:val="single" w:sz="4" w:space="0" w:color="8B73FF"/>
            </w:tcBorders>
            <w:vAlign w:val="center"/>
          </w:tcPr>
          <w:p w14:paraId="4738A8E2" w14:textId="599FCD50" w:rsidR="00295677" w:rsidRPr="00B02EF9"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0.6%</w:t>
            </w:r>
          </w:p>
        </w:tc>
        <w:tc>
          <w:tcPr>
            <w:tcW w:w="1060" w:type="dxa"/>
            <w:tcBorders>
              <w:top w:val="single" w:sz="4" w:space="0" w:color="8B73FF"/>
              <w:left w:val="single" w:sz="4" w:space="0" w:color="8B73FF"/>
              <w:bottom w:val="single" w:sz="4" w:space="0" w:color="8B73FF"/>
              <w:right w:val="single" w:sz="4" w:space="0" w:color="8B73FF"/>
            </w:tcBorders>
            <w:vAlign w:val="center"/>
          </w:tcPr>
          <w:p w14:paraId="2F7F1595" w14:textId="6FE3D5EA" w:rsidR="00295677" w:rsidRPr="00602CDA" w:rsidRDefault="00295677" w:rsidP="0029567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89.4% </w:t>
            </w:r>
          </w:p>
        </w:tc>
        <w:tc>
          <w:tcPr>
            <w:tcW w:w="664" w:type="dxa"/>
            <w:tcBorders>
              <w:top w:val="single" w:sz="4" w:space="0" w:color="8B73FF"/>
              <w:left w:val="single" w:sz="4" w:space="0" w:color="8B73FF"/>
              <w:bottom w:val="single" w:sz="4" w:space="0" w:color="8B73FF"/>
              <w:right w:val="single" w:sz="4" w:space="0" w:color="8B73FF"/>
            </w:tcBorders>
            <w:vAlign w:val="center"/>
          </w:tcPr>
          <w:p w14:paraId="63B3CDF3" w14:textId="141AF710" w:rsidR="00295677" w:rsidRPr="00602CDA" w:rsidRDefault="00295677" w:rsidP="00295677">
            <w:pPr>
              <w:jc w:val="center"/>
              <w:rPr>
                <w:noProof/>
              </w:rPr>
            </w:pPr>
            <w:r>
              <w:rPr>
                <w:rFonts w:ascii="Calibri" w:hAnsi="Calibri" w:cs="Calibri"/>
                <w:noProof/>
                <w:color w:val="000000"/>
                <w:sz w:val="16"/>
                <w:szCs w:val="16"/>
              </w:rPr>
              <w:t>96.8%</w:t>
            </w:r>
          </w:p>
        </w:tc>
        <w:tc>
          <w:tcPr>
            <w:tcW w:w="772" w:type="dxa"/>
            <w:tcBorders>
              <w:top w:val="single" w:sz="4" w:space="0" w:color="8B73FF"/>
              <w:left w:val="single" w:sz="4" w:space="0" w:color="8B73FF"/>
              <w:bottom w:val="single" w:sz="4" w:space="0" w:color="8B73FF"/>
              <w:right w:val="single" w:sz="4" w:space="0" w:color="8B73FF"/>
            </w:tcBorders>
            <w:vAlign w:val="center"/>
          </w:tcPr>
          <w:p w14:paraId="03F0DA0B" w14:textId="26C59895" w:rsidR="00295677" w:rsidRPr="00602CDA" w:rsidRDefault="00295677" w:rsidP="00295677">
            <w:pPr>
              <w:jc w:val="center"/>
              <w:rPr>
                <w:noProof/>
              </w:rPr>
            </w:pPr>
            <w:r>
              <w:rPr>
                <w:rFonts w:ascii="Calibri" w:hAnsi="Calibri" w:cs="Calibri"/>
                <w:noProof/>
                <w:color w:val="000000"/>
                <w:sz w:val="16"/>
                <w:szCs w:val="16"/>
              </w:rPr>
              <w:t>2.6%</w:t>
            </w:r>
          </w:p>
        </w:tc>
        <w:tc>
          <w:tcPr>
            <w:tcW w:w="756" w:type="dxa"/>
            <w:tcBorders>
              <w:top w:val="single" w:sz="4" w:space="0" w:color="8B73FF"/>
              <w:left w:val="single" w:sz="4" w:space="0" w:color="8B73FF"/>
              <w:bottom w:val="single" w:sz="4" w:space="0" w:color="8B73FF"/>
              <w:right w:val="single" w:sz="4" w:space="0" w:color="8B73FF"/>
            </w:tcBorders>
            <w:vAlign w:val="center"/>
          </w:tcPr>
          <w:p w14:paraId="49E987A6" w14:textId="5CDC5F46" w:rsidR="00295677" w:rsidRPr="00602CDA" w:rsidRDefault="00295677" w:rsidP="00295677">
            <w:pPr>
              <w:jc w:val="center"/>
              <w:rPr>
                <w:noProof/>
              </w:rPr>
            </w:pPr>
            <w:r>
              <w:rPr>
                <w:rFonts w:ascii="Calibri" w:hAnsi="Calibri" w:cs="Calibri"/>
                <w:noProof/>
                <w:color w:val="000000"/>
                <w:sz w:val="16"/>
                <w:szCs w:val="16"/>
              </w:rPr>
              <w:t>100.0%</w:t>
            </w:r>
          </w:p>
        </w:tc>
        <w:tc>
          <w:tcPr>
            <w:tcW w:w="711" w:type="dxa"/>
            <w:tcBorders>
              <w:top w:val="single" w:sz="4" w:space="0" w:color="8B73FF"/>
              <w:left w:val="single" w:sz="4" w:space="0" w:color="8B73FF"/>
              <w:bottom w:val="single" w:sz="4" w:space="0" w:color="8B73FF"/>
              <w:right w:val="single" w:sz="4" w:space="0" w:color="8B73FF"/>
            </w:tcBorders>
            <w:vAlign w:val="center"/>
          </w:tcPr>
          <w:p w14:paraId="1F05D93A" w14:textId="6A7F22DE" w:rsidR="00295677" w:rsidRPr="00602CDA" w:rsidRDefault="00295677" w:rsidP="00295677">
            <w:pPr>
              <w:jc w:val="center"/>
              <w:rPr>
                <w:noProof/>
              </w:rPr>
            </w:pPr>
            <w:r>
              <w:rPr>
                <w:rFonts w:ascii="Calibri" w:hAnsi="Calibri" w:cs="Calibri"/>
                <w:noProof/>
                <w:color w:val="000000"/>
                <w:sz w:val="16"/>
                <w:szCs w:val="16"/>
              </w:rPr>
              <w:t>100%</w:t>
            </w:r>
          </w:p>
        </w:tc>
      </w:tr>
      <w:tr w:rsidR="00B752AF" w:rsidRPr="00602CDA" w14:paraId="44138A7F"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AD20FFB" w14:textId="27B579E5"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Edge Nodes (estimate)</w:t>
            </w:r>
          </w:p>
        </w:tc>
        <w:tc>
          <w:tcPr>
            <w:tcW w:w="995" w:type="dxa"/>
            <w:tcBorders>
              <w:top w:val="single" w:sz="4" w:space="0" w:color="8B73FF"/>
              <w:left w:val="single" w:sz="4" w:space="0" w:color="8B73FF"/>
              <w:bottom w:val="single" w:sz="4" w:space="0" w:color="8B73FF"/>
              <w:right w:val="single" w:sz="4" w:space="0" w:color="8B73FF"/>
            </w:tcBorders>
            <w:vAlign w:val="center"/>
          </w:tcPr>
          <w:p w14:paraId="37BBB9B2" w14:textId="2E98BE8B"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37CFAD44" w14:textId="34D2B370"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295</w:t>
            </w:r>
          </w:p>
        </w:tc>
        <w:tc>
          <w:tcPr>
            <w:tcW w:w="813" w:type="dxa"/>
            <w:tcBorders>
              <w:top w:val="single" w:sz="4" w:space="0" w:color="8B73FF"/>
              <w:left w:val="single" w:sz="4" w:space="0" w:color="8B73FF"/>
              <w:bottom w:val="single" w:sz="4" w:space="0" w:color="8B73FF"/>
              <w:right w:val="single" w:sz="4" w:space="0" w:color="8B73FF"/>
            </w:tcBorders>
            <w:vAlign w:val="center"/>
          </w:tcPr>
          <w:p w14:paraId="3536EE1C" w14:textId="123A9A78"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w:t>
            </w:r>
          </w:p>
        </w:tc>
        <w:tc>
          <w:tcPr>
            <w:tcW w:w="1060" w:type="dxa"/>
            <w:tcBorders>
              <w:top w:val="single" w:sz="4" w:space="0" w:color="8B73FF"/>
              <w:left w:val="single" w:sz="4" w:space="0" w:color="8B73FF"/>
              <w:bottom w:val="single" w:sz="4" w:space="0" w:color="8B73FF"/>
              <w:right w:val="single" w:sz="4" w:space="0" w:color="8B73FF"/>
            </w:tcBorders>
            <w:vAlign w:val="center"/>
          </w:tcPr>
          <w:p w14:paraId="09347982" w14:textId="7E7C2ED8"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37 </w:t>
            </w:r>
          </w:p>
        </w:tc>
        <w:tc>
          <w:tcPr>
            <w:tcW w:w="664" w:type="dxa"/>
            <w:tcBorders>
              <w:top w:val="single" w:sz="4" w:space="0" w:color="8B73FF"/>
              <w:left w:val="single" w:sz="4" w:space="0" w:color="8B73FF"/>
              <w:bottom w:val="single" w:sz="4" w:space="0" w:color="8B73FF"/>
              <w:right w:val="single" w:sz="4" w:space="0" w:color="8B73FF"/>
            </w:tcBorders>
            <w:vAlign w:val="center"/>
          </w:tcPr>
          <w:p w14:paraId="17596AF0" w14:textId="7D1E0A7A" w:rsidR="00B752AF" w:rsidRPr="00602CDA" w:rsidRDefault="00B752AF" w:rsidP="00B752AF">
            <w:pPr>
              <w:jc w:val="center"/>
              <w:rPr>
                <w:noProof/>
              </w:rPr>
            </w:pPr>
            <w:r>
              <w:rPr>
                <w:rFonts w:ascii="Calibri" w:hAnsi="Calibri" w:cs="Calibri"/>
                <w:noProof/>
                <w:color w:val="000000"/>
                <w:sz w:val="16"/>
                <w:szCs w:val="16"/>
              </w:rPr>
              <w:t>7451</w:t>
            </w:r>
          </w:p>
        </w:tc>
        <w:tc>
          <w:tcPr>
            <w:tcW w:w="772" w:type="dxa"/>
            <w:tcBorders>
              <w:top w:val="single" w:sz="4" w:space="0" w:color="8B73FF"/>
              <w:left w:val="single" w:sz="4" w:space="0" w:color="8B73FF"/>
              <w:bottom w:val="single" w:sz="4" w:space="0" w:color="8B73FF"/>
              <w:right w:val="single" w:sz="4" w:space="0" w:color="8B73FF"/>
            </w:tcBorders>
            <w:vAlign w:val="center"/>
          </w:tcPr>
          <w:p w14:paraId="5C682698" w14:textId="0484EDD3" w:rsidR="00B752AF" w:rsidRPr="00602CDA" w:rsidRDefault="00B752AF" w:rsidP="00B752AF">
            <w:pPr>
              <w:jc w:val="center"/>
              <w:rPr>
                <w:noProof/>
              </w:rPr>
            </w:pPr>
            <w:r>
              <w:rPr>
                <w:rFonts w:ascii="Calibri" w:hAnsi="Calibri" w:cs="Calibri"/>
                <w:noProof/>
                <w:color w:val="000000"/>
                <w:sz w:val="16"/>
                <w:szCs w:val="16"/>
              </w:rPr>
              <w:t>-</w:t>
            </w:r>
          </w:p>
        </w:tc>
        <w:tc>
          <w:tcPr>
            <w:tcW w:w="756" w:type="dxa"/>
            <w:tcBorders>
              <w:top w:val="single" w:sz="4" w:space="0" w:color="8B73FF"/>
              <w:left w:val="single" w:sz="4" w:space="0" w:color="8B73FF"/>
              <w:bottom w:val="single" w:sz="4" w:space="0" w:color="8B73FF"/>
              <w:right w:val="single" w:sz="4" w:space="0" w:color="8B73FF"/>
            </w:tcBorders>
            <w:vAlign w:val="center"/>
          </w:tcPr>
          <w:p w14:paraId="229D71E8" w14:textId="0F6CB126" w:rsidR="00B752AF" w:rsidRPr="00602CDA" w:rsidRDefault="00B752AF" w:rsidP="00B752AF">
            <w:pPr>
              <w:jc w:val="center"/>
              <w:rPr>
                <w:noProof/>
              </w:rPr>
            </w:pPr>
            <w:r>
              <w:rPr>
                <w:rFonts w:ascii="Calibri" w:hAnsi="Calibri" w:cs="Calibri"/>
                <w:noProof/>
                <w:color w:val="000000"/>
                <w:sz w:val="16"/>
                <w:szCs w:val="16"/>
              </w:rPr>
              <w:t>144</w:t>
            </w:r>
          </w:p>
        </w:tc>
        <w:tc>
          <w:tcPr>
            <w:tcW w:w="711" w:type="dxa"/>
            <w:tcBorders>
              <w:top w:val="single" w:sz="4" w:space="0" w:color="8B73FF"/>
              <w:left w:val="single" w:sz="4" w:space="0" w:color="8B73FF"/>
              <w:bottom w:val="single" w:sz="4" w:space="0" w:color="8B73FF"/>
              <w:right w:val="single" w:sz="4" w:space="0" w:color="8B73FF"/>
            </w:tcBorders>
            <w:vAlign w:val="center"/>
          </w:tcPr>
          <w:p w14:paraId="0D279F36" w14:textId="15EAC447" w:rsidR="00B752AF" w:rsidRPr="00602CDA" w:rsidRDefault="00B752AF" w:rsidP="00B752AF">
            <w:pPr>
              <w:jc w:val="center"/>
              <w:rPr>
                <w:noProof/>
              </w:rPr>
            </w:pPr>
            <w:r>
              <w:rPr>
                <w:rFonts w:ascii="Calibri" w:hAnsi="Calibri" w:cs="Calibri"/>
                <w:noProof/>
                <w:color w:val="000000"/>
                <w:sz w:val="16"/>
                <w:szCs w:val="16"/>
              </w:rPr>
              <w:t>10000</w:t>
            </w:r>
          </w:p>
        </w:tc>
      </w:tr>
      <w:tr w:rsidR="00B752AF" w:rsidRPr="00602CDA" w14:paraId="53DA9F93" w14:textId="77777777" w:rsidTr="00BC2AE0">
        <w:trPr>
          <w:cantSplit/>
          <w:trHeight w:hRule="exact" w:val="562"/>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CB50699" w14:textId="66A66FA4"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SMEs with at least a basic level of digital intensity *</w:t>
            </w:r>
          </w:p>
        </w:tc>
        <w:tc>
          <w:tcPr>
            <w:tcW w:w="995" w:type="dxa"/>
            <w:tcBorders>
              <w:top w:val="single" w:sz="4" w:space="0" w:color="8B73FF"/>
              <w:left w:val="single" w:sz="4" w:space="0" w:color="8B73FF"/>
              <w:bottom w:val="single" w:sz="4" w:space="0" w:color="8B73FF"/>
              <w:right w:val="single" w:sz="4" w:space="0" w:color="8B73FF"/>
            </w:tcBorders>
            <w:vAlign w:val="center"/>
          </w:tcPr>
          <w:p w14:paraId="07CAFAF8" w14:textId="3188B971"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49.3%</w:t>
            </w:r>
          </w:p>
        </w:tc>
        <w:tc>
          <w:tcPr>
            <w:tcW w:w="809" w:type="dxa"/>
            <w:tcBorders>
              <w:top w:val="single" w:sz="4" w:space="0" w:color="8B73FF"/>
              <w:left w:val="single" w:sz="4" w:space="0" w:color="8B73FF"/>
              <w:bottom w:val="single" w:sz="4" w:space="0" w:color="8B73FF"/>
              <w:right w:val="single" w:sz="4" w:space="0" w:color="8B73FF"/>
            </w:tcBorders>
            <w:vAlign w:val="center"/>
          </w:tcPr>
          <w:p w14:paraId="110AB857" w14:textId="39ED048A"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70.5%</w:t>
            </w:r>
          </w:p>
        </w:tc>
        <w:tc>
          <w:tcPr>
            <w:tcW w:w="813" w:type="dxa"/>
            <w:tcBorders>
              <w:top w:val="single" w:sz="4" w:space="0" w:color="8B73FF"/>
              <w:left w:val="single" w:sz="4" w:space="0" w:color="8B73FF"/>
              <w:bottom w:val="single" w:sz="4" w:space="0" w:color="8B73FF"/>
              <w:right w:val="single" w:sz="4" w:space="0" w:color="8B73FF"/>
            </w:tcBorders>
            <w:vAlign w:val="center"/>
          </w:tcPr>
          <w:p w14:paraId="634E9694" w14:textId="62232063"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19.5%</w:t>
            </w:r>
          </w:p>
        </w:tc>
        <w:tc>
          <w:tcPr>
            <w:tcW w:w="1060" w:type="dxa"/>
            <w:tcBorders>
              <w:top w:val="single" w:sz="4" w:space="0" w:color="8B73FF"/>
              <w:left w:val="single" w:sz="4" w:space="0" w:color="8B73FF"/>
              <w:bottom w:val="single" w:sz="4" w:space="0" w:color="8B73FF"/>
              <w:right w:val="single" w:sz="4" w:space="0" w:color="8B73FF"/>
            </w:tcBorders>
            <w:vAlign w:val="center"/>
          </w:tcPr>
          <w:p w14:paraId="77AF9230" w14:textId="7039B789"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72.5% </w:t>
            </w:r>
          </w:p>
        </w:tc>
        <w:tc>
          <w:tcPr>
            <w:tcW w:w="664" w:type="dxa"/>
            <w:tcBorders>
              <w:top w:val="single" w:sz="4" w:space="0" w:color="8B73FF"/>
              <w:left w:val="single" w:sz="4" w:space="0" w:color="8B73FF"/>
              <w:bottom w:val="single" w:sz="4" w:space="0" w:color="8B73FF"/>
              <w:right w:val="single" w:sz="4" w:space="0" w:color="8B73FF"/>
            </w:tcBorders>
            <w:vAlign w:val="center"/>
          </w:tcPr>
          <w:p w14:paraId="58F395B7" w14:textId="2FC7FF62" w:rsidR="00B752AF" w:rsidRPr="00602CDA" w:rsidRDefault="00B752AF" w:rsidP="00B752AF">
            <w:pPr>
              <w:jc w:val="center"/>
              <w:rPr>
                <w:noProof/>
              </w:rPr>
            </w:pPr>
            <w:r>
              <w:rPr>
                <w:rFonts w:ascii="Calibri" w:hAnsi="Calibri" w:cs="Calibri"/>
                <w:noProof/>
                <w:color w:val="000000"/>
                <w:sz w:val="16"/>
                <w:szCs w:val="16"/>
              </w:rPr>
              <w:t>71.4%</w:t>
            </w:r>
          </w:p>
        </w:tc>
        <w:tc>
          <w:tcPr>
            <w:tcW w:w="772" w:type="dxa"/>
            <w:tcBorders>
              <w:top w:val="single" w:sz="4" w:space="0" w:color="8B73FF"/>
              <w:left w:val="single" w:sz="4" w:space="0" w:color="8B73FF"/>
              <w:bottom w:val="single" w:sz="4" w:space="0" w:color="8B73FF"/>
              <w:right w:val="single" w:sz="4" w:space="0" w:color="8B73FF"/>
            </w:tcBorders>
            <w:vAlign w:val="center"/>
          </w:tcPr>
          <w:p w14:paraId="13C3612E" w14:textId="733DE512" w:rsidR="00B752AF" w:rsidRPr="00602CDA" w:rsidRDefault="00B752AF" w:rsidP="00B752AF">
            <w:pPr>
              <w:jc w:val="center"/>
              <w:rPr>
                <w:noProof/>
              </w:rPr>
            </w:pPr>
            <w:r>
              <w:rPr>
                <w:rFonts w:ascii="Calibri" w:hAnsi="Calibri" w:cs="Calibri"/>
                <w:noProof/>
                <w:color w:val="000000"/>
                <w:sz w:val="16"/>
                <w:szCs w:val="16"/>
              </w:rPr>
              <w:t>11.0%</w:t>
            </w:r>
          </w:p>
        </w:tc>
        <w:tc>
          <w:tcPr>
            <w:tcW w:w="756" w:type="dxa"/>
            <w:tcBorders>
              <w:top w:val="single" w:sz="4" w:space="0" w:color="8B73FF"/>
              <w:left w:val="single" w:sz="4" w:space="0" w:color="8B73FF"/>
              <w:bottom w:val="single" w:sz="4" w:space="0" w:color="8B73FF"/>
              <w:right w:val="single" w:sz="4" w:space="0" w:color="8B73FF"/>
            </w:tcBorders>
            <w:vAlign w:val="center"/>
          </w:tcPr>
          <w:p w14:paraId="4973D111" w14:textId="4A18A29E" w:rsidR="00B752AF" w:rsidRPr="00602CDA" w:rsidRDefault="00B752AF" w:rsidP="00B752AF">
            <w:pPr>
              <w:jc w:val="center"/>
              <w:rPr>
                <w:noProof/>
              </w:rPr>
            </w:pPr>
            <w:r>
              <w:rPr>
                <w:rFonts w:ascii="Calibri" w:hAnsi="Calibri" w:cs="Calibri"/>
                <w:noProof/>
                <w:color w:val="000000"/>
                <w:sz w:val="16"/>
                <w:szCs w:val="16"/>
              </w:rPr>
              <w:t>80.0%</w:t>
            </w:r>
          </w:p>
        </w:tc>
        <w:tc>
          <w:tcPr>
            <w:tcW w:w="711" w:type="dxa"/>
            <w:tcBorders>
              <w:top w:val="single" w:sz="4" w:space="0" w:color="8B73FF"/>
              <w:left w:val="single" w:sz="4" w:space="0" w:color="8B73FF"/>
              <w:bottom w:val="single" w:sz="4" w:space="0" w:color="8B73FF"/>
              <w:right w:val="single" w:sz="4" w:space="0" w:color="8B73FF"/>
            </w:tcBorders>
            <w:vAlign w:val="center"/>
          </w:tcPr>
          <w:p w14:paraId="7B284B38" w14:textId="20F3F4B4" w:rsidR="00B752AF" w:rsidRPr="00602CDA" w:rsidRDefault="00B752AF" w:rsidP="00B752AF">
            <w:pPr>
              <w:jc w:val="center"/>
              <w:rPr>
                <w:noProof/>
              </w:rPr>
            </w:pPr>
            <w:r>
              <w:rPr>
                <w:rFonts w:ascii="Calibri" w:hAnsi="Calibri" w:cs="Calibri"/>
                <w:noProof/>
                <w:color w:val="000000"/>
                <w:sz w:val="16"/>
                <w:szCs w:val="16"/>
              </w:rPr>
              <w:t>90%</w:t>
            </w:r>
          </w:p>
        </w:tc>
      </w:tr>
      <w:tr w:rsidR="00B752AF" w:rsidRPr="00602CDA" w14:paraId="1137C670"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528AA8A" w14:textId="53E4A81B"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Cloud *</w:t>
            </w:r>
          </w:p>
        </w:tc>
        <w:tc>
          <w:tcPr>
            <w:tcW w:w="995" w:type="dxa"/>
            <w:tcBorders>
              <w:top w:val="single" w:sz="4" w:space="0" w:color="8B73FF"/>
              <w:left w:val="single" w:sz="4" w:space="0" w:color="8B73FF"/>
              <w:bottom w:val="single" w:sz="4" w:space="0" w:color="8B73FF"/>
              <w:right w:val="single" w:sz="4" w:space="0" w:color="8B73FF"/>
            </w:tcBorders>
            <w:vAlign w:val="center"/>
          </w:tcPr>
          <w:p w14:paraId="04232556" w14:textId="6291C909"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35.2%</w:t>
            </w:r>
          </w:p>
        </w:tc>
        <w:tc>
          <w:tcPr>
            <w:tcW w:w="809" w:type="dxa"/>
            <w:tcBorders>
              <w:top w:val="single" w:sz="4" w:space="0" w:color="8B73FF"/>
              <w:left w:val="single" w:sz="4" w:space="0" w:color="8B73FF"/>
              <w:bottom w:val="single" w:sz="4" w:space="0" w:color="8B73FF"/>
              <w:right w:val="single" w:sz="4" w:space="0" w:color="8B73FF"/>
            </w:tcBorders>
            <w:vAlign w:val="center"/>
          </w:tcPr>
          <w:p w14:paraId="535C065E" w14:textId="090EABAF"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42.9%</w:t>
            </w:r>
          </w:p>
        </w:tc>
        <w:tc>
          <w:tcPr>
            <w:tcW w:w="813" w:type="dxa"/>
            <w:tcBorders>
              <w:top w:val="single" w:sz="4" w:space="0" w:color="8B73FF"/>
              <w:left w:val="single" w:sz="4" w:space="0" w:color="8B73FF"/>
              <w:bottom w:val="single" w:sz="4" w:space="0" w:color="8B73FF"/>
              <w:right w:val="single" w:sz="4" w:space="0" w:color="8B73FF"/>
            </w:tcBorders>
            <w:vAlign w:val="center"/>
          </w:tcPr>
          <w:p w14:paraId="0C6D31D9" w14:textId="429D5D7E"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10.4%</w:t>
            </w:r>
          </w:p>
        </w:tc>
        <w:tc>
          <w:tcPr>
            <w:tcW w:w="1060" w:type="dxa"/>
            <w:tcBorders>
              <w:top w:val="single" w:sz="4" w:space="0" w:color="8B73FF"/>
              <w:left w:val="single" w:sz="4" w:space="0" w:color="8B73FF"/>
              <w:bottom w:val="single" w:sz="4" w:space="0" w:color="8B73FF"/>
              <w:right w:val="single" w:sz="4" w:space="0" w:color="8B73FF"/>
            </w:tcBorders>
            <w:vAlign w:val="center"/>
          </w:tcPr>
          <w:p w14:paraId="34B25A7E" w14:textId="0A8D223C"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47.5% </w:t>
            </w:r>
          </w:p>
        </w:tc>
        <w:tc>
          <w:tcPr>
            <w:tcW w:w="664" w:type="dxa"/>
            <w:tcBorders>
              <w:top w:val="single" w:sz="4" w:space="0" w:color="8B73FF"/>
              <w:left w:val="single" w:sz="4" w:space="0" w:color="8B73FF"/>
              <w:bottom w:val="single" w:sz="4" w:space="0" w:color="8B73FF"/>
              <w:right w:val="single" w:sz="4" w:space="0" w:color="8B73FF"/>
            </w:tcBorders>
            <w:vAlign w:val="center"/>
          </w:tcPr>
          <w:p w14:paraId="541E024F" w14:textId="04CEDB18" w:rsidR="00B752AF" w:rsidRPr="00602CDA" w:rsidRDefault="00B752AF" w:rsidP="00B752AF">
            <w:pPr>
              <w:jc w:val="center"/>
              <w:rPr>
                <w:noProof/>
              </w:rPr>
            </w:pPr>
            <w:r>
              <w:rPr>
                <w:rFonts w:ascii="Calibri" w:hAnsi="Calibri" w:cs="Calibri"/>
                <w:noProof/>
                <w:color w:val="000000"/>
                <w:sz w:val="16"/>
                <w:szCs w:val="16"/>
              </w:rPr>
              <w:t>46.7%</w:t>
            </w:r>
          </w:p>
        </w:tc>
        <w:tc>
          <w:tcPr>
            <w:tcW w:w="772" w:type="dxa"/>
            <w:tcBorders>
              <w:top w:val="single" w:sz="4" w:space="0" w:color="8B73FF"/>
              <w:left w:val="single" w:sz="4" w:space="0" w:color="8B73FF"/>
              <w:bottom w:val="single" w:sz="4" w:space="0" w:color="8B73FF"/>
              <w:right w:val="single" w:sz="4" w:space="0" w:color="8B73FF"/>
            </w:tcBorders>
            <w:vAlign w:val="center"/>
          </w:tcPr>
          <w:p w14:paraId="1E4B7E8C" w14:textId="3F8331C6" w:rsidR="00B752AF" w:rsidRPr="00602CDA" w:rsidRDefault="00B752AF" w:rsidP="00B752AF">
            <w:pPr>
              <w:jc w:val="center"/>
              <w:rPr>
                <w:noProof/>
              </w:rPr>
            </w:pPr>
            <w:r>
              <w:rPr>
                <w:rFonts w:ascii="Calibri" w:hAnsi="Calibri" w:cs="Calibri"/>
                <w:noProof/>
                <w:color w:val="000000"/>
                <w:sz w:val="16"/>
                <w:szCs w:val="16"/>
              </w:rPr>
              <w:t>9.5%</w:t>
            </w:r>
          </w:p>
        </w:tc>
        <w:tc>
          <w:tcPr>
            <w:tcW w:w="756" w:type="dxa"/>
            <w:tcBorders>
              <w:top w:val="single" w:sz="4" w:space="0" w:color="8B73FF"/>
              <w:left w:val="single" w:sz="4" w:space="0" w:color="8B73FF"/>
              <w:bottom w:val="single" w:sz="4" w:space="0" w:color="8B73FF"/>
              <w:right w:val="single" w:sz="4" w:space="0" w:color="8B73FF"/>
            </w:tcBorders>
            <w:vAlign w:val="center"/>
          </w:tcPr>
          <w:p w14:paraId="51427F46" w14:textId="1255380F" w:rsidR="00B752AF" w:rsidRPr="00602CDA" w:rsidRDefault="00B752AF" w:rsidP="00B752AF">
            <w:pPr>
              <w:jc w:val="center"/>
              <w:rPr>
                <w:noProof/>
              </w:rPr>
            </w:pPr>
            <w:r>
              <w:rPr>
                <w:rFonts w:ascii="Calibri" w:hAnsi="Calibri" w:cs="Calibri"/>
                <w:noProof/>
                <w:color w:val="000000"/>
                <w:sz w:val="16"/>
                <w:szCs w:val="16"/>
              </w:rPr>
              <w:t>60.0%</w:t>
            </w:r>
          </w:p>
        </w:tc>
        <w:tc>
          <w:tcPr>
            <w:tcW w:w="711" w:type="dxa"/>
            <w:tcBorders>
              <w:top w:val="single" w:sz="4" w:space="0" w:color="8B73FF"/>
              <w:left w:val="single" w:sz="4" w:space="0" w:color="8B73FF"/>
              <w:bottom w:val="single" w:sz="4" w:space="0" w:color="8B73FF"/>
              <w:right w:val="single" w:sz="4" w:space="0" w:color="8B73FF"/>
            </w:tcBorders>
            <w:vAlign w:val="center"/>
          </w:tcPr>
          <w:p w14:paraId="7F198607" w14:textId="40DEFFD8" w:rsidR="00B752AF" w:rsidRPr="00602CDA" w:rsidRDefault="00B752AF" w:rsidP="00B752AF">
            <w:pPr>
              <w:jc w:val="center"/>
              <w:rPr>
                <w:noProof/>
              </w:rPr>
            </w:pPr>
            <w:r>
              <w:rPr>
                <w:rFonts w:ascii="Calibri" w:hAnsi="Calibri" w:cs="Calibri"/>
                <w:noProof/>
                <w:color w:val="000000"/>
                <w:sz w:val="16"/>
                <w:szCs w:val="16"/>
              </w:rPr>
              <w:t>75%</w:t>
            </w:r>
          </w:p>
        </w:tc>
      </w:tr>
      <w:tr w:rsidR="00B752AF" w:rsidRPr="00602CDA" w14:paraId="3BF86BE6"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C46EF6" w14:textId="7960C4C4"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Artificial Intelligence</w:t>
            </w:r>
          </w:p>
        </w:tc>
        <w:tc>
          <w:tcPr>
            <w:tcW w:w="995" w:type="dxa"/>
            <w:tcBorders>
              <w:top w:val="single" w:sz="4" w:space="0" w:color="8B73FF"/>
              <w:left w:val="single" w:sz="4" w:space="0" w:color="8B73FF"/>
              <w:bottom w:val="single" w:sz="4" w:space="0" w:color="8B73FF"/>
              <w:right w:val="single" w:sz="4" w:space="0" w:color="8B73FF"/>
            </w:tcBorders>
            <w:vAlign w:val="center"/>
          </w:tcPr>
          <w:p w14:paraId="41E196A7" w14:textId="03D8CFBF"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11.3%</w:t>
            </w:r>
          </w:p>
        </w:tc>
        <w:tc>
          <w:tcPr>
            <w:tcW w:w="809" w:type="dxa"/>
            <w:tcBorders>
              <w:top w:val="single" w:sz="4" w:space="0" w:color="8B73FF"/>
              <w:left w:val="single" w:sz="4" w:space="0" w:color="8B73FF"/>
              <w:bottom w:val="single" w:sz="4" w:space="0" w:color="8B73FF"/>
              <w:right w:val="single" w:sz="4" w:space="0" w:color="8B73FF"/>
            </w:tcBorders>
            <w:vAlign w:val="center"/>
          </w:tcPr>
          <w:p w14:paraId="065D62DB" w14:textId="2067B81C"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17.6%</w:t>
            </w:r>
          </w:p>
        </w:tc>
        <w:tc>
          <w:tcPr>
            <w:tcW w:w="813" w:type="dxa"/>
            <w:tcBorders>
              <w:top w:val="single" w:sz="4" w:space="0" w:color="8B73FF"/>
              <w:left w:val="single" w:sz="4" w:space="0" w:color="8B73FF"/>
              <w:bottom w:val="single" w:sz="4" w:space="0" w:color="8B73FF"/>
              <w:right w:val="single" w:sz="4" w:space="0" w:color="8B73FF"/>
            </w:tcBorders>
            <w:vAlign w:val="center"/>
          </w:tcPr>
          <w:p w14:paraId="47A62B66" w14:textId="3FCD6C9F"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56.3%</w:t>
            </w:r>
          </w:p>
        </w:tc>
        <w:tc>
          <w:tcPr>
            <w:tcW w:w="1060" w:type="dxa"/>
            <w:tcBorders>
              <w:top w:val="single" w:sz="4" w:space="0" w:color="8B73FF"/>
              <w:left w:val="single" w:sz="4" w:space="0" w:color="8B73FF"/>
              <w:bottom w:val="single" w:sz="4" w:space="0" w:color="8B73FF"/>
              <w:right w:val="single" w:sz="4" w:space="0" w:color="8B73FF"/>
            </w:tcBorders>
            <w:vAlign w:val="center"/>
          </w:tcPr>
          <w:p w14:paraId="40AB79D3" w14:textId="3E89665A"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10.7% </w:t>
            </w:r>
          </w:p>
        </w:tc>
        <w:tc>
          <w:tcPr>
            <w:tcW w:w="664" w:type="dxa"/>
            <w:tcBorders>
              <w:top w:val="single" w:sz="4" w:space="0" w:color="8B73FF"/>
              <w:left w:val="single" w:sz="4" w:space="0" w:color="8B73FF"/>
              <w:bottom w:val="single" w:sz="4" w:space="0" w:color="8B73FF"/>
              <w:right w:val="single" w:sz="4" w:space="0" w:color="8B73FF"/>
            </w:tcBorders>
            <w:vAlign w:val="center"/>
          </w:tcPr>
          <w:p w14:paraId="4CDBB89A" w14:textId="7D72724C" w:rsidR="00B752AF" w:rsidRPr="00602CDA" w:rsidRDefault="00B752AF" w:rsidP="00B752AF">
            <w:pPr>
              <w:jc w:val="center"/>
              <w:rPr>
                <w:noProof/>
              </w:rPr>
            </w:pPr>
            <w:r>
              <w:rPr>
                <w:rFonts w:ascii="Calibri" w:hAnsi="Calibri" w:cs="Calibri"/>
                <w:noProof/>
                <w:color w:val="000000"/>
                <w:sz w:val="16"/>
                <w:szCs w:val="16"/>
              </w:rPr>
              <w:t>20.0%</w:t>
            </w:r>
          </w:p>
        </w:tc>
        <w:tc>
          <w:tcPr>
            <w:tcW w:w="772" w:type="dxa"/>
            <w:tcBorders>
              <w:top w:val="single" w:sz="4" w:space="0" w:color="8B73FF"/>
              <w:left w:val="single" w:sz="4" w:space="0" w:color="8B73FF"/>
              <w:bottom w:val="single" w:sz="4" w:space="0" w:color="8B73FF"/>
              <w:right w:val="single" w:sz="4" w:space="0" w:color="8B73FF"/>
            </w:tcBorders>
            <w:vAlign w:val="center"/>
          </w:tcPr>
          <w:p w14:paraId="2445CFE7" w14:textId="1A77F07D" w:rsidR="00B752AF" w:rsidRPr="00602CDA" w:rsidRDefault="00B752AF" w:rsidP="00B752AF">
            <w:pPr>
              <w:jc w:val="center"/>
              <w:rPr>
                <w:noProof/>
              </w:rPr>
            </w:pPr>
            <w:r>
              <w:rPr>
                <w:rFonts w:ascii="Calibri" w:hAnsi="Calibri" w:cs="Calibri"/>
                <w:noProof/>
                <w:color w:val="000000"/>
                <w:sz w:val="16"/>
                <w:szCs w:val="16"/>
              </w:rPr>
              <w:t>48.0%</w:t>
            </w:r>
          </w:p>
        </w:tc>
        <w:tc>
          <w:tcPr>
            <w:tcW w:w="756" w:type="dxa"/>
            <w:tcBorders>
              <w:top w:val="single" w:sz="4" w:space="0" w:color="8B73FF"/>
              <w:left w:val="single" w:sz="4" w:space="0" w:color="8B73FF"/>
              <w:bottom w:val="single" w:sz="4" w:space="0" w:color="8B73FF"/>
              <w:right w:val="single" w:sz="4" w:space="0" w:color="8B73FF"/>
            </w:tcBorders>
            <w:vAlign w:val="center"/>
          </w:tcPr>
          <w:p w14:paraId="2545903C" w14:textId="08DB2781" w:rsidR="00B752AF" w:rsidRPr="00602CDA" w:rsidRDefault="00B752AF" w:rsidP="00B752AF">
            <w:pPr>
              <w:jc w:val="center"/>
              <w:rPr>
                <w:noProof/>
              </w:rPr>
            </w:pPr>
            <w:r>
              <w:rPr>
                <w:rFonts w:ascii="Calibri" w:hAnsi="Calibri" w:cs="Calibri"/>
                <w:noProof/>
                <w:color w:val="000000"/>
                <w:sz w:val="16"/>
                <w:szCs w:val="16"/>
              </w:rPr>
              <w:t>21.0%</w:t>
            </w:r>
          </w:p>
        </w:tc>
        <w:tc>
          <w:tcPr>
            <w:tcW w:w="711" w:type="dxa"/>
            <w:tcBorders>
              <w:top w:val="single" w:sz="4" w:space="0" w:color="8B73FF"/>
              <w:left w:val="single" w:sz="4" w:space="0" w:color="8B73FF"/>
              <w:bottom w:val="single" w:sz="4" w:space="0" w:color="8B73FF"/>
              <w:right w:val="single" w:sz="4" w:space="0" w:color="8B73FF"/>
            </w:tcBorders>
            <w:vAlign w:val="center"/>
          </w:tcPr>
          <w:p w14:paraId="78BB13ED" w14:textId="11533090" w:rsidR="00B752AF" w:rsidRPr="00602CDA" w:rsidRDefault="00B752AF" w:rsidP="00B752AF">
            <w:pPr>
              <w:jc w:val="center"/>
              <w:rPr>
                <w:noProof/>
              </w:rPr>
            </w:pPr>
            <w:r>
              <w:rPr>
                <w:rFonts w:ascii="Calibri" w:hAnsi="Calibri" w:cs="Calibri"/>
                <w:noProof/>
                <w:color w:val="000000"/>
                <w:sz w:val="16"/>
                <w:szCs w:val="16"/>
              </w:rPr>
              <w:t>75%</w:t>
            </w:r>
          </w:p>
        </w:tc>
      </w:tr>
      <w:tr w:rsidR="00B752AF" w:rsidRPr="00602CDA" w14:paraId="686ABADF"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45039AF" w14:textId="3C5199A7"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Data analytics *</w:t>
            </w:r>
          </w:p>
        </w:tc>
        <w:tc>
          <w:tcPr>
            <w:tcW w:w="995" w:type="dxa"/>
            <w:tcBorders>
              <w:top w:val="single" w:sz="4" w:space="0" w:color="8B73FF"/>
              <w:left w:val="single" w:sz="4" w:space="0" w:color="8B73FF"/>
              <w:bottom w:val="single" w:sz="4" w:space="0" w:color="8B73FF"/>
              <w:right w:val="single" w:sz="4" w:space="0" w:color="8B73FF"/>
            </w:tcBorders>
            <w:vAlign w:val="center"/>
          </w:tcPr>
          <w:p w14:paraId="54C1D453" w14:textId="63792014"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19.5%</w:t>
            </w:r>
          </w:p>
        </w:tc>
        <w:tc>
          <w:tcPr>
            <w:tcW w:w="809" w:type="dxa"/>
            <w:tcBorders>
              <w:top w:val="single" w:sz="4" w:space="0" w:color="8B73FF"/>
              <w:left w:val="single" w:sz="4" w:space="0" w:color="8B73FF"/>
              <w:bottom w:val="single" w:sz="4" w:space="0" w:color="8B73FF"/>
              <w:right w:val="single" w:sz="4" w:space="0" w:color="8B73FF"/>
            </w:tcBorders>
            <w:vAlign w:val="center"/>
          </w:tcPr>
          <w:p w14:paraId="2AFB679E" w14:textId="31162EBB"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44.6%</w:t>
            </w:r>
          </w:p>
        </w:tc>
        <w:tc>
          <w:tcPr>
            <w:tcW w:w="813" w:type="dxa"/>
            <w:tcBorders>
              <w:top w:val="single" w:sz="4" w:space="0" w:color="8B73FF"/>
              <w:left w:val="single" w:sz="4" w:space="0" w:color="8B73FF"/>
              <w:bottom w:val="single" w:sz="4" w:space="0" w:color="8B73FF"/>
              <w:right w:val="single" w:sz="4" w:space="0" w:color="8B73FF"/>
            </w:tcBorders>
            <w:vAlign w:val="center"/>
          </w:tcPr>
          <w:p w14:paraId="09C2EEB8" w14:textId="45C2C702"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51.3%</w:t>
            </w:r>
          </w:p>
        </w:tc>
        <w:tc>
          <w:tcPr>
            <w:tcW w:w="1060" w:type="dxa"/>
            <w:tcBorders>
              <w:top w:val="single" w:sz="4" w:space="0" w:color="8B73FF"/>
              <w:left w:val="single" w:sz="4" w:space="0" w:color="8B73FF"/>
              <w:bottom w:val="single" w:sz="4" w:space="0" w:color="8B73FF"/>
              <w:right w:val="single" w:sz="4" w:space="0" w:color="8B73FF"/>
            </w:tcBorders>
            <w:vAlign w:val="center"/>
          </w:tcPr>
          <w:p w14:paraId="4E5D98BD" w14:textId="6E3B7B49"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23.9% </w:t>
            </w:r>
          </w:p>
        </w:tc>
        <w:tc>
          <w:tcPr>
            <w:tcW w:w="664" w:type="dxa"/>
            <w:tcBorders>
              <w:top w:val="single" w:sz="4" w:space="0" w:color="8B73FF"/>
              <w:left w:val="single" w:sz="4" w:space="0" w:color="8B73FF"/>
              <w:bottom w:val="single" w:sz="4" w:space="0" w:color="8B73FF"/>
              <w:right w:val="single" w:sz="4" w:space="0" w:color="8B73FF"/>
            </w:tcBorders>
            <w:vAlign w:val="center"/>
          </w:tcPr>
          <w:p w14:paraId="164CC5EA" w14:textId="39B0088B" w:rsidR="00B752AF" w:rsidRPr="00602CDA" w:rsidRDefault="00B752AF" w:rsidP="00B752AF">
            <w:pPr>
              <w:jc w:val="center"/>
              <w:rPr>
                <w:noProof/>
              </w:rPr>
            </w:pPr>
            <w:r>
              <w:rPr>
                <w:rFonts w:ascii="Calibri" w:hAnsi="Calibri" w:cs="Calibri"/>
                <w:noProof/>
                <w:color w:val="000000"/>
                <w:sz w:val="16"/>
                <w:szCs w:val="16"/>
              </w:rPr>
              <w:t>39.9%</w:t>
            </w:r>
          </w:p>
        </w:tc>
        <w:tc>
          <w:tcPr>
            <w:tcW w:w="772" w:type="dxa"/>
            <w:tcBorders>
              <w:top w:val="single" w:sz="4" w:space="0" w:color="8B73FF"/>
              <w:left w:val="single" w:sz="4" w:space="0" w:color="8B73FF"/>
              <w:bottom w:val="single" w:sz="4" w:space="0" w:color="8B73FF"/>
              <w:right w:val="single" w:sz="4" w:space="0" w:color="8B73FF"/>
            </w:tcBorders>
            <w:vAlign w:val="center"/>
          </w:tcPr>
          <w:p w14:paraId="1A5156E9" w14:textId="2BB05C4D" w:rsidR="00B752AF" w:rsidRPr="00602CDA" w:rsidRDefault="00B752AF" w:rsidP="00B752AF">
            <w:pPr>
              <w:jc w:val="center"/>
              <w:rPr>
                <w:noProof/>
              </w:rPr>
            </w:pPr>
            <w:r>
              <w:rPr>
                <w:rFonts w:ascii="Calibri" w:hAnsi="Calibri" w:cs="Calibri"/>
                <w:noProof/>
                <w:color w:val="000000"/>
                <w:sz w:val="16"/>
                <w:szCs w:val="16"/>
              </w:rPr>
              <w:t>9.5%</w:t>
            </w:r>
          </w:p>
        </w:tc>
        <w:tc>
          <w:tcPr>
            <w:tcW w:w="756" w:type="dxa"/>
            <w:tcBorders>
              <w:top w:val="single" w:sz="4" w:space="0" w:color="8B73FF"/>
              <w:left w:val="single" w:sz="4" w:space="0" w:color="8B73FF"/>
              <w:bottom w:val="single" w:sz="4" w:space="0" w:color="8B73FF"/>
              <w:right w:val="single" w:sz="4" w:space="0" w:color="8B73FF"/>
            </w:tcBorders>
            <w:vAlign w:val="center"/>
          </w:tcPr>
          <w:p w14:paraId="3D7FE543" w14:textId="33751A65" w:rsidR="00B752AF" w:rsidRPr="00602CDA" w:rsidRDefault="00B752AF" w:rsidP="00B752AF">
            <w:pPr>
              <w:jc w:val="center"/>
              <w:rPr>
                <w:noProof/>
              </w:rPr>
            </w:pPr>
            <w:r>
              <w:rPr>
                <w:rFonts w:ascii="Calibri" w:hAnsi="Calibri" w:cs="Calibri"/>
                <w:noProof/>
                <w:color w:val="000000"/>
                <w:sz w:val="16"/>
                <w:szCs w:val="16"/>
              </w:rPr>
              <w:t>35.0%</w:t>
            </w:r>
          </w:p>
        </w:tc>
        <w:tc>
          <w:tcPr>
            <w:tcW w:w="711" w:type="dxa"/>
            <w:tcBorders>
              <w:top w:val="single" w:sz="4" w:space="0" w:color="8B73FF"/>
              <w:left w:val="single" w:sz="4" w:space="0" w:color="8B73FF"/>
              <w:bottom w:val="single" w:sz="4" w:space="0" w:color="8B73FF"/>
              <w:right w:val="single" w:sz="4" w:space="0" w:color="8B73FF"/>
            </w:tcBorders>
            <w:vAlign w:val="center"/>
          </w:tcPr>
          <w:p w14:paraId="6E8B1327" w14:textId="5CE2A88F" w:rsidR="00B752AF" w:rsidRPr="00602CDA" w:rsidRDefault="00B752AF" w:rsidP="00B752AF">
            <w:pPr>
              <w:jc w:val="center"/>
              <w:rPr>
                <w:noProof/>
              </w:rPr>
            </w:pPr>
            <w:r>
              <w:rPr>
                <w:rFonts w:ascii="Calibri" w:hAnsi="Calibri" w:cs="Calibri"/>
                <w:noProof/>
                <w:color w:val="000000"/>
                <w:sz w:val="16"/>
                <w:szCs w:val="16"/>
              </w:rPr>
              <w:t>75%</w:t>
            </w:r>
          </w:p>
        </w:tc>
      </w:tr>
      <w:tr w:rsidR="00B752AF" w:rsidRPr="00602CDA" w14:paraId="6C726A3D"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18FF904" w14:textId="54C1D515"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AI or Cloud or Data analytics *</w:t>
            </w:r>
          </w:p>
        </w:tc>
        <w:tc>
          <w:tcPr>
            <w:tcW w:w="995" w:type="dxa"/>
            <w:tcBorders>
              <w:top w:val="single" w:sz="4" w:space="0" w:color="8B73FF"/>
              <w:left w:val="single" w:sz="4" w:space="0" w:color="8B73FF"/>
              <w:bottom w:val="single" w:sz="4" w:space="0" w:color="8B73FF"/>
              <w:right w:val="single" w:sz="4" w:space="0" w:color="8B73FF"/>
            </w:tcBorders>
            <w:vAlign w:val="center"/>
          </w:tcPr>
          <w:p w14:paraId="6B50FFE4" w14:textId="2C5CE512"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43.1%</w:t>
            </w:r>
          </w:p>
        </w:tc>
        <w:tc>
          <w:tcPr>
            <w:tcW w:w="809" w:type="dxa"/>
            <w:tcBorders>
              <w:top w:val="single" w:sz="4" w:space="0" w:color="8B73FF"/>
              <w:left w:val="single" w:sz="4" w:space="0" w:color="8B73FF"/>
              <w:bottom w:val="single" w:sz="4" w:space="0" w:color="8B73FF"/>
              <w:right w:val="single" w:sz="4" w:space="0" w:color="8B73FF"/>
            </w:tcBorders>
            <w:vAlign w:val="center"/>
          </w:tcPr>
          <w:p w14:paraId="1D75CE2F" w14:textId="7F513488"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61.0%</w:t>
            </w:r>
          </w:p>
        </w:tc>
        <w:tc>
          <w:tcPr>
            <w:tcW w:w="813" w:type="dxa"/>
            <w:tcBorders>
              <w:top w:val="single" w:sz="4" w:space="0" w:color="8B73FF"/>
              <w:left w:val="single" w:sz="4" w:space="0" w:color="8B73FF"/>
              <w:bottom w:val="single" w:sz="4" w:space="0" w:color="8B73FF"/>
              <w:right w:val="single" w:sz="4" w:space="0" w:color="8B73FF"/>
            </w:tcBorders>
            <w:vAlign w:val="center"/>
          </w:tcPr>
          <w:p w14:paraId="4B739A65" w14:textId="22FE0142"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19.0%</w:t>
            </w:r>
          </w:p>
        </w:tc>
        <w:tc>
          <w:tcPr>
            <w:tcW w:w="1060" w:type="dxa"/>
            <w:tcBorders>
              <w:top w:val="single" w:sz="4" w:space="0" w:color="8B73FF"/>
              <w:left w:val="single" w:sz="4" w:space="0" w:color="8B73FF"/>
              <w:bottom w:val="single" w:sz="4" w:space="0" w:color="8B73FF"/>
              <w:right w:val="single" w:sz="4" w:space="0" w:color="8B73FF"/>
            </w:tcBorders>
            <w:vAlign w:val="center"/>
          </w:tcPr>
          <w:p w14:paraId="3B244026" w14:textId="11273B6C"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45.9% </w:t>
            </w:r>
          </w:p>
        </w:tc>
        <w:tc>
          <w:tcPr>
            <w:tcW w:w="664" w:type="dxa"/>
            <w:tcBorders>
              <w:top w:val="single" w:sz="4" w:space="0" w:color="8B73FF"/>
              <w:left w:val="single" w:sz="4" w:space="0" w:color="8B73FF"/>
              <w:bottom w:val="single" w:sz="4" w:space="0" w:color="8B73FF"/>
              <w:right w:val="single" w:sz="4" w:space="0" w:color="8B73FF"/>
            </w:tcBorders>
            <w:vAlign w:val="center"/>
          </w:tcPr>
          <w:p w14:paraId="2CF6ECCF" w14:textId="3088F08F" w:rsidR="00B752AF" w:rsidRPr="00602CDA" w:rsidRDefault="00B752AF" w:rsidP="00B752AF">
            <w:pPr>
              <w:jc w:val="center"/>
              <w:rPr>
                <w:noProof/>
              </w:rPr>
            </w:pPr>
            <w:r>
              <w:rPr>
                <w:rFonts w:ascii="Calibri" w:hAnsi="Calibri" w:cs="Calibri"/>
                <w:noProof/>
                <w:color w:val="000000"/>
                <w:sz w:val="16"/>
                <w:szCs w:val="16"/>
              </w:rPr>
              <w:t>63.2%</w:t>
            </w:r>
          </w:p>
        </w:tc>
        <w:tc>
          <w:tcPr>
            <w:tcW w:w="772" w:type="dxa"/>
            <w:tcBorders>
              <w:top w:val="single" w:sz="4" w:space="0" w:color="8B73FF"/>
              <w:left w:val="single" w:sz="4" w:space="0" w:color="8B73FF"/>
              <w:bottom w:val="single" w:sz="4" w:space="0" w:color="8B73FF"/>
              <w:right w:val="single" w:sz="4" w:space="0" w:color="8B73FF"/>
            </w:tcBorders>
            <w:vAlign w:val="center"/>
          </w:tcPr>
          <w:p w14:paraId="17E78C0E" w14:textId="508181B4" w:rsidR="00B752AF" w:rsidRPr="00602CDA" w:rsidRDefault="00B752AF" w:rsidP="00B752AF">
            <w:pPr>
              <w:jc w:val="center"/>
              <w:rPr>
                <w:noProof/>
              </w:rPr>
            </w:pPr>
            <w:r>
              <w:rPr>
                <w:rFonts w:ascii="Calibri" w:hAnsi="Calibri" w:cs="Calibri"/>
                <w:noProof/>
                <w:color w:val="000000"/>
                <w:sz w:val="16"/>
                <w:szCs w:val="16"/>
              </w:rPr>
              <w:t>7.5%</w:t>
            </w:r>
          </w:p>
        </w:tc>
        <w:tc>
          <w:tcPr>
            <w:tcW w:w="756" w:type="dxa"/>
            <w:tcBorders>
              <w:top w:val="single" w:sz="4" w:space="0" w:color="8B73FF"/>
              <w:left w:val="single" w:sz="4" w:space="0" w:color="8B73FF"/>
              <w:bottom w:val="single" w:sz="4" w:space="0" w:color="8B73FF"/>
              <w:right w:val="single" w:sz="4" w:space="0" w:color="8B73FF"/>
            </w:tcBorders>
            <w:vAlign w:val="center"/>
          </w:tcPr>
          <w:p w14:paraId="28F4BA2C" w14:textId="72B67A02" w:rsidR="00B752AF" w:rsidRPr="00602CDA" w:rsidRDefault="00B752AF" w:rsidP="00B752AF">
            <w:pPr>
              <w:jc w:val="center"/>
              <w:rPr>
                <w:noProof/>
              </w:rPr>
            </w:pPr>
            <w:r>
              <w:rPr>
                <w:rFonts w:ascii="Calibri" w:hAnsi="Calibri" w:cs="Calibri"/>
                <w:noProof/>
                <w:color w:val="000000"/>
                <w:sz w:val="16"/>
                <w:szCs w:val="16"/>
              </w:rPr>
              <w:t>60.0%</w:t>
            </w:r>
          </w:p>
        </w:tc>
        <w:tc>
          <w:tcPr>
            <w:tcW w:w="711" w:type="dxa"/>
            <w:tcBorders>
              <w:top w:val="single" w:sz="4" w:space="0" w:color="8B73FF"/>
              <w:left w:val="single" w:sz="4" w:space="0" w:color="8B73FF"/>
              <w:bottom w:val="single" w:sz="4" w:space="0" w:color="8B73FF"/>
              <w:right w:val="single" w:sz="4" w:space="0" w:color="8B73FF"/>
            </w:tcBorders>
            <w:vAlign w:val="center"/>
          </w:tcPr>
          <w:p w14:paraId="4F96EF98" w14:textId="3626937C" w:rsidR="00B752AF" w:rsidRPr="00602CDA" w:rsidRDefault="00B752AF" w:rsidP="00B752AF">
            <w:pPr>
              <w:jc w:val="center"/>
              <w:rPr>
                <w:noProof/>
              </w:rPr>
            </w:pPr>
            <w:r>
              <w:rPr>
                <w:rFonts w:ascii="Calibri" w:hAnsi="Calibri" w:cs="Calibri"/>
                <w:noProof/>
                <w:color w:val="000000"/>
                <w:sz w:val="16"/>
                <w:szCs w:val="16"/>
              </w:rPr>
              <w:t>75%</w:t>
            </w:r>
          </w:p>
        </w:tc>
      </w:tr>
      <w:tr w:rsidR="00B752AF" w:rsidRPr="00602CDA" w14:paraId="2ADFF5B5"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C62A60F" w14:textId="645029B3"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Unicorns</w:t>
            </w:r>
          </w:p>
        </w:tc>
        <w:tc>
          <w:tcPr>
            <w:tcW w:w="995" w:type="dxa"/>
            <w:tcBorders>
              <w:top w:val="single" w:sz="4" w:space="0" w:color="8B73FF"/>
              <w:left w:val="single" w:sz="4" w:space="0" w:color="8B73FF"/>
              <w:bottom w:val="single" w:sz="4" w:space="0" w:color="8B73FF"/>
              <w:right w:val="single" w:sz="4" w:space="0" w:color="8B73FF"/>
            </w:tcBorders>
            <w:vAlign w:val="center"/>
          </w:tcPr>
          <w:p w14:paraId="6F89900C" w14:textId="49AA6F10"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3</w:t>
            </w:r>
          </w:p>
        </w:tc>
        <w:tc>
          <w:tcPr>
            <w:tcW w:w="809" w:type="dxa"/>
            <w:tcBorders>
              <w:top w:val="single" w:sz="4" w:space="0" w:color="8B73FF"/>
              <w:left w:val="single" w:sz="4" w:space="0" w:color="8B73FF"/>
              <w:bottom w:val="single" w:sz="4" w:space="0" w:color="8B73FF"/>
              <w:right w:val="single" w:sz="4" w:space="0" w:color="8B73FF"/>
            </w:tcBorders>
            <w:vAlign w:val="center"/>
          </w:tcPr>
          <w:p w14:paraId="0B680D48" w14:textId="2E01D6FD"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3</w:t>
            </w:r>
          </w:p>
        </w:tc>
        <w:tc>
          <w:tcPr>
            <w:tcW w:w="813" w:type="dxa"/>
            <w:tcBorders>
              <w:top w:val="single" w:sz="4" w:space="0" w:color="8B73FF"/>
              <w:left w:val="single" w:sz="4" w:space="0" w:color="8B73FF"/>
              <w:bottom w:val="single" w:sz="4" w:space="0" w:color="8B73FF"/>
              <w:right w:val="single" w:sz="4" w:space="0" w:color="8B73FF"/>
            </w:tcBorders>
            <w:vAlign w:val="center"/>
          </w:tcPr>
          <w:p w14:paraId="31D22C71" w14:textId="26919BBD"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0.0%</w:t>
            </w:r>
          </w:p>
        </w:tc>
        <w:tc>
          <w:tcPr>
            <w:tcW w:w="1060" w:type="dxa"/>
            <w:tcBorders>
              <w:top w:val="single" w:sz="4" w:space="0" w:color="8B73FF"/>
              <w:left w:val="single" w:sz="4" w:space="0" w:color="8B73FF"/>
              <w:bottom w:val="single" w:sz="4" w:space="0" w:color="8B73FF"/>
              <w:right w:val="single" w:sz="4" w:space="0" w:color="8B73FF"/>
            </w:tcBorders>
            <w:vAlign w:val="center"/>
          </w:tcPr>
          <w:p w14:paraId="4707DA3F" w14:textId="005386B7"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4 </w:t>
            </w:r>
          </w:p>
        </w:tc>
        <w:tc>
          <w:tcPr>
            <w:tcW w:w="664" w:type="dxa"/>
            <w:tcBorders>
              <w:top w:val="single" w:sz="4" w:space="0" w:color="8B73FF"/>
              <w:left w:val="single" w:sz="4" w:space="0" w:color="8B73FF"/>
              <w:bottom w:val="single" w:sz="4" w:space="0" w:color="8B73FF"/>
              <w:right w:val="single" w:sz="4" w:space="0" w:color="8B73FF"/>
            </w:tcBorders>
            <w:vAlign w:val="center"/>
          </w:tcPr>
          <w:p w14:paraId="66FFC81C" w14:textId="503AA033" w:rsidR="00B752AF" w:rsidRPr="00602CDA" w:rsidRDefault="00B752AF" w:rsidP="00B752AF">
            <w:pPr>
              <w:jc w:val="center"/>
              <w:rPr>
                <w:noProof/>
              </w:rPr>
            </w:pPr>
            <w:r>
              <w:rPr>
                <w:rFonts w:ascii="Calibri" w:hAnsi="Calibri" w:cs="Calibri"/>
                <w:noProof/>
                <w:color w:val="000000"/>
                <w:sz w:val="16"/>
                <w:szCs w:val="16"/>
              </w:rPr>
              <w:t>324</w:t>
            </w:r>
          </w:p>
        </w:tc>
        <w:tc>
          <w:tcPr>
            <w:tcW w:w="772" w:type="dxa"/>
            <w:tcBorders>
              <w:top w:val="single" w:sz="4" w:space="0" w:color="8B73FF"/>
              <w:left w:val="single" w:sz="4" w:space="0" w:color="8B73FF"/>
              <w:bottom w:val="single" w:sz="4" w:space="0" w:color="8B73FF"/>
              <w:right w:val="single" w:sz="4" w:space="0" w:color="8B73FF"/>
            </w:tcBorders>
            <w:vAlign w:val="center"/>
          </w:tcPr>
          <w:p w14:paraId="7DACCAEF" w14:textId="20C4A0B4" w:rsidR="00B752AF" w:rsidRPr="00602CDA" w:rsidRDefault="00B752AF" w:rsidP="00B752AF">
            <w:pPr>
              <w:jc w:val="center"/>
              <w:rPr>
                <w:noProof/>
              </w:rPr>
            </w:pPr>
            <w:r>
              <w:rPr>
                <w:rFonts w:ascii="Calibri" w:hAnsi="Calibri" w:cs="Calibri"/>
                <w:noProof/>
                <w:color w:val="000000"/>
                <w:sz w:val="16"/>
                <w:szCs w:val="16"/>
              </w:rPr>
              <w:t>10.2%</w:t>
            </w:r>
          </w:p>
        </w:tc>
        <w:tc>
          <w:tcPr>
            <w:tcW w:w="756" w:type="dxa"/>
            <w:tcBorders>
              <w:top w:val="single" w:sz="4" w:space="0" w:color="8B73FF"/>
              <w:left w:val="single" w:sz="4" w:space="0" w:color="8B73FF"/>
              <w:bottom w:val="single" w:sz="4" w:space="0" w:color="8B73FF"/>
              <w:right w:val="single" w:sz="4" w:space="0" w:color="8B73FF"/>
            </w:tcBorders>
            <w:vAlign w:val="center"/>
          </w:tcPr>
          <w:p w14:paraId="68F24130" w14:textId="247E05D6" w:rsidR="00B752AF" w:rsidRPr="00602CDA" w:rsidRDefault="00B752AF" w:rsidP="00B752AF">
            <w:pPr>
              <w:jc w:val="center"/>
              <w:rPr>
                <w:noProof/>
              </w:rPr>
            </w:pPr>
            <w:r>
              <w:rPr>
                <w:rFonts w:ascii="Calibri" w:hAnsi="Calibri" w:cs="Calibri"/>
                <w:noProof/>
                <w:color w:val="000000"/>
                <w:sz w:val="16"/>
                <w:szCs w:val="16"/>
              </w:rPr>
              <w:t>6</w:t>
            </w:r>
          </w:p>
        </w:tc>
        <w:tc>
          <w:tcPr>
            <w:tcW w:w="711" w:type="dxa"/>
            <w:tcBorders>
              <w:top w:val="single" w:sz="4" w:space="0" w:color="8B73FF"/>
              <w:left w:val="single" w:sz="4" w:space="0" w:color="8B73FF"/>
              <w:bottom w:val="single" w:sz="4" w:space="0" w:color="8B73FF"/>
              <w:right w:val="single" w:sz="4" w:space="0" w:color="8B73FF"/>
            </w:tcBorders>
            <w:vAlign w:val="center"/>
          </w:tcPr>
          <w:p w14:paraId="30BBACC6" w14:textId="0B6D71B1" w:rsidR="00B752AF" w:rsidRPr="00602CDA" w:rsidRDefault="00B752AF" w:rsidP="00B752AF">
            <w:pPr>
              <w:jc w:val="center"/>
              <w:rPr>
                <w:noProof/>
              </w:rPr>
            </w:pPr>
            <w:r>
              <w:rPr>
                <w:rFonts w:ascii="Calibri" w:hAnsi="Calibri" w:cs="Calibri"/>
                <w:noProof/>
                <w:color w:val="000000"/>
                <w:sz w:val="16"/>
                <w:szCs w:val="16"/>
              </w:rPr>
              <w:t>500</w:t>
            </w:r>
          </w:p>
        </w:tc>
      </w:tr>
      <w:tr w:rsidR="00B752AF" w:rsidRPr="00602CDA" w14:paraId="55879153"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CE1E90F" w14:textId="66E705B4"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At least basic digital skills *</w:t>
            </w:r>
          </w:p>
        </w:tc>
        <w:tc>
          <w:tcPr>
            <w:tcW w:w="995" w:type="dxa"/>
            <w:tcBorders>
              <w:top w:val="single" w:sz="4" w:space="0" w:color="8B73FF"/>
              <w:left w:val="single" w:sz="4" w:space="0" w:color="8B73FF"/>
              <w:bottom w:val="single" w:sz="4" w:space="0" w:color="8B73FF"/>
              <w:right w:val="single" w:sz="4" w:space="0" w:color="8B73FF"/>
            </w:tcBorders>
            <w:vAlign w:val="center"/>
          </w:tcPr>
          <w:p w14:paraId="31B6C927" w14:textId="5F8B8E58"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69.1%</w:t>
            </w:r>
          </w:p>
        </w:tc>
        <w:tc>
          <w:tcPr>
            <w:tcW w:w="809" w:type="dxa"/>
            <w:tcBorders>
              <w:top w:val="single" w:sz="4" w:space="0" w:color="8B73FF"/>
              <w:left w:val="single" w:sz="4" w:space="0" w:color="8B73FF"/>
              <w:bottom w:val="single" w:sz="4" w:space="0" w:color="8B73FF"/>
              <w:right w:val="single" w:sz="4" w:space="0" w:color="8B73FF"/>
            </w:tcBorders>
            <w:vAlign w:val="center"/>
          </w:tcPr>
          <w:p w14:paraId="4C4FBBCD" w14:textId="4F42E6A1"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70.5%</w:t>
            </w:r>
          </w:p>
        </w:tc>
        <w:tc>
          <w:tcPr>
            <w:tcW w:w="813" w:type="dxa"/>
            <w:tcBorders>
              <w:top w:val="single" w:sz="4" w:space="0" w:color="8B73FF"/>
              <w:left w:val="single" w:sz="4" w:space="0" w:color="8B73FF"/>
              <w:bottom w:val="single" w:sz="4" w:space="0" w:color="8B73FF"/>
              <w:right w:val="single" w:sz="4" w:space="0" w:color="8B73FF"/>
            </w:tcBorders>
            <w:vAlign w:val="center"/>
          </w:tcPr>
          <w:p w14:paraId="29E49120" w14:textId="2D2139E3"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1.0%</w:t>
            </w:r>
          </w:p>
        </w:tc>
        <w:tc>
          <w:tcPr>
            <w:tcW w:w="1060" w:type="dxa"/>
            <w:tcBorders>
              <w:top w:val="single" w:sz="4" w:space="0" w:color="8B73FF"/>
              <w:left w:val="single" w:sz="4" w:space="0" w:color="8B73FF"/>
              <w:bottom w:val="single" w:sz="4" w:space="0" w:color="8B73FF"/>
              <w:right w:val="single" w:sz="4" w:space="0" w:color="8B73FF"/>
            </w:tcBorders>
            <w:vAlign w:val="center"/>
          </w:tcPr>
          <w:p w14:paraId="4B52105C" w14:textId="6D800608"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67.3% </w:t>
            </w:r>
          </w:p>
        </w:tc>
        <w:tc>
          <w:tcPr>
            <w:tcW w:w="664" w:type="dxa"/>
            <w:tcBorders>
              <w:top w:val="single" w:sz="4" w:space="0" w:color="8B73FF"/>
              <w:left w:val="single" w:sz="4" w:space="0" w:color="8B73FF"/>
              <w:bottom w:val="single" w:sz="4" w:space="0" w:color="8B73FF"/>
              <w:right w:val="single" w:sz="4" w:space="0" w:color="8B73FF"/>
            </w:tcBorders>
            <w:vAlign w:val="center"/>
          </w:tcPr>
          <w:p w14:paraId="40A03072" w14:textId="7FFB20BB" w:rsidR="00B752AF" w:rsidRPr="00602CDA" w:rsidRDefault="00B752AF" w:rsidP="00B752AF">
            <w:pPr>
              <w:jc w:val="center"/>
              <w:rPr>
                <w:noProof/>
              </w:rPr>
            </w:pPr>
            <w:r>
              <w:rPr>
                <w:rFonts w:ascii="Calibri" w:hAnsi="Calibri" w:cs="Calibri"/>
                <w:noProof/>
                <w:color w:val="000000"/>
                <w:sz w:val="16"/>
                <w:szCs w:val="16"/>
              </w:rPr>
              <w:t>60.4%</w:t>
            </w:r>
          </w:p>
        </w:tc>
        <w:tc>
          <w:tcPr>
            <w:tcW w:w="772" w:type="dxa"/>
            <w:tcBorders>
              <w:top w:val="single" w:sz="4" w:space="0" w:color="8B73FF"/>
              <w:left w:val="single" w:sz="4" w:space="0" w:color="8B73FF"/>
              <w:bottom w:val="single" w:sz="4" w:space="0" w:color="8B73FF"/>
              <w:right w:val="single" w:sz="4" w:space="0" w:color="8B73FF"/>
            </w:tcBorders>
            <w:vAlign w:val="center"/>
          </w:tcPr>
          <w:p w14:paraId="5C6F6B9D" w14:textId="50565928" w:rsidR="00B752AF" w:rsidRPr="00602CDA" w:rsidRDefault="00B752AF" w:rsidP="00B752AF">
            <w:pPr>
              <w:jc w:val="center"/>
              <w:rPr>
                <w:noProof/>
              </w:rPr>
            </w:pPr>
            <w:r>
              <w:rPr>
                <w:rFonts w:ascii="Calibri" w:hAnsi="Calibri" w:cs="Calibri"/>
                <w:noProof/>
                <w:color w:val="000000"/>
                <w:sz w:val="16"/>
                <w:szCs w:val="16"/>
              </w:rPr>
              <w:t>4.3%</w:t>
            </w:r>
          </w:p>
        </w:tc>
        <w:tc>
          <w:tcPr>
            <w:tcW w:w="756" w:type="dxa"/>
            <w:tcBorders>
              <w:top w:val="single" w:sz="4" w:space="0" w:color="8B73FF"/>
              <w:left w:val="single" w:sz="4" w:space="0" w:color="8B73FF"/>
              <w:bottom w:val="single" w:sz="4" w:space="0" w:color="8B73FF"/>
              <w:right w:val="single" w:sz="4" w:space="0" w:color="8B73FF"/>
            </w:tcBorders>
            <w:vAlign w:val="center"/>
          </w:tcPr>
          <w:p w14:paraId="39805CF2" w14:textId="78CEF84F" w:rsidR="00B752AF" w:rsidRPr="00602CDA" w:rsidRDefault="00B752AF" w:rsidP="00B752AF">
            <w:pPr>
              <w:jc w:val="center"/>
              <w:rPr>
                <w:noProof/>
              </w:rPr>
            </w:pPr>
            <w:r>
              <w:rPr>
                <w:rFonts w:ascii="Calibri" w:hAnsi="Calibri" w:cs="Calibri"/>
                <w:noProof/>
                <w:color w:val="000000"/>
                <w:sz w:val="16"/>
                <w:szCs w:val="16"/>
              </w:rPr>
              <w:t>80.0%</w:t>
            </w:r>
          </w:p>
        </w:tc>
        <w:tc>
          <w:tcPr>
            <w:tcW w:w="711" w:type="dxa"/>
            <w:tcBorders>
              <w:top w:val="single" w:sz="4" w:space="0" w:color="8B73FF"/>
              <w:left w:val="single" w:sz="4" w:space="0" w:color="8B73FF"/>
              <w:bottom w:val="single" w:sz="4" w:space="0" w:color="8B73FF"/>
              <w:right w:val="single" w:sz="4" w:space="0" w:color="8B73FF"/>
            </w:tcBorders>
            <w:vAlign w:val="center"/>
          </w:tcPr>
          <w:p w14:paraId="0C7A93DF" w14:textId="50785DC6" w:rsidR="00B752AF" w:rsidRPr="00602CDA" w:rsidRDefault="00B752AF" w:rsidP="00B752AF">
            <w:pPr>
              <w:jc w:val="center"/>
              <w:rPr>
                <w:noProof/>
              </w:rPr>
            </w:pPr>
            <w:r>
              <w:rPr>
                <w:rFonts w:ascii="Calibri" w:hAnsi="Calibri" w:cs="Calibri"/>
                <w:noProof/>
                <w:color w:val="000000"/>
                <w:sz w:val="16"/>
                <w:szCs w:val="16"/>
              </w:rPr>
              <w:t>80%</w:t>
            </w:r>
          </w:p>
        </w:tc>
      </w:tr>
      <w:tr w:rsidR="00B752AF" w:rsidRPr="00602CDA" w14:paraId="3953EDD4"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CDF09A6" w14:textId="7932233D"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ICT specialists</w:t>
            </w:r>
          </w:p>
        </w:tc>
        <w:tc>
          <w:tcPr>
            <w:tcW w:w="995" w:type="dxa"/>
            <w:tcBorders>
              <w:top w:val="single" w:sz="4" w:space="0" w:color="8B73FF"/>
              <w:left w:val="single" w:sz="4" w:space="0" w:color="8B73FF"/>
              <w:bottom w:val="single" w:sz="4" w:space="0" w:color="8B73FF"/>
              <w:right w:val="single" w:sz="4" w:space="0" w:color="8B73FF"/>
            </w:tcBorders>
            <w:vAlign w:val="center"/>
          </w:tcPr>
          <w:p w14:paraId="2381FFBF" w14:textId="37F4C832"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4.5%</w:t>
            </w:r>
          </w:p>
        </w:tc>
        <w:tc>
          <w:tcPr>
            <w:tcW w:w="809" w:type="dxa"/>
            <w:tcBorders>
              <w:top w:val="single" w:sz="4" w:space="0" w:color="8B73FF"/>
              <w:left w:val="single" w:sz="4" w:space="0" w:color="8B73FF"/>
              <w:bottom w:val="single" w:sz="4" w:space="0" w:color="8B73FF"/>
              <w:right w:val="single" w:sz="4" w:space="0" w:color="8B73FF"/>
            </w:tcBorders>
            <w:vAlign w:val="center"/>
          </w:tcPr>
          <w:p w14:paraId="4D3CFF14" w14:textId="44B0F849"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4.7%</w:t>
            </w:r>
          </w:p>
        </w:tc>
        <w:tc>
          <w:tcPr>
            <w:tcW w:w="813" w:type="dxa"/>
            <w:tcBorders>
              <w:top w:val="single" w:sz="4" w:space="0" w:color="8B73FF"/>
              <w:left w:val="single" w:sz="4" w:space="0" w:color="8B73FF"/>
              <w:bottom w:val="single" w:sz="4" w:space="0" w:color="8B73FF"/>
              <w:right w:val="single" w:sz="4" w:space="0" w:color="8B73FF"/>
            </w:tcBorders>
            <w:vAlign w:val="center"/>
          </w:tcPr>
          <w:p w14:paraId="3812810D" w14:textId="5431E55B"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4.4%</w:t>
            </w:r>
          </w:p>
        </w:tc>
        <w:tc>
          <w:tcPr>
            <w:tcW w:w="1060" w:type="dxa"/>
            <w:tcBorders>
              <w:top w:val="single" w:sz="4" w:space="0" w:color="8B73FF"/>
              <w:left w:val="single" w:sz="4" w:space="0" w:color="8B73FF"/>
              <w:bottom w:val="single" w:sz="4" w:space="0" w:color="8B73FF"/>
              <w:right w:val="single" w:sz="4" w:space="0" w:color="8B73FF"/>
            </w:tcBorders>
            <w:vAlign w:val="center"/>
          </w:tcPr>
          <w:p w14:paraId="62062C2F" w14:textId="2EC1BEBC"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5.4% </w:t>
            </w:r>
          </w:p>
        </w:tc>
        <w:tc>
          <w:tcPr>
            <w:tcW w:w="664" w:type="dxa"/>
            <w:tcBorders>
              <w:top w:val="single" w:sz="4" w:space="0" w:color="8B73FF"/>
              <w:left w:val="single" w:sz="4" w:space="0" w:color="8B73FF"/>
              <w:bottom w:val="single" w:sz="4" w:space="0" w:color="8B73FF"/>
              <w:right w:val="single" w:sz="4" w:space="0" w:color="8B73FF"/>
            </w:tcBorders>
            <w:vAlign w:val="center"/>
          </w:tcPr>
          <w:p w14:paraId="38EDA0F2" w14:textId="59BF0F82" w:rsidR="00B752AF" w:rsidRPr="00602CDA" w:rsidRDefault="00B752AF" w:rsidP="00B752AF">
            <w:pPr>
              <w:jc w:val="center"/>
              <w:rPr>
                <w:noProof/>
              </w:rPr>
            </w:pPr>
            <w:r>
              <w:rPr>
                <w:rFonts w:ascii="Calibri" w:hAnsi="Calibri" w:cs="Calibri"/>
                <w:noProof/>
                <w:color w:val="000000"/>
                <w:sz w:val="16"/>
                <w:szCs w:val="16"/>
              </w:rPr>
              <w:t>5.0%</w:t>
            </w:r>
          </w:p>
        </w:tc>
        <w:tc>
          <w:tcPr>
            <w:tcW w:w="772" w:type="dxa"/>
            <w:tcBorders>
              <w:top w:val="single" w:sz="4" w:space="0" w:color="8B73FF"/>
              <w:left w:val="single" w:sz="4" w:space="0" w:color="8B73FF"/>
              <w:bottom w:val="single" w:sz="4" w:space="0" w:color="8B73FF"/>
              <w:right w:val="single" w:sz="4" w:space="0" w:color="8B73FF"/>
            </w:tcBorders>
            <w:vAlign w:val="center"/>
          </w:tcPr>
          <w:p w14:paraId="0F4439DC" w14:textId="11C2C692" w:rsidR="00B752AF" w:rsidRPr="00602CDA" w:rsidRDefault="00B752AF" w:rsidP="00B752AF">
            <w:pPr>
              <w:jc w:val="center"/>
              <w:rPr>
                <w:noProof/>
              </w:rPr>
            </w:pPr>
            <w:r>
              <w:rPr>
                <w:rFonts w:ascii="Calibri" w:hAnsi="Calibri" w:cs="Calibri"/>
                <w:noProof/>
                <w:color w:val="000000"/>
                <w:sz w:val="16"/>
                <w:szCs w:val="16"/>
              </w:rPr>
              <w:t>2.0%</w:t>
            </w:r>
          </w:p>
        </w:tc>
        <w:tc>
          <w:tcPr>
            <w:tcW w:w="756" w:type="dxa"/>
            <w:tcBorders>
              <w:top w:val="single" w:sz="4" w:space="0" w:color="8B73FF"/>
              <w:left w:val="single" w:sz="4" w:space="0" w:color="8B73FF"/>
              <w:bottom w:val="single" w:sz="4" w:space="0" w:color="8B73FF"/>
              <w:right w:val="single" w:sz="4" w:space="0" w:color="8B73FF"/>
            </w:tcBorders>
            <w:vAlign w:val="center"/>
          </w:tcPr>
          <w:p w14:paraId="476C6D83" w14:textId="11A6E969" w:rsidR="00B752AF" w:rsidRPr="00602CDA" w:rsidRDefault="00B752AF" w:rsidP="00B752AF">
            <w:pPr>
              <w:jc w:val="center"/>
              <w:rPr>
                <w:noProof/>
              </w:rPr>
            </w:pPr>
            <w:r>
              <w:rPr>
                <w:rFonts w:ascii="Calibri" w:hAnsi="Calibri" w:cs="Calibri"/>
                <w:noProof/>
                <w:color w:val="000000"/>
                <w:sz w:val="16"/>
                <w:szCs w:val="16"/>
              </w:rPr>
              <w:t>7.0%</w:t>
            </w:r>
          </w:p>
        </w:tc>
        <w:tc>
          <w:tcPr>
            <w:tcW w:w="711" w:type="dxa"/>
            <w:tcBorders>
              <w:top w:val="single" w:sz="4" w:space="0" w:color="8B73FF"/>
              <w:left w:val="single" w:sz="4" w:space="0" w:color="8B73FF"/>
              <w:bottom w:val="single" w:sz="4" w:space="0" w:color="8B73FF"/>
              <w:right w:val="single" w:sz="4" w:space="0" w:color="8B73FF"/>
            </w:tcBorders>
            <w:vAlign w:val="center"/>
          </w:tcPr>
          <w:p w14:paraId="25B20419" w14:textId="1CEA8812" w:rsidR="00B752AF" w:rsidRPr="00602CDA" w:rsidRDefault="00B752AF" w:rsidP="00B752AF">
            <w:pPr>
              <w:jc w:val="center"/>
              <w:rPr>
                <w:noProof/>
              </w:rPr>
            </w:pPr>
            <w:r>
              <w:rPr>
                <w:rFonts w:ascii="Calibri" w:hAnsi="Calibri" w:cs="Calibri"/>
                <w:noProof/>
                <w:color w:val="000000"/>
                <w:sz w:val="16"/>
                <w:szCs w:val="16"/>
              </w:rPr>
              <w:t>~10%</w:t>
            </w:r>
          </w:p>
        </w:tc>
      </w:tr>
      <w:tr w:rsidR="00B752AF" w:rsidRPr="00602CDA" w14:paraId="3FD031C9"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3D7A113" w14:textId="01D83163"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e-ID scheme notification</w:t>
            </w:r>
          </w:p>
        </w:tc>
        <w:tc>
          <w:tcPr>
            <w:tcW w:w="995" w:type="dxa"/>
            <w:tcBorders>
              <w:top w:val="single" w:sz="4" w:space="0" w:color="8B73FF"/>
              <w:left w:val="single" w:sz="4" w:space="0" w:color="8B73FF"/>
              <w:bottom w:val="single" w:sz="4" w:space="0" w:color="8B73FF"/>
              <w:right w:val="single" w:sz="4" w:space="0" w:color="8B73FF"/>
            </w:tcBorders>
            <w:vAlign w:val="center"/>
          </w:tcPr>
          <w:p w14:paraId="624B458B" w14:textId="77777777"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p>
        </w:tc>
        <w:tc>
          <w:tcPr>
            <w:tcW w:w="809" w:type="dxa"/>
            <w:tcBorders>
              <w:top w:val="single" w:sz="4" w:space="0" w:color="8B73FF"/>
              <w:left w:val="single" w:sz="4" w:space="0" w:color="8B73FF"/>
              <w:bottom w:val="single" w:sz="4" w:space="0" w:color="8B73FF"/>
              <w:right w:val="single" w:sz="4" w:space="0" w:color="8B73FF"/>
            </w:tcBorders>
            <w:vAlign w:val="center"/>
          </w:tcPr>
          <w:p w14:paraId="7CB7D80F" w14:textId="2B11D1E5"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Yes</w:t>
            </w:r>
          </w:p>
        </w:tc>
        <w:tc>
          <w:tcPr>
            <w:tcW w:w="813" w:type="dxa"/>
            <w:tcBorders>
              <w:top w:val="single" w:sz="4" w:space="0" w:color="8B73FF"/>
              <w:left w:val="single" w:sz="4" w:space="0" w:color="8B73FF"/>
              <w:bottom w:val="single" w:sz="4" w:space="0" w:color="8B73FF"/>
              <w:right w:val="single" w:sz="4" w:space="0" w:color="8B73FF"/>
            </w:tcBorders>
            <w:vAlign w:val="center"/>
          </w:tcPr>
          <w:p w14:paraId="33E8AD3D" w14:textId="77777777"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p>
        </w:tc>
        <w:tc>
          <w:tcPr>
            <w:tcW w:w="1060" w:type="dxa"/>
            <w:tcBorders>
              <w:top w:val="single" w:sz="4" w:space="0" w:color="8B73FF"/>
              <w:left w:val="single" w:sz="4" w:space="0" w:color="8B73FF"/>
              <w:bottom w:val="single" w:sz="4" w:space="0" w:color="8B73FF"/>
              <w:right w:val="single" w:sz="4" w:space="0" w:color="8B73FF"/>
            </w:tcBorders>
            <w:vAlign w:val="center"/>
          </w:tcPr>
          <w:p w14:paraId="05F346E7" w14:textId="77777777" w:rsidR="00B752AF" w:rsidRPr="00602CDA" w:rsidRDefault="00B752AF" w:rsidP="00B752AF">
            <w:pPr>
              <w:jc w:val="center"/>
              <w:rPr>
                <w:noProof/>
              </w:rPr>
            </w:pPr>
          </w:p>
        </w:tc>
        <w:tc>
          <w:tcPr>
            <w:tcW w:w="664" w:type="dxa"/>
            <w:tcBorders>
              <w:top w:val="single" w:sz="4" w:space="0" w:color="8B73FF"/>
              <w:left w:val="single" w:sz="4" w:space="0" w:color="8B73FF"/>
              <w:bottom w:val="single" w:sz="4" w:space="0" w:color="8B73FF"/>
              <w:right w:val="single" w:sz="4" w:space="0" w:color="8B73FF"/>
            </w:tcBorders>
            <w:vAlign w:val="center"/>
          </w:tcPr>
          <w:p w14:paraId="004AC552" w14:textId="6C11E7B7" w:rsidR="00B752AF" w:rsidRPr="00602CDA" w:rsidRDefault="00B752AF" w:rsidP="00B752AF">
            <w:pPr>
              <w:jc w:val="center"/>
              <w:rPr>
                <w:noProof/>
              </w:rPr>
            </w:pPr>
          </w:p>
        </w:tc>
        <w:tc>
          <w:tcPr>
            <w:tcW w:w="772" w:type="dxa"/>
            <w:tcBorders>
              <w:top w:val="single" w:sz="4" w:space="0" w:color="8B73FF"/>
              <w:left w:val="single" w:sz="4" w:space="0" w:color="8B73FF"/>
              <w:bottom w:val="single" w:sz="4" w:space="0" w:color="8B73FF"/>
              <w:right w:val="single" w:sz="4" w:space="0" w:color="8B73FF"/>
            </w:tcBorders>
            <w:vAlign w:val="center"/>
          </w:tcPr>
          <w:p w14:paraId="4F808B31" w14:textId="77777777" w:rsidR="00B752AF" w:rsidRPr="00602CDA" w:rsidRDefault="00B752AF" w:rsidP="00B752AF">
            <w:pPr>
              <w:jc w:val="center"/>
              <w:rPr>
                <w:noProof/>
              </w:rPr>
            </w:pPr>
          </w:p>
        </w:tc>
        <w:tc>
          <w:tcPr>
            <w:tcW w:w="756" w:type="dxa"/>
            <w:tcBorders>
              <w:top w:val="single" w:sz="4" w:space="0" w:color="8B73FF"/>
              <w:left w:val="single" w:sz="4" w:space="0" w:color="8B73FF"/>
              <w:bottom w:val="single" w:sz="4" w:space="0" w:color="8B73FF"/>
              <w:right w:val="single" w:sz="4" w:space="0" w:color="8B73FF"/>
            </w:tcBorders>
            <w:vAlign w:val="center"/>
          </w:tcPr>
          <w:p w14:paraId="1168BDAF" w14:textId="77777777" w:rsidR="00B752AF" w:rsidRPr="00602CDA" w:rsidRDefault="00B752AF" w:rsidP="00B752AF">
            <w:pPr>
              <w:jc w:val="center"/>
              <w:rPr>
                <w:noProof/>
              </w:rPr>
            </w:pPr>
          </w:p>
        </w:tc>
        <w:tc>
          <w:tcPr>
            <w:tcW w:w="711" w:type="dxa"/>
            <w:tcBorders>
              <w:top w:val="single" w:sz="4" w:space="0" w:color="8B73FF"/>
              <w:left w:val="single" w:sz="4" w:space="0" w:color="8B73FF"/>
              <w:bottom w:val="single" w:sz="4" w:space="0" w:color="8B73FF"/>
              <w:right w:val="single" w:sz="4" w:space="0" w:color="8B73FF"/>
            </w:tcBorders>
            <w:vAlign w:val="center"/>
          </w:tcPr>
          <w:p w14:paraId="7A418D21" w14:textId="77777777" w:rsidR="00B752AF" w:rsidRPr="00602CDA" w:rsidRDefault="00B752AF" w:rsidP="00B752AF">
            <w:pPr>
              <w:jc w:val="center"/>
              <w:rPr>
                <w:noProof/>
              </w:rPr>
            </w:pPr>
          </w:p>
        </w:tc>
      </w:tr>
      <w:tr w:rsidR="00B752AF" w:rsidRPr="00602CDA" w14:paraId="052EB33D"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112BD2B" w14:textId="253E02CF"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Digital public services for citizens</w:t>
            </w:r>
          </w:p>
        </w:tc>
        <w:tc>
          <w:tcPr>
            <w:tcW w:w="995" w:type="dxa"/>
            <w:tcBorders>
              <w:top w:val="single" w:sz="4" w:space="0" w:color="8B73FF"/>
              <w:left w:val="single" w:sz="4" w:space="0" w:color="8B73FF"/>
              <w:bottom w:val="single" w:sz="4" w:space="0" w:color="8B73FF"/>
              <w:right w:val="single" w:sz="4" w:space="0" w:color="8B73FF"/>
            </w:tcBorders>
            <w:vAlign w:val="center"/>
          </w:tcPr>
          <w:p w14:paraId="36EFE999" w14:textId="706BFDCE"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81.5</w:t>
            </w:r>
          </w:p>
        </w:tc>
        <w:tc>
          <w:tcPr>
            <w:tcW w:w="809" w:type="dxa"/>
            <w:tcBorders>
              <w:top w:val="single" w:sz="4" w:space="0" w:color="8B73FF"/>
              <w:left w:val="single" w:sz="4" w:space="0" w:color="8B73FF"/>
              <w:bottom w:val="single" w:sz="4" w:space="0" w:color="8B73FF"/>
              <w:right w:val="single" w:sz="4" w:space="0" w:color="8B73FF"/>
            </w:tcBorders>
            <w:vAlign w:val="center"/>
          </w:tcPr>
          <w:p w14:paraId="2CE1574B" w14:textId="79F4B767"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87.2</w:t>
            </w:r>
          </w:p>
        </w:tc>
        <w:tc>
          <w:tcPr>
            <w:tcW w:w="813" w:type="dxa"/>
            <w:tcBorders>
              <w:top w:val="single" w:sz="4" w:space="0" w:color="8B73FF"/>
              <w:left w:val="single" w:sz="4" w:space="0" w:color="8B73FF"/>
              <w:bottom w:val="single" w:sz="4" w:space="0" w:color="8B73FF"/>
              <w:right w:val="single" w:sz="4" w:space="0" w:color="8B73FF"/>
            </w:tcBorders>
            <w:vAlign w:val="center"/>
          </w:tcPr>
          <w:p w14:paraId="5BDEA160" w14:textId="3C2CD617"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7.0%</w:t>
            </w:r>
          </w:p>
        </w:tc>
        <w:tc>
          <w:tcPr>
            <w:tcW w:w="1060" w:type="dxa"/>
            <w:tcBorders>
              <w:top w:val="single" w:sz="4" w:space="0" w:color="8B73FF"/>
              <w:left w:val="single" w:sz="4" w:space="0" w:color="8B73FF"/>
              <w:bottom w:val="single" w:sz="4" w:space="0" w:color="8B73FF"/>
              <w:right w:val="single" w:sz="4" w:space="0" w:color="8B73FF"/>
            </w:tcBorders>
            <w:vAlign w:val="center"/>
          </w:tcPr>
          <w:p w14:paraId="50362B1E" w14:textId="5E96B08B"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100.0 </w:t>
            </w:r>
          </w:p>
        </w:tc>
        <w:tc>
          <w:tcPr>
            <w:tcW w:w="664" w:type="dxa"/>
            <w:tcBorders>
              <w:top w:val="single" w:sz="4" w:space="0" w:color="8B73FF"/>
              <w:left w:val="single" w:sz="4" w:space="0" w:color="8B73FF"/>
              <w:bottom w:val="single" w:sz="4" w:space="0" w:color="8B73FF"/>
              <w:right w:val="single" w:sz="4" w:space="0" w:color="8B73FF"/>
            </w:tcBorders>
            <w:vAlign w:val="center"/>
          </w:tcPr>
          <w:p w14:paraId="06E1C482" w14:textId="55FF9B0A" w:rsidR="00B752AF" w:rsidRPr="00602CDA" w:rsidRDefault="00B752AF" w:rsidP="00B752AF">
            <w:pPr>
              <w:jc w:val="center"/>
              <w:rPr>
                <w:noProof/>
              </w:rPr>
            </w:pPr>
            <w:r>
              <w:rPr>
                <w:rFonts w:ascii="Calibri" w:hAnsi="Calibri" w:cs="Calibri"/>
                <w:noProof/>
                <w:color w:val="000000"/>
                <w:sz w:val="16"/>
                <w:szCs w:val="16"/>
              </w:rPr>
              <w:t>84.6</w:t>
            </w:r>
          </w:p>
        </w:tc>
        <w:tc>
          <w:tcPr>
            <w:tcW w:w="772" w:type="dxa"/>
            <w:tcBorders>
              <w:top w:val="single" w:sz="4" w:space="0" w:color="8B73FF"/>
              <w:left w:val="single" w:sz="4" w:space="0" w:color="8B73FF"/>
              <w:bottom w:val="single" w:sz="4" w:space="0" w:color="8B73FF"/>
              <w:right w:val="single" w:sz="4" w:space="0" w:color="8B73FF"/>
            </w:tcBorders>
            <w:vAlign w:val="center"/>
          </w:tcPr>
          <w:p w14:paraId="1E3C6088" w14:textId="49EBA09B" w:rsidR="00B752AF" w:rsidRPr="00602CDA" w:rsidRDefault="00B752AF" w:rsidP="00B752AF">
            <w:pPr>
              <w:jc w:val="center"/>
              <w:rPr>
                <w:noProof/>
              </w:rPr>
            </w:pPr>
            <w:r>
              <w:rPr>
                <w:rFonts w:ascii="Calibri" w:hAnsi="Calibri" w:cs="Calibri"/>
                <w:noProof/>
                <w:color w:val="000000"/>
                <w:sz w:val="16"/>
                <w:szCs w:val="16"/>
              </w:rPr>
              <w:t>2.8%</w:t>
            </w:r>
          </w:p>
        </w:tc>
        <w:tc>
          <w:tcPr>
            <w:tcW w:w="756" w:type="dxa"/>
            <w:tcBorders>
              <w:top w:val="single" w:sz="4" w:space="0" w:color="8B73FF"/>
              <w:left w:val="single" w:sz="4" w:space="0" w:color="8B73FF"/>
              <w:bottom w:val="single" w:sz="4" w:space="0" w:color="8B73FF"/>
              <w:right w:val="single" w:sz="4" w:space="0" w:color="8B73FF"/>
            </w:tcBorders>
            <w:vAlign w:val="center"/>
          </w:tcPr>
          <w:p w14:paraId="0D5008D1" w14:textId="2FA2BA5C" w:rsidR="00B752AF" w:rsidRPr="00602CDA" w:rsidRDefault="00B752AF" w:rsidP="00B752AF">
            <w:pPr>
              <w:jc w:val="center"/>
              <w:rPr>
                <w:noProof/>
              </w:rPr>
            </w:pPr>
            <w:r>
              <w:rPr>
                <w:rFonts w:ascii="Calibri" w:hAnsi="Calibri" w:cs="Calibri"/>
                <w:noProof/>
                <w:color w:val="000000"/>
                <w:sz w:val="16"/>
                <w:szCs w:val="16"/>
              </w:rPr>
              <w:t>100.0</w:t>
            </w:r>
          </w:p>
        </w:tc>
        <w:tc>
          <w:tcPr>
            <w:tcW w:w="711" w:type="dxa"/>
            <w:tcBorders>
              <w:top w:val="single" w:sz="4" w:space="0" w:color="8B73FF"/>
              <w:left w:val="single" w:sz="4" w:space="0" w:color="8B73FF"/>
              <w:bottom w:val="single" w:sz="4" w:space="0" w:color="8B73FF"/>
              <w:right w:val="single" w:sz="4" w:space="0" w:color="8B73FF"/>
            </w:tcBorders>
            <w:vAlign w:val="center"/>
          </w:tcPr>
          <w:p w14:paraId="526EF15F" w14:textId="362932BD" w:rsidR="00B752AF" w:rsidRPr="00602CDA" w:rsidRDefault="00B752AF" w:rsidP="00B752AF">
            <w:pPr>
              <w:jc w:val="center"/>
              <w:rPr>
                <w:noProof/>
              </w:rPr>
            </w:pPr>
            <w:r>
              <w:rPr>
                <w:rFonts w:ascii="Calibri" w:hAnsi="Calibri" w:cs="Calibri"/>
                <w:noProof/>
                <w:color w:val="000000"/>
                <w:sz w:val="16"/>
                <w:szCs w:val="16"/>
              </w:rPr>
              <w:t>100</w:t>
            </w:r>
          </w:p>
        </w:tc>
      </w:tr>
      <w:tr w:rsidR="00B752AF" w:rsidRPr="00602CDA" w14:paraId="26599C91" w14:textId="77777777" w:rsidTr="00592CFB">
        <w:trPr>
          <w:cantSplit/>
          <w:trHeight w:hRule="exact" w:val="422"/>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B9EE9F3" w14:textId="7DB84387"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Digital public services for businesses</w:t>
            </w:r>
          </w:p>
        </w:tc>
        <w:tc>
          <w:tcPr>
            <w:tcW w:w="995" w:type="dxa"/>
            <w:tcBorders>
              <w:top w:val="single" w:sz="4" w:space="0" w:color="8B73FF"/>
              <w:left w:val="single" w:sz="4" w:space="0" w:color="8B73FF"/>
              <w:bottom w:val="single" w:sz="4" w:space="0" w:color="8B73FF"/>
              <w:right w:val="single" w:sz="4" w:space="0" w:color="8B73FF"/>
            </w:tcBorders>
            <w:vAlign w:val="center"/>
          </w:tcPr>
          <w:p w14:paraId="4A81F15C" w14:textId="5412FBD8"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86.3</w:t>
            </w:r>
          </w:p>
        </w:tc>
        <w:tc>
          <w:tcPr>
            <w:tcW w:w="809" w:type="dxa"/>
            <w:tcBorders>
              <w:top w:val="single" w:sz="4" w:space="0" w:color="8B73FF"/>
              <w:left w:val="single" w:sz="4" w:space="0" w:color="8B73FF"/>
              <w:bottom w:val="single" w:sz="4" w:space="0" w:color="8B73FF"/>
              <w:right w:val="single" w:sz="4" w:space="0" w:color="8B73FF"/>
            </w:tcBorders>
            <w:vAlign w:val="center"/>
          </w:tcPr>
          <w:p w14:paraId="7615276B" w14:textId="77546967"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100.0</w:t>
            </w:r>
          </w:p>
        </w:tc>
        <w:tc>
          <w:tcPr>
            <w:tcW w:w="813" w:type="dxa"/>
            <w:tcBorders>
              <w:top w:val="single" w:sz="4" w:space="0" w:color="8B73FF"/>
              <w:left w:val="single" w:sz="4" w:space="0" w:color="8B73FF"/>
              <w:bottom w:val="single" w:sz="4" w:space="0" w:color="8B73FF"/>
              <w:right w:val="single" w:sz="4" w:space="0" w:color="8B73FF"/>
            </w:tcBorders>
            <w:vAlign w:val="center"/>
          </w:tcPr>
          <w:p w14:paraId="24961B46" w14:textId="7C5C8FBF"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15.9%</w:t>
            </w:r>
          </w:p>
        </w:tc>
        <w:tc>
          <w:tcPr>
            <w:tcW w:w="1060" w:type="dxa"/>
            <w:tcBorders>
              <w:top w:val="single" w:sz="4" w:space="0" w:color="8B73FF"/>
              <w:left w:val="single" w:sz="4" w:space="0" w:color="8B73FF"/>
              <w:bottom w:val="single" w:sz="4" w:space="0" w:color="8B73FF"/>
              <w:right w:val="single" w:sz="4" w:space="0" w:color="8B73FF"/>
            </w:tcBorders>
            <w:vAlign w:val="center"/>
          </w:tcPr>
          <w:p w14:paraId="193259F2" w14:textId="52047DA3"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100.0 </w:t>
            </w:r>
          </w:p>
        </w:tc>
        <w:tc>
          <w:tcPr>
            <w:tcW w:w="664" w:type="dxa"/>
            <w:tcBorders>
              <w:top w:val="single" w:sz="4" w:space="0" w:color="8B73FF"/>
              <w:left w:val="single" w:sz="4" w:space="0" w:color="8B73FF"/>
              <w:bottom w:val="single" w:sz="4" w:space="0" w:color="8B73FF"/>
              <w:right w:val="single" w:sz="4" w:space="0" w:color="8B73FF"/>
            </w:tcBorders>
            <w:vAlign w:val="center"/>
          </w:tcPr>
          <w:p w14:paraId="2DA11962" w14:textId="1154B12E" w:rsidR="00B752AF" w:rsidRPr="00602CDA" w:rsidRDefault="00B752AF" w:rsidP="00B752AF">
            <w:pPr>
              <w:jc w:val="center"/>
              <w:rPr>
                <w:noProof/>
              </w:rPr>
            </w:pPr>
            <w:r>
              <w:rPr>
                <w:rFonts w:ascii="Calibri" w:hAnsi="Calibri" w:cs="Calibri"/>
                <w:noProof/>
                <w:color w:val="000000"/>
                <w:sz w:val="16"/>
                <w:szCs w:val="16"/>
              </w:rPr>
              <w:t>88.6</w:t>
            </w:r>
          </w:p>
        </w:tc>
        <w:tc>
          <w:tcPr>
            <w:tcW w:w="772" w:type="dxa"/>
            <w:tcBorders>
              <w:top w:val="single" w:sz="4" w:space="0" w:color="8B73FF"/>
              <w:left w:val="single" w:sz="4" w:space="0" w:color="8B73FF"/>
              <w:bottom w:val="single" w:sz="4" w:space="0" w:color="8B73FF"/>
              <w:right w:val="single" w:sz="4" w:space="0" w:color="8B73FF"/>
            </w:tcBorders>
            <w:vAlign w:val="center"/>
          </w:tcPr>
          <w:p w14:paraId="18578CFC" w14:textId="791DF8D1" w:rsidR="00B752AF" w:rsidRPr="00602CDA" w:rsidRDefault="00B752AF" w:rsidP="00B752AF">
            <w:pPr>
              <w:jc w:val="center"/>
              <w:rPr>
                <w:noProof/>
              </w:rPr>
            </w:pPr>
            <w:r>
              <w:rPr>
                <w:rFonts w:ascii="Calibri" w:hAnsi="Calibri" w:cs="Calibri"/>
                <w:noProof/>
                <w:color w:val="000000"/>
                <w:sz w:val="16"/>
                <w:szCs w:val="16"/>
              </w:rPr>
              <w:t>2.7%</w:t>
            </w:r>
          </w:p>
        </w:tc>
        <w:tc>
          <w:tcPr>
            <w:tcW w:w="756" w:type="dxa"/>
            <w:tcBorders>
              <w:top w:val="single" w:sz="4" w:space="0" w:color="8B73FF"/>
              <w:left w:val="single" w:sz="4" w:space="0" w:color="8B73FF"/>
              <w:bottom w:val="single" w:sz="4" w:space="0" w:color="8B73FF"/>
              <w:right w:val="single" w:sz="4" w:space="0" w:color="8B73FF"/>
            </w:tcBorders>
            <w:vAlign w:val="center"/>
          </w:tcPr>
          <w:p w14:paraId="71C864DA" w14:textId="4B624EEA" w:rsidR="00B752AF" w:rsidRPr="00602CDA" w:rsidRDefault="00B752AF" w:rsidP="00B752AF">
            <w:pPr>
              <w:jc w:val="center"/>
              <w:rPr>
                <w:noProof/>
              </w:rPr>
            </w:pPr>
            <w:r>
              <w:rPr>
                <w:rFonts w:ascii="Calibri" w:hAnsi="Calibri" w:cs="Calibri"/>
                <w:noProof/>
                <w:color w:val="000000"/>
                <w:sz w:val="16"/>
                <w:szCs w:val="16"/>
              </w:rPr>
              <w:t>100.0</w:t>
            </w:r>
          </w:p>
        </w:tc>
        <w:tc>
          <w:tcPr>
            <w:tcW w:w="711" w:type="dxa"/>
            <w:tcBorders>
              <w:top w:val="single" w:sz="4" w:space="0" w:color="8B73FF"/>
              <w:left w:val="single" w:sz="4" w:space="0" w:color="8B73FF"/>
              <w:bottom w:val="single" w:sz="4" w:space="0" w:color="8B73FF"/>
              <w:right w:val="single" w:sz="4" w:space="0" w:color="8B73FF"/>
            </w:tcBorders>
            <w:vAlign w:val="center"/>
          </w:tcPr>
          <w:p w14:paraId="2FD20013" w14:textId="0F8F2591" w:rsidR="00B752AF" w:rsidRPr="00602CDA" w:rsidRDefault="00B752AF" w:rsidP="00B752AF">
            <w:pPr>
              <w:jc w:val="center"/>
              <w:rPr>
                <w:noProof/>
              </w:rPr>
            </w:pPr>
            <w:r>
              <w:rPr>
                <w:rFonts w:ascii="Calibri" w:hAnsi="Calibri" w:cs="Calibri"/>
                <w:noProof/>
                <w:color w:val="000000"/>
                <w:sz w:val="16"/>
                <w:szCs w:val="16"/>
              </w:rPr>
              <w:t>100</w:t>
            </w:r>
          </w:p>
        </w:tc>
      </w:tr>
      <w:tr w:rsidR="00B752AF" w:rsidRPr="00602CDA" w14:paraId="3E90FEBA" w14:textId="77777777">
        <w:trPr>
          <w:cantSplit/>
          <w:trHeight w:hRule="exact" w:val="284"/>
        </w:trPr>
        <w:tc>
          <w:tcPr>
            <w:tcW w:w="243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6D81AFA" w14:textId="22953B0C" w:rsidR="00B752AF" w:rsidRPr="00214005" w:rsidRDefault="00B752AF" w:rsidP="00B752AF">
            <w:pPr>
              <w:rPr>
                <w:noProof/>
                <w:color w:val="000000" w:themeColor="text1"/>
                <w:sz w:val="16"/>
                <w:szCs w:val="16"/>
              </w:rPr>
            </w:pPr>
            <w:r w:rsidRPr="00FB508D">
              <w:rPr>
                <w:rFonts w:ascii="Calibri" w:eastAsia="Times New Roman" w:hAnsi="Calibri" w:cs="Calibri"/>
                <w:noProof/>
                <w:color w:val="000000"/>
                <w:kern w:val="0"/>
                <w:sz w:val="16"/>
                <w:szCs w:val="16"/>
                <w:lang w:eastAsia="en-IE"/>
                <w14:ligatures w14:val="none"/>
              </w:rPr>
              <w:t>Access to e-health records</w:t>
            </w:r>
          </w:p>
        </w:tc>
        <w:tc>
          <w:tcPr>
            <w:tcW w:w="995" w:type="dxa"/>
            <w:tcBorders>
              <w:top w:val="single" w:sz="4" w:space="0" w:color="8B73FF"/>
              <w:left w:val="single" w:sz="4" w:space="0" w:color="8B73FF"/>
              <w:bottom w:val="single" w:sz="4" w:space="0" w:color="8B73FF"/>
              <w:right w:val="single" w:sz="4" w:space="0" w:color="8B73FF"/>
            </w:tcBorders>
            <w:vAlign w:val="center"/>
          </w:tcPr>
          <w:p w14:paraId="3B8FBA6B" w14:textId="13221267"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77.4</w:t>
            </w:r>
          </w:p>
        </w:tc>
        <w:tc>
          <w:tcPr>
            <w:tcW w:w="809" w:type="dxa"/>
            <w:tcBorders>
              <w:top w:val="single" w:sz="4" w:space="0" w:color="8B73FF"/>
              <w:left w:val="single" w:sz="4" w:space="0" w:color="8B73FF"/>
              <w:bottom w:val="single" w:sz="4" w:space="0" w:color="8B73FF"/>
              <w:right w:val="single" w:sz="4" w:space="0" w:color="8B73FF"/>
            </w:tcBorders>
            <w:vAlign w:val="center"/>
          </w:tcPr>
          <w:p w14:paraId="13EF6D4C" w14:textId="1D28C433" w:rsidR="00B752AF" w:rsidRPr="00DC3920"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77.4</w:t>
            </w:r>
          </w:p>
        </w:tc>
        <w:tc>
          <w:tcPr>
            <w:tcW w:w="813" w:type="dxa"/>
            <w:tcBorders>
              <w:top w:val="single" w:sz="4" w:space="0" w:color="8B73FF"/>
              <w:left w:val="single" w:sz="4" w:space="0" w:color="8B73FF"/>
              <w:bottom w:val="single" w:sz="4" w:space="0" w:color="8B73FF"/>
              <w:right w:val="single" w:sz="4" w:space="0" w:color="8B73FF"/>
            </w:tcBorders>
            <w:vAlign w:val="center"/>
          </w:tcPr>
          <w:p w14:paraId="6340A897" w14:textId="3FFBA225" w:rsidR="00B752AF" w:rsidRPr="00B02EF9"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0.0%</w:t>
            </w:r>
          </w:p>
        </w:tc>
        <w:tc>
          <w:tcPr>
            <w:tcW w:w="1060" w:type="dxa"/>
            <w:tcBorders>
              <w:top w:val="single" w:sz="4" w:space="0" w:color="8B73FF"/>
              <w:left w:val="single" w:sz="4" w:space="0" w:color="8B73FF"/>
              <w:bottom w:val="single" w:sz="4" w:space="0" w:color="8B73FF"/>
              <w:right w:val="single" w:sz="4" w:space="0" w:color="8B73FF"/>
            </w:tcBorders>
            <w:vAlign w:val="center"/>
          </w:tcPr>
          <w:p w14:paraId="10FB8FD8" w14:textId="0CB87151" w:rsidR="00B752AF" w:rsidRPr="00602CDA" w:rsidRDefault="00B752AF" w:rsidP="00B752A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62.1 </w:t>
            </w:r>
          </w:p>
        </w:tc>
        <w:tc>
          <w:tcPr>
            <w:tcW w:w="664" w:type="dxa"/>
            <w:tcBorders>
              <w:top w:val="single" w:sz="4" w:space="0" w:color="8B73FF"/>
              <w:left w:val="single" w:sz="4" w:space="0" w:color="8B73FF"/>
              <w:bottom w:val="single" w:sz="4" w:space="0" w:color="8B73FF"/>
              <w:right w:val="single" w:sz="4" w:space="0" w:color="8B73FF"/>
            </w:tcBorders>
            <w:vAlign w:val="center"/>
          </w:tcPr>
          <w:p w14:paraId="42909A99" w14:textId="1ADFE39B" w:rsidR="00B752AF" w:rsidRPr="00602CDA" w:rsidRDefault="00B752AF" w:rsidP="00B752A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86.5</w:t>
            </w:r>
          </w:p>
        </w:tc>
        <w:tc>
          <w:tcPr>
            <w:tcW w:w="772" w:type="dxa"/>
            <w:tcBorders>
              <w:top w:val="single" w:sz="4" w:space="0" w:color="8B73FF"/>
              <w:left w:val="single" w:sz="4" w:space="0" w:color="8B73FF"/>
              <w:bottom w:val="single" w:sz="4" w:space="0" w:color="8B73FF"/>
              <w:right w:val="single" w:sz="4" w:space="0" w:color="8B73FF"/>
            </w:tcBorders>
            <w:vAlign w:val="center"/>
          </w:tcPr>
          <w:p w14:paraId="4087AF15" w14:textId="1A2B671C" w:rsidR="00B752AF" w:rsidRPr="00602CDA" w:rsidRDefault="00B752AF" w:rsidP="00B752A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4.6%</w:t>
            </w:r>
          </w:p>
        </w:tc>
        <w:tc>
          <w:tcPr>
            <w:tcW w:w="756" w:type="dxa"/>
            <w:tcBorders>
              <w:top w:val="single" w:sz="4" w:space="0" w:color="8B73FF"/>
              <w:left w:val="single" w:sz="4" w:space="0" w:color="8B73FF"/>
              <w:bottom w:val="single" w:sz="4" w:space="0" w:color="8B73FF"/>
              <w:right w:val="single" w:sz="4" w:space="0" w:color="8B73FF"/>
            </w:tcBorders>
            <w:vAlign w:val="center"/>
          </w:tcPr>
          <w:p w14:paraId="305487C1" w14:textId="64CCE64D" w:rsidR="00B752AF" w:rsidRPr="00602CDA" w:rsidRDefault="00B752AF" w:rsidP="00B752AF">
            <w:pPr>
              <w:jc w:val="center"/>
              <w:rPr>
                <w:rFonts w:ascii="Calibri" w:eastAsia="Times New Roman" w:hAnsi="Calibri" w:cs="Calibri"/>
                <w:bCs/>
                <w:noProof/>
                <w:color w:val="00B050"/>
                <w:sz w:val="16"/>
                <w:szCs w:val="16"/>
                <w:lang w:eastAsia="en-IE"/>
              </w:rPr>
            </w:pPr>
            <w:r>
              <w:rPr>
                <w:rFonts w:ascii="Calibri" w:hAnsi="Calibri" w:cs="Calibri"/>
                <w:noProof/>
                <w:color w:val="000000"/>
                <w:sz w:val="16"/>
                <w:szCs w:val="16"/>
              </w:rPr>
              <w:t>100.0</w:t>
            </w:r>
          </w:p>
        </w:tc>
        <w:tc>
          <w:tcPr>
            <w:tcW w:w="711" w:type="dxa"/>
            <w:tcBorders>
              <w:top w:val="single" w:sz="4" w:space="0" w:color="8B73FF"/>
              <w:left w:val="single" w:sz="4" w:space="0" w:color="8B73FF"/>
              <w:bottom w:val="single" w:sz="4" w:space="0" w:color="8B73FF"/>
              <w:right w:val="single" w:sz="4" w:space="0" w:color="8B73FF"/>
            </w:tcBorders>
            <w:vAlign w:val="center"/>
          </w:tcPr>
          <w:p w14:paraId="35E8C9C3" w14:textId="16688A3D" w:rsidR="00B752AF" w:rsidRPr="00602CDA" w:rsidRDefault="00B752AF" w:rsidP="00B752A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AA26A4" w:rsidRPr="007C0C4B" w14:paraId="4BA84E7A" w14:textId="77777777" w:rsidTr="00D37202">
        <w:trPr>
          <w:trHeight w:val="300"/>
        </w:trPr>
        <w:tc>
          <w:tcPr>
            <w:tcW w:w="5000" w:type="pct"/>
            <w:vAlign w:val="center"/>
            <w:hideMark/>
          </w:tcPr>
          <w:p w14:paraId="673650D6" w14:textId="0A6BC219" w:rsidR="00CB2E48" w:rsidRDefault="00CB2E48" w:rsidP="00CB2E48">
            <w:pPr>
              <w:spacing w:after="0" w:line="240" w:lineRule="auto"/>
              <w:rPr>
                <w:rFonts w:ascii="Calibri" w:hAnsi="Calibri" w:cs="Calibri"/>
                <w:noProof/>
                <w:color w:val="000000"/>
                <w:kern w:val="0"/>
                <w:sz w:val="16"/>
                <w:szCs w:val="16"/>
                <w14:ligatures w14:val="none"/>
              </w:rPr>
            </w:pPr>
            <w:r>
              <w:rPr>
                <w:rFonts w:ascii="Calibri" w:hAnsi="Calibri" w:cs="Calibri"/>
                <w:noProof/>
                <w:color w:val="000000"/>
                <w:sz w:val="16"/>
                <w:szCs w:val="16"/>
              </w:rPr>
              <w:t xml:space="preserve">(1) </w:t>
            </w:r>
            <w:r w:rsidR="00DD1BE0" w:rsidRPr="00A50CF3">
              <w:rPr>
                <w:rFonts w:ascii="Calibri" w:hAnsi="Calibri" w:cs="Calibri"/>
                <w:noProof/>
                <w:sz w:val="16"/>
                <w:szCs w:val="16"/>
              </w:rPr>
              <w:t xml:space="preserve">Indicators full description, metadata and sources in the </w:t>
            </w:r>
            <w:hyperlink r:id="rId24" w:history="1">
              <w:r w:rsidR="00DD1BE0" w:rsidRPr="00A50CF3">
                <w:rPr>
                  <w:rStyle w:val="Hyperlink"/>
                  <w:rFonts w:ascii="Calibri" w:hAnsi="Calibri" w:cs="Calibri"/>
                  <w:noProof/>
                  <w:sz w:val="16"/>
                  <w:szCs w:val="16"/>
                </w:rPr>
                <w:t>DESI 2026 methodological note</w:t>
              </w:r>
            </w:hyperlink>
            <w:r>
              <w:rPr>
                <w:rFonts w:ascii="Calibri" w:hAnsi="Calibri" w:cs="Calibri"/>
                <w:noProof/>
                <w:color w:val="000000"/>
                <w:sz w:val="16"/>
                <w:szCs w:val="16"/>
              </w:rPr>
              <w:br/>
              <w:t>(2) Last available data is DESI2025 (reference year 2024) expect for indicators marked with a star * for which it is DESI2024 (reference year 2023)</w:t>
            </w:r>
            <w:r>
              <w:rPr>
                <w:rFonts w:ascii="Calibri" w:hAnsi="Calibri" w:cs="Calibri"/>
                <w:noProof/>
                <w:color w:val="000000"/>
                <w:sz w:val="16"/>
                <w:szCs w:val="16"/>
              </w:rPr>
              <w:br/>
              <w:t>(3) National trajectory value for 2025, if set by the country in its Digital Decade national roadmap</w:t>
            </w:r>
          </w:p>
          <w:p w14:paraId="3375DCE7" w14:textId="6EBDA690" w:rsidR="00AA26A4" w:rsidRPr="007C0C4B" w:rsidRDefault="00AA26A4" w:rsidP="00D37202">
            <w:pPr>
              <w:spacing w:after="0" w:line="240" w:lineRule="auto"/>
              <w:rPr>
                <w:rFonts w:eastAsia="Times New Roman" w:cstheme="minorHAnsi"/>
                <w:noProof/>
                <w:color w:val="000000"/>
                <w:kern w:val="0"/>
                <w:sz w:val="18"/>
                <w:szCs w:val="18"/>
                <w:lang w:eastAsia="en-IE"/>
                <w14:ligatures w14:val="none"/>
              </w:rPr>
            </w:pPr>
          </w:p>
        </w:tc>
      </w:tr>
    </w:tbl>
    <w:p w14:paraId="25252D88" w14:textId="77777777" w:rsidR="00C82F82" w:rsidRDefault="00C82F82" w:rsidP="00C82F82">
      <w:pPr>
        <w:spacing w:after="0" w:line="240" w:lineRule="auto"/>
        <w:rPr>
          <w:b/>
          <w:bCs/>
          <w:noProof/>
        </w:rPr>
      </w:pPr>
    </w:p>
    <w:p w14:paraId="17607920" w14:textId="77777777" w:rsidR="008D244E" w:rsidRPr="00B23024" w:rsidRDefault="008D244E" w:rsidP="008D244E">
      <w:pPr>
        <w:rPr>
          <w:rFonts w:asciiTheme="majorHAnsi" w:hAnsiTheme="majorHAnsi" w:cstheme="majorHAnsi"/>
          <w:b/>
          <w:iCs/>
          <w:noProof/>
          <w:color w:val="0046FF"/>
          <w:sz w:val="30"/>
          <w:szCs w:val="30"/>
        </w:rPr>
      </w:pPr>
      <w:r w:rsidRPr="00B23024">
        <w:rPr>
          <w:rFonts w:asciiTheme="majorHAnsi" w:hAnsiTheme="majorHAnsi" w:cstheme="majorHAnsi"/>
          <w:b/>
          <w:iCs/>
          <w:noProof/>
          <w:color w:val="0046FF"/>
          <w:sz w:val="30"/>
          <w:szCs w:val="30"/>
        </w:rPr>
        <w:t>A competitive, sovereign and resilient EU based on technological leadership </w:t>
      </w:r>
    </w:p>
    <w:p w14:paraId="6B138E19" w14:textId="4C17ED4A" w:rsidR="008D244E" w:rsidRDefault="00194B2E" w:rsidP="008D244E">
      <w:pPr>
        <w:jc w:val="both"/>
        <w:rPr>
          <w:noProof/>
        </w:rPr>
      </w:pPr>
      <w:r w:rsidRPr="00194B2E">
        <w:rPr>
          <w:b/>
          <w:bCs/>
          <w:noProof/>
        </w:rPr>
        <w:t xml:space="preserve">Despite maintaining investments in fibre and 5G infrastructure and ongoing reforms to address permitting bottlenecks and support rollout in underserved areas </w:t>
      </w:r>
      <w:r w:rsidR="008D244E" w:rsidRPr="00194B2E">
        <w:rPr>
          <w:b/>
          <w:bCs/>
          <w:noProof/>
        </w:rPr>
        <w:t xml:space="preserve">Czechia is </w:t>
      </w:r>
      <w:r w:rsidR="00490635" w:rsidRPr="00194B2E">
        <w:rPr>
          <w:b/>
          <w:bCs/>
          <w:noProof/>
        </w:rPr>
        <w:t>below</w:t>
      </w:r>
      <w:r w:rsidR="00BC2AE0" w:rsidRPr="00194B2E">
        <w:rPr>
          <w:b/>
          <w:bCs/>
          <w:noProof/>
        </w:rPr>
        <w:t xml:space="preserve"> the EU average</w:t>
      </w:r>
      <w:r w:rsidR="008D244E" w:rsidRPr="00194B2E">
        <w:rPr>
          <w:b/>
          <w:bCs/>
          <w:noProof/>
        </w:rPr>
        <w:t xml:space="preserve"> in connectivity</w:t>
      </w:r>
      <w:r w:rsidRPr="00194B2E">
        <w:rPr>
          <w:noProof/>
        </w:rPr>
        <w:t xml:space="preserve">; </w:t>
      </w:r>
      <w:r w:rsidR="008D244E" w:rsidRPr="00194B2E">
        <w:rPr>
          <w:noProof/>
        </w:rPr>
        <w:t>demand-side factors, including limited perceived benefits and price sensitivity, continue to affect uptake and the business case for deployment, particularly in rural areas.</w:t>
      </w:r>
    </w:p>
    <w:p w14:paraId="438A23A1" w14:textId="2603CBD8" w:rsidR="008D244E" w:rsidRDefault="008D244E" w:rsidP="00347DA2">
      <w:pPr>
        <w:jc w:val="both"/>
        <w:rPr>
          <w:rFonts w:asciiTheme="majorHAnsi" w:hAnsiTheme="majorHAnsi" w:cstheme="majorHAnsi"/>
          <w:b/>
          <w:iCs/>
          <w:noProof/>
          <w:color w:val="0046FF"/>
          <w:sz w:val="30"/>
          <w:szCs w:val="30"/>
        </w:rPr>
      </w:pPr>
      <w:r w:rsidRPr="00F0495A">
        <w:rPr>
          <w:b/>
          <w:bCs/>
          <w:noProof/>
        </w:rPr>
        <w:t>SME digitalisation is supported through a broad set of programmes under OP TAC, including Digital Enterprise and DEEP TECH calls</w:t>
      </w:r>
      <w:r>
        <w:rPr>
          <w:noProof/>
        </w:rPr>
        <w:t xml:space="preserve">, which have mobilised significant funding and demonstrated strong demand. These measures increasingly focus on advanced technologies and are aligned with Digital Decade targets. However, </w:t>
      </w:r>
      <w:r w:rsidRPr="00F0495A">
        <w:rPr>
          <w:b/>
          <w:bCs/>
          <w:noProof/>
        </w:rPr>
        <w:t xml:space="preserve">structural barriers such as administrative complexity, limited advisory capacity and regulatory constraints </w:t>
      </w:r>
      <w:r w:rsidR="00F0495A" w:rsidRPr="00F0495A">
        <w:rPr>
          <w:b/>
          <w:bCs/>
          <w:noProof/>
        </w:rPr>
        <w:t>affect</w:t>
      </w:r>
      <w:r w:rsidRPr="00F0495A">
        <w:rPr>
          <w:b/>
          <w:bCs/>
          <w:noProof/>
        </w:rPr>
        <w:t xml:space="preserve"> uptake.</w:t>
      </w:r>
      <w:r>
        <w:rPr>
          <w:noProof/>
        </w:rPr>
        <w:t xml:space="preserve"> While regional innovation ecosystems are supported through EDIHs and testing facilities, further efforts are needed to improve visibility, accessibility and effectiveness of support tools. Czechia also lags behind its trajectory on unicorns, </w:t>
      </w:r>
      <w:r w:rsidRPr="007B2091">
        <w:rPr>
          <w:b/>
          <w:bCs/>
          <w:noProof/>
        </w:rPr>
        <w:t>reflecting broader challenges in scaling innovative firms</w:t>
      </w:r>
      <w:r w:rsidR="007B2091" w:rsidRPr="007B2091">
        <w:rPr>
          <w:b/>
          <w:bCs/>
          <w:noProof/>
        </w:rPr>
        <w:t xml:space="preserve"> and access to finance.</w:t>
      </w:r>
    </w:p>
    <w:p w14:paraId="1BD9BB28" w14:textId="088DD0A6" w:rsidR="00C82F82" w:rsidRPr="00C82F82" w:rsidRDefault="00C82F82" w:rsidP="00C82F82">
      <w:pPr>
        <w:rPr>
          <w:rFonts w:asciiTheme="majorHAnsi" w:hAnsiTheme="majorHAnsi" w:cstheme="majorHAnsi"/>
          <w:b/>
          <w:iCs/>
          <w:noProof/>
          <w:color w:val="0046FF"/>
          <w:sz w:val="30"/>
          <w:szCs w:val="30"/>
        </w:rPr>
      </w:pPr>
      <w:r w:rsidRPr="00C82F82">
        <w:rPr>
          <w:rFonts w:asciiTheme="majorHAnsi" w:hAnsiTheme="majorHAnsi" w:cstheme="majorHAnsi"/>
          <w:b/>
          <w:iCs/>
          <w:noProof/>
          <w:color w:val="0046FF"/>
          <w:sz w:val="30"/>
          <w:szCs w:val="30"/>
        </w:rPr>
        <w:t>Protecting and empowering EU people and society</w:t>
      </w:r>
    </w:p>
    <w:p w14:paraId="0AEDB4F1" w14:textId="7DDB09E6" w:rsidR="00C82F82" w:rsidRDefault="00C82F82" w:rsidP="00C82F82">
      <w:pPr>
        <w:spacing w:after="0" w:line="240" w:lineRule="auto"/>
        <w:jc w:val="both"/>
        <w:rPr>
          <w:noProof/>
        </w:rPr>
      </w:pPr>
      <w:r w:rsidRPr="00C82F82">
        <w:rPr>
          <w:noProof/>
        </w:rPr>
        <w:t xml:space="preserve">Czechia performs well in basic digital skills, with limited structural gaps across the population. Ongoing education reforms, notably the revision of the Framework Education Programme, strengthen digital competences and computational thinking from an early stage. However, shortages of ICT specialists persist, particularly in advanced fields such as AI, cybersecurity and data analytics, despite upskilling and reskilling efforts. Measures to increase </w:t>
      </w:r>
      <w:r w:rsidR="000B4924">
        <w:rPr>
          <w:noProof/>
        </w:rPr>
        <w:t>women</w:t>
      </w:r>
      <w:r w:rsidRPr="00C82F82">
        <w:rPr>
          <w:noProof/>
        </w:rPr>
        <w:t xml:space="preserve"> participation and improve labour market relevance are in place but remain limited in scale.</w:t>
      </w:r>
    </w:p>
    <w:p w14:paraId="4AD9FE51" w14:textId="77777777" w:rsidR="00C82F82" w:rsidRPr="00C82F82" w:rsidRDefault="00C82F82" w:rsidP="00C82F82">
      <w:pPr>
        <w:spacing w:after="0" w:line="240" w:lineRule="auto"/>
        <w:jc w:val="both"/>
        <w:rPr>
          <w:noProof/>
        </w:rPr>
      </w:pPr>
    </w:p>
    <w:p w14:paraId="5C4338FF" w14:textId="77777777" w:rsidR="00C82F82" w:rsidRPr="00C82F82" w:rsidRDefault="00C82F82" w:rsidP="00C82F82">
      <w:pPr>
        <w:spacing w:after="0" w:line="240" w:lineRule="auto"/>
        <w:jc w:val="both"/>
        <w:rPr>
          <w:noProof/>
        </w:rPr>
      </w:pPr>
      <w:r>
        <w:rPr>
          <w:noProof/>
        </w:rPr>
        <w:t xml:space="preserve">Digital public services continue to improve, with a strong focus on user-centric design, life-event-based services and the gradual integration of AI tools. Progress on the national digital wallet and interoperability frameworks is ongoing, supported by investments in core infrastructure and governance. However, barriers remain in data sharing, system integration and uneven capacities across administrations. </w:t>
      </w:r>
      <w:r w:rsidRPr="51B1BC75">
        <w:rPr>
          <w:b/>
          <w:bCs/>
          <w:noProof/>
        </w:rPr>
        <w:t>In eHealth, access to digital health records has expanded, but challenges persist in interoperability, uptake by professionals and support for smaller healthcare providers.</w:t>
      </w:r>
    </w:p>
    <w:p w14:paraId="0D6D9B26" w14:textId="77777777" w:rsidR="009D105D" w:rsidRDefault="009D105D" w:rsidP="009D105D">
      <w:pPr>
        <w:spacing w:after="0" w:line="240" w:lineRule="auto"/>
        <w:jc w:val="both"/>
        <w:rPr>
          <w:b/>
          <w:bCs/>
          <w:noProof/>
        </w:rPr>
      </w:pPr>
    </w:p>
    <w:tbl>
      <w:tblPr>
        <w:tblStyle w:val="TableGrid"/>
        <w:tblW w:w="9175"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175"/>
      </w:tblGrid>
      <w:tr w:rsidR="00594736" w:rsidRPr="007C0C4B" w14:paraId="058F04CE" w14:textId="77777777" w:rsidTr="00531BA6">
        <w:trPr>
          <w:cantSplit/>
          <w:trHeight w:hRule="exact" w:val="8101"/>
        </w:trPr>
        <w:tc>
          <w:tcPr>
            <w:tcW w:w="9175" w:type="dxa"/>
            <w:tcBorders>
              <w:top w:val="single" w:sz="4" w:space="0" w:color="8B73FF"/>
              <w:left w:val="single" w:sz="4" w:space="0" w:color="8B73FF"/>
              <w:bottom w:val="single" w:sz="4" w:space="0" w:color="8B73FF"/>
              <w:right w:val="single" w:sz="4" w:space="0" w:color="8B73FF"/>
            </w:tcBorders>
            <w:vAlign w:val="center"/>
          </w:tcPr>
          <w:p w14:paraId="17132F57" w14:textId="77777777" w:rsidR="00594736" w:rsidRDefault="00594736">
            <w:pPr>
              <w:pStyle w:val="Heading2"/>
              <w:outlineLvl w:val="1"/>
              <w:rPr>
                <w:noProof/>
              </w:rPr>
            </w:pPr>
            <w:bookmarkStart w:id="5" w:name="_Toc226013204"/>
            <w:bookmarkStart w:id="6" w:name="_Toc228971573"/>
            <w:r>
              <w:rPr>
                <w:noProof/>
              </w:rPr>
              <w:t>Recommendations</w:t>
            </w:r>
            <w:bookmarkEnd w:id="5"/>
            <w:bookmarkEnd w:id="6"/>
          </w:p>
          <w:p w14:paraId="0DACC1BA" w14:textId="3F78CA74" w:rsidR="00EF6E1D" w:rsidRPr="00EF6E1D" w:rsidRDefault="7E8D1F01" w:rsidP="003156F0">
            <w:pPr>
              <w:pStyle w:val="ListParagraph"/>
              <w:numPr>
                <w:ilvl w:val="0"/>
                <w:numId w:val="13"/>
              </w:numPr>
              <w:spacing w:before="240"/>
              <w:rPr>
                <w:noProof/>
              </w:rPr>
            </w:pPr>
            <w:r w:rsidRPr="6B0AD480">
              <w:rPr>
                <w:b/>
                <w:bCs/>
                <w:noProof/>
              </w:rPr>
              <w:t>Connectivity</w:t>
            </w:r>
            <w:r>
              <w:rPr>
                <w:noProof/>
              </w:rPr>
              <w:t xml:space="preserve">: </w:t>
            </w:r>
            <w:r w:rsidR="15215043">
              <w:rPr>
                <w:noProof/>
              </w:rPr>
              <w:t xml:space="preserve">(a) </w:t>
            </w:r>
            <w:r w:rsidR="168C260E">
              <w:rPr>
                <w:noProof/>
              </w:rPr>
              <w:t>Promote</w:t>
            </w:r>
            <w:r w:rsidR="02F7729B">
              <w:rPr>
                <w:noProof/>
              </w:rPr>
              <w:t xml:space="preserve"> the rollout of fibre infrastructure by supporting the expansion of fibre networks through coordinated funding programmes and regulatory measures at both national and regional levels, ensuring a balanced deployment, including in rural areas</w:t>
            </w:r>
            <w:r w:rsidR="168C260E">
              <w:rPr>
                <w:noProof/>
              </w:rPr>
              <w:t xml:space="preserve">; </w:t>
            </w:r>
            <w:r w:rsidR="15215043">
              <w:rPr>
                <w:noProof/>
              </w:rPr>
              <w:t>(b) strengthen</w:t>
            </w:r>
            <w:r w:rsidR="02F7729B">
              <w:rPr>
                <w:noProof/>
              </w:rPr>
              <w:t xml:space="preserve"> fibre take-up by supporting, through targeted funding and appropriate regulation, the deployment of the fibre connections to end users. </w:t>
            </w:r>
            <w:r w:rsidR="67D20C07">
              <w:rPr>
                <w:noProof/>
              </w:rPr>
              <w:t xml:space="preserve">(c) </w:t>
            </w:r>
            <w:r w:rsidR="6F8868B3">
              <w:rPr>
                <w:noProof/>
              </w:rPr>
              <w:t>foster</w:t>
            </w:r>
            <w:r w:rsidR="451D0617">
              <w:rPr>
                <w:noProof/>
              </w:rPr>
              <w:t xml:space="preserve"> </w:t>
            </w:r>
            <w:r w:rsidR="3137A851">
              <w:rPr>
                <w:noProof/>
              </w:rPr>
              <w:t xml:space="preserve">the copper networks switch-off with a view to </w:t>
            </w:r>
            <w:r w:rsidR="02F7729B">
              <w:rPr>
                <w:noProof/>
              </w:rPr>
              <w:t>ensur</w:t>
            </w:r>
            <w:r w:rsidR="3137A851">
              <w:rPr>
                <w:noProof/>
              </w:rPr>
              <w:t xml:space="preserve">ing </w:t>
            </w:r>
            <w:r w:rsidR="02F7729B">
              <w:rPr>
                <w:noProof/>
              </w:rPr>
              <w:t>the take up of fibre</w:t>
            </w:r>
            <w:r w:rsidR="02632856">
              <w:rPr>
                <w:noProof/>
              </w:rPr>
              <w:t xml:space="preserve">, </w:t>
            </w:r>
            <w:r w:rsidR="02F7729B">
              <w:rPr>
                <w:noProof/>
              </w:rPr>
              <w:t>unlock the benefits of the connectivity ecosystem and maximise the socio-economic value of high-speed infrastructure</w:t>
            </w:r>
            <w:r w:rsidR="182C115C">
              <w:rPr>
                <w:noProof/>
              </w:rPr>
              <w:t xml:space="preserve">; </w:t>
            </w:r>
            <w:r w:rsidR="182C115C" w:rsidRPr="00284021">
              <w:rPr>
                <w:noProof/>
                <w:lang w:val="en-IE"/>
              </w:rPr>
              <w:t>(d) Improve availability and coverage in the 5G mid-spectrum band (3.4-3.8 GHz) in order to ensure sufficient availability of mid-band spectrum for high-quality public 5G networks.</w:t>
            </w:r>
          </w:p>
          <w:p w14:paraId="6D93F699" w14:textId="3ECE4D9A" w:rsidR="00E87CA6" w:rsidRPr="00CF57B5" w:rsidRDefault="005B0B33" w:rsidP="00B07932">
            <w:pPr>
              <w:pStyle w:val="ListParagraph"/>
              <w:numPr>
                <w:ilvl w:val="0"/>
                <w:numId w:val="13"/>
              </w:numPr>
              <w:spacing w:before="240"/>
              <w:rPr>
                <w:noProof/>
              </w:rPr>
            </w:pPr>
            <w:r w:rsidRPr="005B0B33">
              <w:rPr>
                <w:b/>
                <w:bCs/>
                <w:noProof/>
              </w:rPr>
              <w:t>Unicorns:</w:t>
            </w:r>
            <w:r>
              <w:rPr>
                <w:noProof/>
              </w:rPr>
              <w:t xml:space="preserve"> </w:t>
            </w:r>
            <w:r w:rsidRPr="005B0B33">
              <w:rPr>
                <w:noProof/>
                <w:lang w:val="en-IE"/>
              </w:rPr>
              <w:t>Strengthen framework conditions for scaling innovative firms, including start-ups and spin-offs in deep-tech sectors, by improving access to scale-up support and facilitating the commercial uptake of research results through stronger academia-business links.</w:t>
            </w:r>
          </w:p>
          <w:p w14:paraId="5E61BCE1" w14:textId="4D13873E" w:rsidR="00CF57B5" w:rsidRPr="00737C9A" w:rsidRDefault="00CF57B5" w:rsidP="00CF57B5">
            <w:pPr>
              <w:pStyle w:val="ListParagraph"/>
              <w:numPr>
                <w:ilvl w:val="0"/>
                <w:numId w:val="13"/>
              </w:numPr>
              <w:spacing w:before="240"/>
              <w:rPr>
                <w:noProof/>
              </w:rPr>
            </w:pPr>
            <w:r w:rsidRPr="51B1BC75">
              <w:rPr>
                <w:b/>
                <w:bCs/>
                <w:noProof/>
              </w:rPr>
              <w:t>ICT specialists</w:t>
            </w:r>
            <w:r>
              <w:rPr>
                <w:noProof/>
              </w:rPr>
              <w:t>: Reinforce the supply of ICT specialists and advanced digital skills, with particular attention to cybersecurity, AI and data-related skills, by further aligning education and reskilling programmes with labour market needs and stepping up efforts to attract women and girls into ICT careers.</w:t>
            </w:r>
          </w:p>
          <w:p w14:paraId="1D938D24" w14:textId="28467982" w:rsidR="50D79495" w:rsidRPr="00E56988" w:rsidRDefault="50D79495" w:rsidP="51B1BC75">
            <w:pPr>
              <w:pStyle w:val="ListParagraph"/>
              <w:numPr>
                <w:ilvl w:val="0"/>
                <w:numId w:val="13"/>
              </w:numPr>
              <w:spacing w:before="240"/>
              <w:rPr>
                <w:noProof/>
              </w:rPr>
            </w:pPr>
            <w:r w:rsidRPr="00E56988">
              <w:rPr>
                <w:rFonts w:ascii="Calibri" w:eastAsia="Calibri" w:hAnsi="Calibri" w:cs="Calibri"/>
                <w:b/>
                <w:bCs/>
                <w:noProof/>
                <w:lang w:val="en-IE"/>
              </w:rPr>
              <w:t xml:space="preserve">E-Health: </w:t>
            </w:r>
            <w:r w:rsidRPr="00E56988">
              <w:rPr>
                <w:rFonts w:ascii="Calibri" w:eastAsia="Calibri" w:hAnsi="Calibri" w:cs="Calibri"/>
                <w:noProof/>
                <w:lang w:val="en-IE"/>
              </w:rPr>
              <w:t>Strengthen interoperability and uptake of digital health services by accelerating the adoption of common health data standards across healthcare providers, supporting the digitalisation of smaller healthcare providers, and improving the use and awareness of eHealth services among healthcare professionals and patients.</w:t>
            </w:r>
          </w:p>
          <w:p w14:paraId="2A5E7A85" w14:textId="510F8A6E" w:rsidR="00737C9A" w:rsidRPr="007C0C4B" w:rsidRDefault="00737C9A" w:rsidP="51B1BC75">
            <w:pPr>
              <w:pStyle w:val="ListParagraph"/>
              <w:numPr>
                <w:ilvl w:val="0"/>
                <w:numId w:val="13"/>
              </w:numPr>
              <w:spacing w:before="240"/>
              <w:rPr>
                <w:noProof/>
                <w:lang w:val="en-IE"/>
              </w:rPr>
            </w:pPr>
            <w:r w:rsidRPr="51B1BC75">
              <w:rPr>
                <w:b/>
                <w:bCs/>
                <w:noProof/>
                <w:lang w:val="en-IE"/>
              </w:rPr>
              <w:t xml:space="preserve">Green-Digital nexus: </w:t>
            </w:r>
            <w:r w:rsidRPr="51B1BC75">
              <w:rPr>
                <w:noProof/>
                <w:lang w:val="en-IE"/>
              </w:rPr>
              <w:t>Develop a more coherent green-digital approach, including measures to monitor the environmental footprint of digital infrastructures and to better integrate digitalisation into climate, energy and circular economy policies.</w:t>
            </w:r>
          </w:p>
        </w:tc>
      </w:tr>
      <w:bookmarkEnd w:id="4"/>
    </w:tbl>
    <w:p w14:paraId="35FC9661" w14:textId="7C33BABE" w:rsidR="00D1431A" w:rsidRPr="003863B1" w:rsidRDefault="00D1431A" w:rsidP="00681043">
      <w:pPr>
        <w:spacing w:after="0" w:line="240" w:lineRule="auto"/>
        <w:jc w:val="both"/>
        <w:rPr>
          <w:noProof/>
        </w:rPr>
      </w:pPr>
    </w:p>
    <w:sectPr w:rsidR="00D1431A" w:rsidRPr="003863B1" w:rsidSect="007B6715">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AD14A" w14:textId="77777777" w:rsidR="00E06885" w:rsidRDefault="00E06885" w:rsidP="00115654">
      <w:pPr>
        <w:spacing w:after="0" w:line="240" w:lineRule="auto"/>
      </w:pPr>
      <w:r>
        <w:separator/>
      </w:r>
    </w:p>
  </w:endnote>
  <w:endnote w:type="continuationSeparator" w:id="0">
    <w:p w14:paraId="644B534E" w14:textId="77777777" w:rsidR="00E06885" w:rsidRDefault="00E06885"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D5BAF" w14:textId="1B224D9F" w:rsidR="00367FB8" w:rsidRPr="00367FB8" w:rsidRDefault="00367FB8" w:rsidP="00367FB8">
    <w:pPr>
      <w:pStyle w:val="FooterCoverPage"/>
      <w:rPr>
        <w:rFonts w:ascii="Arial" w:hAnsi="Arial" w:cs="Arial"/>
        <w:b/>
        <w:sz w:val="48"/>
      </w:rPr>
    </w:pPr>
    <w:r w:rsidRPr="00367FB8">
      <w:rPr>
        <w:rFonts w:ascii="Arial" w:hAnsi="Arial" w:cs="Arial"/>
        <w:b/>
        <w:sz w:val="48"/>
      </w:rPr>
      <w:t>EN</w:t>
    </w:r>
    <w:r w:rsidRPr="00367FB8">
      <w:rPr>
        <w:rFonts w:ascii="Arial" w:hAnsi="Arial" w:cs="Arial"/>
        <w:b/>
        <w:sz w:val="48"/>
      </w:rPr>
      <w:tab/>
    </w:r>
    <w:r w:rsidRPr="00367FB8">
      <w:rPr>
        <w:rFonts w:ascii="Arial" w:hAnsi="Arial" w:cs="Arial"/>
        <w:b/>
        <w:sz w:val="48"/>
      </w:rPr>
      <w:tab/>
    </w:r>
    <w:r w:rsidRPr="00367FB8">
      <w:tab/>
    </w:r>
    <w:r w:rsidRPr="00367FB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1CFD3" w14:textId="738690F8" w:rsidR="00367FB8" w:rsidRPr="00367FB8" w:rsidRDefault="00367FB8" w:rsidP="00367FB8">
    <w:pPr>
      <w:pStyle w:val="FooterCoverPage"/>
      <w:rPr>
        <w:rFonts w:ascii="Arial" w:hAnsi="Arial" w:cs="Arial"/>
        <w:b/>
        <w:sz w:val="48"/>
      </w:rPr>
    </w:pPr>
    <w:r w:rsidRPr="00367FB8">
      <w:rPr>
        <w:rFonts w:ascii="Arial" w:hAnsi="Arial" w:cs="Arial"/>
        <w:b/>
        <w:sz w:val="48"/>
      </w:rPr>
      <w:t>EN</w:t>
    </w:r>
    <w:r w:rsidRPr="00367FB8">
      <w:rPr>
        <w:rFonts w:ascii="Arial" w:hAnsi="Arial" w:cs="Arial"/>
        <w:b/>
        <w:sz w:val="48"/>
      </w:rPr>
      <w:tab/>
    </w:r>
    <w:r w:rsidRPr="00367FB8">
      <w:rPr>
        <w:rFonts w:ascii="Arial" w:hAnsi="Arial" w:cs="Arial"/>
        <w:b/>
        <w:sz w:val="48"/>
      </w:rPr>
      <w:tab/>
    </w:r>
    <w:r w:rsidRPr="00367FB8">
      <w:tab/>
    </w:r>
    <w:r w:rsidRPr="00367FB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D56C5" w14:textId="77777777" w:rsidR="00367FB8" w:rsidRPr="00367FB8" w:rsidRDefault="00367FB8" w:rsidP="00367FB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ADC8A" w14:textId="77777777" w:rsidR="0004296B" w:rsidRDefault="000429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7E497" w14:textId="77777777" w:rsidR="0004296B" w:rsidRDefault="0004296B" w:rsidP="007B6715">
    <w:pPr>
      <w:pStyle w:val="Footer"/>
    </w:pPr>
  </w:p>
  <w:p w14:paraId="1F99475B" w14:textId="77777777" w:rsidR="0004296B" w:rsidRDefault="000429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DCA04" w14:textId="77777777" w:rsidR="0004296B" w:rsidRDefault="000429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628943"/>
      <w:docPartObj>
        <w:docPartGallery w:val="Page Numbers (Bottom of Page)"/>
        <w:docPartUnique/>
      </w:docPartObj>
    </w:sdtPr>
    <w:sdtEndPr>
      <w:rPr>
        <w:noProof/>
      </w:rPr>
    </w:sdtEndPr>
    <w:sdtContent>
      <w:p w14:paraId="1AE5EDA6" w14:textId="7A29136E" w:rsidR="007B6715" w:rsidRDefault="007B6715">
        <w:pPr>
          <w:pStyle w:val="Footer"/>
          <w:jc w:val="center"/>
        </w:pPr>
        <w:r>
          <w:fldChar w:fldCharType="begin"/>
        </w:r>
        <w:r>
          <w:instrText xml:space="preserve"> PAGE   \* MERGEFORMAT </w:instrText>
        </w:r>
        <w:r>
          <w:fldChar w:fldCharType="separate"/>
        </w:r>
        <w:r w:rsidR="00367FB8">
          <w:rPr>
            <w:noProof/>
          </w:rPr>
          <w:t>1</w:t>
        </w:r>
        <w:r>
          <w:rPr>
            <w:noProof/>
          </w:rPr>
          <w:fldChar w:fldCharType="end"/>
        </w:r>
      </w:p>
    </w:sdtContent>
  </w:sdt>
  <w:p w14:paraId="649F98DC" w14:textId="77777777" w:rsidR="007B6715" w:rsidRDefault="007B6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865B3" w14:textId="77777777" w:rsidR="00E06885" w:rsidRDefault="00E06885" w:rsidP="00115654">
      <w:pPr>
        <w:spacing w:after="0" w:line="240" w:lineRule="auto"/>
      </w:pPr>
      <w:r>
        <w:separator/>
      </w:r>
    </w:p>
  </w:footnote>
  <w:footnote w:type="continuationSeparator" w:id="0">
    <w:p w14:paraId="28036D75" w14:textId="77777777" w:rsidR="00E06885" w:rsidRDefault="00E06885"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C65F5" w14:textId="77777777" w:rsidR="00367FB8" w:rsidRPr="00367FB8" w:rsidRDefault="00367FB8" w:rsidP="00367FB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15C9" w14:textId="77777777" w:rsidR="00367FB8" w:rsidRPr="00367FB8" w:rsidRDefault="00367FB8" w:rsidP="00367FB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D2E95" w14:textId="77777777" w:rsidR="00367FB8" w:rsidRPr="00367FB8" w:rsidRDefault="00367FB8" w:rsidP="00367FB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AEABD" w14:textId="77777777" w:rsidR="0004296B" w:rsidRDefault="000429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D207E" w14:textId="77777777" w:rsidR="0004296B" w:rsidRDefault="0004296B">
    <w:pPr>
      <w:pStyle w:val="Header"/>
    </w:pPr>
    <w:r>
      <w:rPr>
        <w:noProof/>
        <w:lang w:val="en-GB" w:eastAsia="en-GB"/>
        <w14:ligatures w14:val="none"/>
      </w:rPr>
      <w:drawing>
        <wp:anchor distT="0" distB="0" distL="114300" distR="114300" simplePos="0" relativeHeight="251658243" behindDoc="0" locked="0" layoutInCell="1" allowOverlap="1" wp14:anchorId="1BE44BE1" wp14:editId="203FC2DE">
          <wp:simplePos x="0" y="0"/>
          <wp:positionH relativeFrom="column">
            <wp:posOffset>-1047750</wp:posOffset>
          </wp:positionH>
          <wp:positionV relativeFrom="paragraph">
            <wp:posOffset>-447675</wp:posOffset>
          </wp:positionV>
          <wp:extent cx="6514124" cy="1609371"/>
          <wp:effectExtent l="0" t="0" r="1270" b="3810"/>
          <wp:wrapNone/>
          <wp:docPr id="704950380"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4923871B" wp14:editId="7302E315">
              <wp:simplePos x="0" y="0"/>
              <wp:positionH relativeFrom="column">
                <wp:posOffset>-110168</wp:posOffset>
              </wp:positionH>
              <wp:positionV relativeFrom="paragraph">
                <wp:posOffset>-134988</wp:posOffset>
              </wp:positionV>
              <wp:extent cx="3437263" cy="402850"/>
              <wp:effectExtent l="0" t="0" r="0" b="0"/>
              <wp:wrapNone/>
              <wp:docPr id="130577486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17BC0948" w14:textId="77777777" w:rsidR="0004296B" w:rsidRPr="001C4FA3" w:rsidRDefault="0004296B" w:rsidP="00CB0AF6">
                          <w:pPr>
                            <w:rPr>
                              <w:color w:val="FFFFFF" w:themeColor="background1"/>
                              <w:sz w:val="40"/>
                              <w:szCs w:val="40"/>
                              <w:lang w:val="nl-NL"/>
                            </w:rPr>
                          </w:pPr>
                          <w:r>
                            <w:rPr>
                              <w:color w:val="FFFFFF" w:themeColor="background1"/>
                              <w:sz w:val="40"/>
                              <w:szCs w:val="40"/>
                              <w:lang w:val="nl-NL"/>
                            </w:rPr>
                            <w:t>Czechia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3871B"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o5ibwIAALMEAAAOAAAAZHJzL2Uyb0RvYy54bWysVFFv2jAQfp+0/2D5nQaSAAE1VNCOaVLV&#10;VqJTpb0ZxymREtuyDUk37b/vswMt6/Y07cWcfZe7+777jsurrqnJQRhbKZnT0cWQEiG5Kir5nNOv&#10;j+tBRol1TBasVlLk9EVYerX4+OGy1XMRq52qC2EIkkg7b3VOd87peRRZvhMNsxdKCwlnqUzDHK7m&#10;OSoMa5G9qaN4OJxErTKFNooLa/F60zvpIuQvS8HdfVla4UidU/TmwmnCufVntLhk82fD9K7ixzbY&#10;P3TRsEqi6GuqG+YY2Zvqj1RNxY2yqnQXXDWRKsuKi4ABaEbDd2g2O6ZFwAJyrH6lyf6/tPzu8GBI&#10;VWB2yXA8nabZBDRJ1mBW3zAxUgjiROcESZIAEPatdR4qrB7ij+tRltxM15PBKp1lgzRZJYNZmq0G&#10;o2mcrcbxcjn5lP70VEfhq/B91Go7D9X9rIK50WjFdSvVoRsf7t8tHn21rjSN/wVlBH40+fI6P98J&#10;x2OSJtN4klDC4UuHcTYOA0bV09faWPdZqIZ4I6cG+gio2AFN9Q2eQnwxqdZVXQeN1JK0OZ0kSPmb&#10;B8lrCWRvvXrLddvuCGCrihfgMqrXntV8XaH4LbPugRmIDVCwQO4eR1krFFFHi5KdMt//9u7joQF4&#10;KWkh3pxKzIqS+ouENmajNPVaD5d0PI1xMeee7blH7ptrhe0YYVE1D6aPd/XJLI1qnrBlS18TLiY5&#10;KufUncxr1y8UtpSL5TIEQd2auVu50dyn9pR5Yh+7J2b0kX2vqzt1EjmbvxtCH9uTvdw7VVZhQp7e&#10;ntMj69iMoKzjFvvVO7+HqLf/msUv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Aolo5ibwIAALMEAAAOAAAAAAAA&#10;AAAAAAAAAC4CAABkcnMvZTJvRG9jLnhtbFBLAQItABQABgAIAAAAIQDh0/M44gAAAAoBAAAPAAAA&#10;AAAAAAAAAAAAAMkEAABkcnMvZG93bnJldi54bWxQSwUGAAAAAAQABADzAAAA2AUAAAAA&#10;" filled="f" stroked="f" strokeweight=".5pt">
              <v:textbox>
                <w:txbxContent>
                  <w:p w14:paraId="17BC0948" w14:textId="77777777" w:rsidR="0004296B" w:rsidRPr="001C4FA3" w:rsidRDefault="0004296B" w:rsidP="00CB0AF6">
                    <w:pPr>
                      <w:rPr>
                        <w:color w:val="FFFFFF" w:themeColor="background1"/>
                        <w:sz w:val="40"/>
                        <w:szCs w:val="40"/>
                        <w:lang w:val="nl-NL"/>
                      </w:rPr>
                    </w:pPr>
                    <w:r>
                      <w:rPr>
                        <w:color w:val="FFFFFF" w:themeColor="background1"/>
                        <w:sz w:val="40"/>
                        <w:szCs w:val="40"/>
                        <w:lang w:val="nl-NL"/>
                      </w:rPr>
                      <w:t>Czechia</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48310" w14:textId="77777777" w:rsidR="0004296B" w:rsidRDefault="0004296B">
    <w:pPr>
      <w:pStyle w:val="Header"/>
    </w:pPr>
    <w:r>
      <w:rPr>
        <w:noProof/>
        <w:lang w:val="en-GB" w:eastAsia="en-GB"/>
        <w14:ligatures w14:val="none"/>
      </w:rPr>
      <w:drawing>
        <wp:anchor distT="0" distB="0" distL="114300" distR="114300" simplePos="0" relativeHeight="251658242" behindDoc="1" locked="0" layoutInCell="1" allowOverlap="1" wp14:anchorId="4DD4EC75" wp14:editId="7C8010B4">
          <wp:simplePos x="0" y="0"/>
          <wp:positionH relativeFrom="column">
            <wp:posOffset>-943276</wp:posOffset>
          </wp:positionH>
          <wp:positionV relativeFrom="paragraph">
            <wp:posOffset>-468831</wp:posOffset>
          </wp:positionV>
          <wp:extent cx="7604963" cy="10749201"/>
          <wp:effectExtent l="0" t="0" r="2540" b="0"/>
          <wp:wrapNone/>
          <wp:docPr id="842429179"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CEC25" w14:textId="77777777" w:rsidR="007B6715" w:rsidRDefault="007B6715">
    <w:pPr>
      <w:pStyle w:val="Header"/>
    </w:pPr>
    <w:r>
      <w:rPr>
        <w:noProof/>
        <w:lang w:val="en-GB" w:eastAsia="en-GB"/>
        <w14:ligatures w14:val="none"/>
      </w:rPr>
      <w:drawing>
        <wp:anchor distT="0" distB="0" distL="114300" distR="114300" simplePos="0" relativeHeight="251658240" behindDoc="0" locked="0" layoutInCell="1" allowOverlap="1" wp14:anchorId="08EC203C" wp14:editId="659D5AA3">
          <wp:simplePos x="0" y="0"/>
          <wp:positionH relativeFrom="column">
            <wp:posOffset>-1047750</wp:posOffset>
          </wp:positionH>
          <wp:positionV relativeFrom="paragraph">
            <wp:posOffset>-447675</wp:posOffset>
          </wp:positionV>
          <wp:extent cx="6514124" cy="1609371"/>
          <wp:effectExtent l="0" t="0" r="1270" b="3810"/>
          <wp:wrapNone/>
          <wp:docPr id="1979990642"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1" behindDoc="0" locked="0" layoutInCell="1" allowOverlap="1" wp14:anchorId="60AB0BEF" wp14:editId="1CF5BF2C">
              <wp:simplePos x="0" y="0"/>
              <wp:positionH relativeFrom="column">
                <wp:posOffset>-110168</wp:posOffset>
              </wp:positionH>
              <wp:positionV relativeFrom="paragraph">
                <wp:posOffset>-134988</wp:posOffset>
              </wp:positionV>
              <wp:extent cx="3437263" cy="402850"/>
              <wp:effectExtent l="0" t="0" r="0" b="0"/>
              <wp:wrapNone/>
              <wp:docPr id="1816012038"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AEF8DBD" w14:textId="77777777" w:rsidR="007B6715" w:rsidRPr="001C4FA3" w:rsidRDefault="007B6715" w:rsidP="00CB0AF6">
                          <w:pPr>
                            <w:rPr>
                              <w:color w:val="FFFFFF" w:themeColor="background1"/>
                              <w:sz w:val="40"/>
                              <w:szCs w:val="40"/>
                              <w:lang w:val="nl-NL"/>
                            </w:rPr>
                          </w:pPr>
                          <w:r>
                            <w:rPr>
                              <w:color w:val="FFFFFF" w:themeColor="background1"/>
                              <w:sz w:val="40"/>
                              <w:szCs w:val="40"/>
                              <w:lang w:val="nl-NL"/>
                            </w:rPr>
                            <w:t>Czechia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AB0BEF" id="_x0000_t202" coordsize="21600,21600" o:spt="202" path="m,l,21600r21600,l21600,xe">
              <v:stroke joinstyle="miter"/>
              <v:path gradientshapeok="t" o:connecttype="rect"/>
            </v:shapetype>
            <v:shape id="_x0000_s1029" type="#_x0000_t202" style="position:absolute;margin-left:-8.65pt;margin-top:-10.65pt;width:270.65pt;height:31.7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cHUcAIAALoEAAAOAAAAZHJzL2Uyb0RvYy54bWysVE1v2zAMvQ/YfxB0T/3ZxA3iFEm7DAOK&#10;tkA7FNhNkeXEgC0Jklq7G/bf9yQnbdftNOyiUCJN8vE9ZnE+dC15EsY2SpY0OYkpEZKrqpG7kn69&#10;30wKSqxjsmKtkqKkz8LS8+XHD4tez0Wq9qqthCFIIu281yXdO6fnUWT5XnTMnigtJJy1Mh1zuJpd&#10;VBnWI3vXRmkcT6NemUobxYW1eL0cnXQZ8te14O6mrq1wpC0penPhNOHc+jNaLth8Z5jeN/zQBvuH&#10;LjrWSBR9SXXJHCOPpvkjVddwo6yq3QlXXaTquuEiYACaJH6H5m7PtAhYMByrX8Zk/19afv10a0hT&#10;gbsimcZJGmdgTLIOXH0DY6QSxInBCZJlASDsK+s8VFgjxB8XSZFdzjbTyTo/KyZ5ts4mZ3mxniSz&#10;tFifpqvV9FP+0486Cl+F76Ne23mo7rkK5p1GK25YqwHd+HD/bvHoqw216fwvRkbgB5fPL/z5Tjge&#10;szybpdOMEg5fHqfFaSAYVY9fa2PdZ6E64o2SGugjoGJPaGps8Bjii0m1ado2aKSVpC/pNEPK3zxI&#10;3koge+3VW27YDuNUjzi2qnoGPKNGCVrNNw16uGLW3TIDzQER9sjd4KhbhVrqYFGyV+b73959PKQA&#10;LyU9NFxSCcooab9ISOQsyXMv+XDJT2cpLuatZ/vWIx+7C4UlSbCvmgfTx7v2aNZGdQ9YtpWvCReT&#10;HJVL6o7mhRv3CsvKxWoVgiByzdyVvNPcp/aT8/O9Hx6Y0QcSvLyu1VHrbP6OizF2nPnq0am6CUT5&#10;KY8zPQwfCxIEdlhmv4Fv7yHq9S9n+QsAAP//AwBQSwMEFAAGAAgAAAAhAOHT8zjiAAAACgEAAA8A&#10;AABkcnMvZG93bnJldi54bWxMj09Lw0AQxe+C32EZwYu0m8RaJWZTVFCk+AdbkR632TEJzc6G3U2b&#10;fnvHk97eY368ea9YjLYTe/ShdaQgnSYgkCpnWqoVfK4fJzcgQtRkdOcIFRwxwKI8PSl0btyBPnC/&#10;irXgEAq5VtDE2OdShqpBq8PU9Uh8+3be6sjW19J4feBw28ksSebS6pb4Q6N7fGiw2q0Gq2DXLC/e&#10;k6fX+6/589G/rQe38S8bpc7PxrtbEBHH+AfDb32uDiV32rqBTBCdgkl6fckoiyxlwcRVNuN1WwWz&#10;LAVZFvL/hPIHAAD//wMAUEsBAi0AFAAGAAgAAAAhALaDOJL+AAAA4QEAABMAAAAAAAAAAAAAAAAA&#10;AAAAAFtDb250ZW50X1R5cGVzXS54bWxQSwECLQAUAAYACAAAACEAOP0h/9YAAACUAQAACwAAAAAA&#10;AAAAAAAAAAAvAQAAX3JlbHMvLnJlbHNQSwECLQAUAAYACAAAACEAoB3B1HACAAC6BAAADgAAAAAA&#10;AAAAAAAAAAAuAgAAZHJzL2Uyb0RvYy54bWxQSwECLQAUAAYACAAAACEA4dPzOOIAAAAKAQAADwAA&#10;AAAAAAAAAAAAAADKBAAAZHJzL2Rvd25yZXYueG1sUEsFBgAAAAAEAAQA8wAAANkFAAAAAA==&#10;" filled="f" stroked="f" strokeweight=".5pt">
              <v:textbox>
                <w:txbxContent>
                  <w:p w14:paraId="2AEF8DBD" w14:textId="77777777" w:rsidR="007B6715" w:rsidRPr="001C4FA3" w:rsidRDefault="007B6715" w:rsidP="00CB0AF6">
                    <w:pPr>
                      <w:rPr>
                        <w:color w:val="FFFFFF" w:themeColor="background1"/>
                        <w:sz w:val="40"/>
                        <w:szCs w:val="40"/>
                        <w:lang w:val="nl-NL"/>
                      </w:rPr>
                    </w:pPr>
                    <w:r>
                      <w:rPr>
                        <w:color w:val="FFFFFF" w:themeColor="background1"/>
                        <w:sz w:val="40"/>
                        <w:szCs w:val="40"/>
                        <w:lang w:val="nl-NL"/>
                      </w:rPr>
                      <w:t>Czechia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213B51"/>
    <w:multiLevelType w:val="hybridMultilevel"/>
    <w:tmpl w:val="8E386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D44588"/>
    <w:multiLevelType w:val="multilevel"/>
    <w:tmpl w:val="8F60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DC62E7"/>
    <w:multiLevelType w:val="multilevel"/>
    <w:tmpl w:val="2938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E278B1"/>
    <w:multiLevelType w:val="multilevel"/>
    <w:tmpl w:val="ECA8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182ED6"/>
    <w:multiLevelType w:val="multilevel"/>
    <w:tmpl w:val="01BE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9"/>
  </w:num>
  <w:num w:numId="5">
    <w:abstractNumId w:val="10"/>
  </w:num>
  <w:num w:numId="6">
    <w:abstractNumId w:val="8"/>
  </w:num>
  <w:num w:numId="7">
    <w:abstractNumId w:val="12"/>
  </w:num>
  <w:num w:numId="8">
    <w:abstractNumId w:val="2"/>
  </w:num>
  <w:num w:numId="9">
    <w:abstractNumId w:val="4"/>
  </w:num>
  <w:num w:numId="10">
    <w:abstractNumId w:val="7"/>
  </w:num>
  <w:num w:numId="11">
    <w:abstractNumId w:val="3"/>
  </w:num>
  <w:num w:numId="12">
    <w:abstractNumId w:val="5"/>
  </w:num>
  <w:num w:numId="1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DF8032E7-5E88-4541-92F3-C19A6BA436CD"/>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6"/>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FE4"/>
    <w:rsid w:val="00001054"/>
    <w:rsid w:val="00001615"/>
    <w:rsid w:val="000017E6"/>
    <w:rsid w:val="000029B4"/>
    <w:rsid w:val="00002BD7"/>
    <w:rsid w:val="00002F9E"/>
    <w:rsid w:val="00003140"/>
    <w:rsid w:val="00003515"/>
    <w:rsid w:val="00004FF3"/>
    <w:rsid w:val="000050C1"/>
    <w:rsid w:val="00005F49"/>
    <w:rsid w:val="000063C2"/>
    <w:rsid w:val="00006B05"/>
    <w:rsid w:val="000078EE"/>
    <w:rsid w:val="00007C43"/>
    <w:rsid w:val="00010014"/>
    <w:rsid w:val="000109AF"/>
    <w:rsid w:val="00011813"/>
    <w:rsid w:val="00011BB2"/>
    <w:rsid w:val="00011FBF"/>
    <w:rsid w:val="000123CC"/>
    <w:rsid w:val="00012BBD"/>
    <w:rsid w:val="00012CC4"/>
    <w:rsid w:val="00012CD3"/>
    <w:rsid w:val="000133A4"/>
    <w:rsid w:val="00013F85"/>
    <w:rsid w:val="00014FD8"/>
    <w:rsid w:val="0001505B"/>
    <w:rsid w:val="00015536"/>
    <w:rsid w:val="00015CA7"/>
    <w:rsid w:val="00015DE5"/>
    <w:rsid w:val="00015F1E"/>
    <w:rsid w:val="000161AC"/>
    <w:rsid w:val="00016463"/>
    <w:rsid w:val="00016BE8"/>
    <w:rsid w:val="00016CC9"/>
    <w:rsid w:val="00017C20"/>
    <w:rsid w:val="00017D64"/>
    <w:rsid w:val="00017FDA"/>
    <w:rsid w:val="000203F3"/>
    <w:rsid w:val="0002086C"/>
    <w:rsid w:val="00020D4C"/>
    <w:rsid w:val="00020D52"/>
    <w:rsid w:val="0002100E"/>
    <w:rsid w:val="00021504"/>
    <w:rsid w:val="00021631"/>
    <w:rsid w:val="00021674"/>
    <w:rsid w:val="00021E7C"/>
    <w:rsid w:val="000220DE"/>
    <w:rsid w:val="000220F3"/>
    <w:rsid w:val="00024412"/>
    <w:rsid w:val="000247B7"/>
    <w:rsid w:val="000247D6"/>
    <w:rsid w:val="00024D82"/>
    <w:rsid w:val="0002503D"/>
    <w:rsid w:val="000254E5"/>
    <w:rsid w:val="0002573E"/>
    <w:rsid w:val="00025855"/>
    <w:rsid w:val="00025EDF"/>
    <w:rsid w:val="00026023"/>
    <w:rsid w:val="00026B52"/>
    <w:rsid w:val="00027121"/>
    <w:rsid w:val="00027A2C"/>
    <w:rsid w:val="00027A3E"/>
    <w:rsid w:val="000301D4"/>
    <w:rsid w:val="00030C02"/>
    <w:rsid w:val="00030DC5"/>
    <w:rsid w:val="00030FFC"/>
    <w:rsid w:val="00031572"/>
    <w:rsid w:val="00031CC6"/>
    <w:rsid w:val="00032070"/>
    <w:rsid w:val="000321C1"/>
    <w:rsid w:val="000326D3"/>
    <w:rsid w:val="00032BFE"/>
    <w:rsid w:val="00032F26"/>
    <w:rsid w:val="00033144"/>
    <w:rsid w:val="00034038"/>
    <w:rsid w:val="00034370"/>
    <w:rsid w:val="0003446E"/>
    <w:rsid w:val="000348F7"/>
    <w:rsid w:val="00034B20"/>
    <w:rsid w:val="00034E18"/>
    <w:rsid w:val="00034FDD"/>
    <w:rsid w:val="000356D8"/>
    <w:rsid w:val="00035D80"/>
    <w:rsid w:val="00035FCD"/>
    <w:rsid w:val="000360B8"/>
    <w:rsid w:val="000360D7"/>
    <w:rsid w:val="000361EA"/>
    <w:rsid w:val="00036253"/>
    <w:rsid w:val="00036387"/>
    <w:rsid w:val="00036424"/>
    <w:rsid w:val="00036969"/>
    <w:rsid w:val="00036DBE"/>
    <w:rsid w:val="000371C5"/>
    <w:rsid w:val="000374DD"/>
    <w:rsid w:val="0004008D"/>
    <w:rsid w:val="00040CA1"/>
    <w:rsid w:val="0004174D"/>
    <w:rsid w:val="0004273A"/>
    <w:rsid w:val="0004296B"/>
    <w:rsid w:val="000429B2"/>
    <w:rsid w:val="00042A7E"/>
    <w:rsid w:val="00043BC5"/>
    <w:rsid w:val="00043F30"/>
    <w:rsid w:val="00043F9B"/>
    <w:rsid w:val="000447C6"/>
    <w:rsid w:val="00044CC8"/>
    <w:rsid w:val="00045EC3"/>
    <w:rsid w:val="0004649D"/>
    <w:rsid w:val="000467EB"/>
    <w:rsid w:val="00046AE5"/>
    <w:rsid w:val="0004715B"/>
    <w:rsid w:val="0004744F"/>
    <w:rsid w:val="0004789E"/>
    <w:rsid w:val="00047974"/>
    <w:rsid w:val="00047F2F"/>
    <w:rsid w:val="00050585"/>
    <w:rsid w:val="00050FC1"/>
    <w:rsid w:val="000519D8"/>
    <w:rsid w:val="00051BED"/>
    <w:rsid w:val="00051CEB"/>
    <w:rsid w:val="00052369"/>
    <w:rsid w:val="00052747"/>
    <w:rsid w:val="00052BBE"/>
    <w:rsid w:val="0005329F"/>
    <w:rsid w:val="00053709"/>
    <w:rsid w:val="00053FA8"/>
    <w:rsid w:val="00054680"/>
    <w:rsid w:val="00054C96"/>
    <w:rsid w:val="0005506B"/>
    <w:rsid w:val="00055C7C"/>
    <w:rsid w:val="0005670F"/>
    <w:rsid w:val="00056E57"/>
    <w:rsid w:val="00056EBF"/>
    <w:rsid w:val="00056FC3"/>
    <w:rsid w:val="00057A8E"/>
    <w:rsid w:val="00060197"/>
    <w:rsid w:val="000602BE"/>
    <w:rsid w:val="00060779"/>
    <w:rsid w:val="00060D73"/>
    <w:rsid w:val="00060EFA"/>
    <w:rsid w:val="0006101F"/>
    <w:rsid w:val="00061200"/>
    <w:rsid w:val="00061B9E"/>
    <w:rsid w:val="00061C7B"/>
    <w:rsid w:val="00062473"/>
    <w:rsid w:val="000629AA"/>
    <w:rsid w:val="00062ED3"/>
    <w:rsid w:val="00063A2A"/>
    <w:rsid w:val="00063D12"/>
    <w:rsid w:val="00064615"/>
    <w:rsid w:val="000646B2"/>
    <w:rsid w:val="000647B8"/>
    <w:rsid w:val="000655DD"/>
    <w:rsid w:val="0006576F"/>
    <w:rsid w:val="00065810"/>
    <w:rsid w:val="000663E4"/>
    <w:rsid w:val="00066E6A"/>
    <w:rsid w:val="000671CD"/>
    <w:rsid w:val="00070455"/>
    <w:rsid w:val="000709B7"/>
    <w:rsid w:val="00070AB4"/>
    <w:rsid w:val="00070AB7"/>
    <w:rsid w:val="00070B1F"/>
    <w:rsid w:val="00070E42"/>
    <w:rsid w:val="0007133C"/>
    <w:rsid w:val="000718DB"/>
    <w:rsid w:val="00071BD6"/>
    <w:rsid w:val="00072477"/>
    <w:rsid w:val="00072715"/>
    <w:rsid w:val="00072986"/>
    <w:rsid w:val="00072B99"/>
    <w:rsid w:val="00072CB0"/>
    <w:rsid w:val="00072F6A"/>
    <w:rsid w:val="000732F2"/>
    <w:rsid w:val="00073475"/>
    <w:rsid w:val="00073B50"/>
    <w:rsid w:val="00073E58"/>
    <w:rsid w:val="00074081"/>
    <w:rsid w:val="00074E9B"/>
    <w:rsid w:val="00075026"/>
    <w:rsid w:val="00075484"/>
    <w:rsid w:val="00075D26"/>
    <w:rsid w:val="00075FE2"/>
    <w:rsid w:val="00076053"/>
    <w:rsid w:val="000768BE"/>
    <w:rsid w:val="00076FE9"/>
    <w:rsid w:val="00077365"/>
    <w:rsid w:val="0007740B"/>
    <w:rsid w:val="0007741A"/>
    <w:rsid w:val="0007753F"/>
    <w:rsid w:val="00077E1C"/>
    <w:rsid w:val="00077E8A"/>
    <w:rsid w:val="00077F7D"/>
    <w:rsid w:val="00080584"/>
    <w:rsid w:val="000805BC"/>
    <w:rsid w:val="00080610"/>
    <w:rsid w:val="00080718"/>
    <w:rsid w:val="0008072A"/>
    <w:rsid w:val="00080FDB"/>
    <w:rsid w:val="000817B0"/>
    <w:rsid w:val="000817EE"/>
    <w:rsid w:val="00081818"/>
    <w:rsid w:val="0008194A"/>
    <w:rsid w:val="00081DE0"/>
    <w:rsid w:val="00081F1A"/>
    <w:rsid w:val="0008210B"/>
    <w:rsid w:val="000825A0"/>
    <w:rsid w:val="0008294D"/>
    <w:rsid w:val="00082A77"/>
    <w:rsid w:val="00082C56"/>
    <w:rsid w:val="00082E42"/>
    <w:rsid w:val="000830FC"/>
    <w:rsid w:val="0008338A"/>
    <w:rsid w:val="00083D09"/>
    <w:rsid w:val="000844F3"/>
    <w:rsid w:val="0008458C"/>
    <w:rsid w:val="00084C16"/>
    <w:rsid w:val="000850DF"/>
    <w:rsid w:val="00085838"/>
    <w:rsid w:val="00085C75"/>
    <w:rsid w:val="00085DBE"/>
    <w:rsid w:val="00086957"/>
    <w:rsid w:val="00086D4F"/>
    <w:rsid w:val="0008720D"/>
    <w:rsid w:val="000874A1"/>
    <w:rsid w:val="000875EA"/>
    <w:rsid w:val="00090C9C"/>
    <w:rsid w:val="00090E67"/>
    <w:rsid w:val="000914C7"/>
    <w:rsid w:val="00091B3F"/>
    <w:rsid w:val="00091C90"/>
    <w:rsid w:val="00092292"/>
    <w:rsid w:val="00092354"/>
    <w:rsid w:val="00092924"/>
    <w:rsid w:val="00092CB5"/>
    <w:rsid w:val="00092CE5"/>
    <w:rsid w:val="00092ED4"/>
    <w:rsid w:val="000931A1"/>
    <w:rsid w:val="00093895"/>
    <w:rsid w:val="00093B69"/>
    <w:rsid w:val="00093CA2"/>
    <w:rsid w:val="00094320"/>
    <w:rsid w:val="00094A6B"/>
    <w:rsid w:val="00095016"/>
    <w:rsid w:val="000954C1"/>
    <w:rsid w:val="00095A57"/>
    <w:rsid w:val="00095CD2"/>
    <w:rsid w:val="00096F96"/>
    <w:rsid w:val="000A019A"/>
    <w:rsid w:val="000A14B2"/>
    <w:rsid w:val="000A1DF6"/>
    <w:rsid w:val="000A2346"/>
    <w:rsid w:val="000A2AE3"/>
    <w:rsid w:val="000A2BF0"/>
    <w:rsid w:val="000A3344"/>
    <w:rsid w:val="000A3770"/>
    <w:rsid w:val="000A3A7E"/>
    <w:rsid w:val="000A3B9A"/>
    <w:rsid w:val="000A47AD"/>
    <w:rsid w:val="000A4A01"/>
    <w:rsid w:val="000A4A4B"/>
    <w:rsid w:val="000A534D"/>
    <w:rsid w:val="000A53D4"/>
    <w:rsid w:val="000A5533"/>
    <w:rsid w:val="000A57BA"/>
    <w:rsid w:val="000A61FB"/>
    <w:rsid w:val="000A653B"/>
    <w:rsid w:val="000A6EDC"/>
    <w:rsid w:val="000A71F0"/>
    <w:rsid w:val="000A7783"/>
    <w:rsid w:val="000A7F50"/>
    <w:rsid w:val="000B008D"/>
    <w:rsid w:val="000B0B3A"/>
    <w:rsid w:val="000B0D05"/>
    <w:rsid w:val="000B1413"/>
    <w:rsid w:val="000B1445"/>
    <w:rsid w:val="000B14AA"/>
    <w:rsid w:val="000B1C2A"/>
    <w:rsid w:val="000B27F3"/>
    <w:rsid w:val="000B29FF"/>
    <w:rsid w:val="000B2CE0"/>
    <w:rsid w:val="000B3450"/>
    <w:rsid w:val="000B372A"/>
    <w:rsid w:val="000B3A74"/>
    <w:rsid w:val="000B3B7F"/>
    <w:rsid w:val="000B3B99"/>
    <w:rsid w:val="000B4565"/>
    <w:rsid w:val="000B468A"/>
    <w:rsid w:val="000B4924"/>
    <w:rsid w:val="000B4BC3"/>
    <w:rsid w:val="000B6DAE"/>
    <w:rsid w:val="000B6E84"/>
    <w:rsid w:val="000B7284"/>
    <w:rsid w:val="000B788E"/>
    <w:rsid w:val="000B7FF0"/>
    <w:rsid w:val="000C0399"/>
    <w:rsid w:val="000C0B4E"/>
    <w:rsid w:val="000C0D81"/>
    <w:rsid w:val="000C110A"/>
    <w:rsid w:val="000C12E5"/>
    <w:rsid w:val="000C1889"/>
    <w:rsid w:val="000C1A24"/>
    <w:rsid w:val="000C1DA1"/>
    <w:rsid w:val="000C203B"/>
    <w:rsid w:val="000C23D8"/>
    <w:rsid w:val="000C26B3"/>
    <w:rsid w:val="000C2769"/>
    <w:rsid w:val="000C326E"/>
    <w:rsid w:val="000C3A86"/>
    <w:rsid w:val="000C41CD"/>
    <w:rsid w:val="000C42CF"/>
    <w:rsid w:val="000C4380"/>
    <w:rsid w:val="000C4832"/>
    <w:rsid w:val="000C4956"/>
    <w:rsid w:val="000C63B1"/>
    <w:rsid w:val="000C6E3E"/>
    <w:rsid w:val="000C7301"/>
    <w:rsid w:val="000C7717"/>
    <w:rsid w:val="000C7749"/>
    <w:rsid w:val="000C7AD6"/>
    <w:rsid w:val="000D053F"/>
    <w:rsid w:val="000D0917"/>
    <w:rsid w:val="000D0C37"/>
    <w:rsid w:val="000D13B3"/>
    <w:rsid w:val="000D14A6"/>
    <w:rsid w:val="000D16CA"/>
    <w:rsid w:val="000D17FD"/>
    <w:rsid w:val="000D1DC0"/>
    <w:rsid w:val="000D213B"/>
    <w:rsid w:val="000D21BD"/>
    <w:rsid w:val="000D3AB1"/>
    <w:rsid w:val="000D46EA"/>
    <w:rsid w:val="000D4799"/>
    <w:rsid w:val="000D49EC"/>
    <w:rsid w:val="000D5349"/>
    <w:rsid w:val="000D5726"/>
    <w:rsid w:val="000D5ACA"/>
    <w:rsid w:val="000D5E02"/>
    <w:rsid w:val="000D63DC"/>
    <w:rsid w:val="000D69AE"/>
    <w:rsid w:val="000D6B42"/>
    <w:rsid w:val="000D6E8B"/>
    <w:rsid w:val="000D7046"/>
    <w:rsid w:val="000D7047"/>
    <w:rsid w:val="000D7092"/>
    <w:rsid w:val="000D7557"/>
    <w:rsid w:val="000E0B38"/>
    <w:rsid w:val="000E1869"/>
    <w:rsid w:val="000E1D14"/>
    <w:rsid w:val="000E22EB"/>
    <w:rsid w:val="000E261E"/>
    <w:rsid w:val="000E2DAE"/>
    <w:rsid w:val="000E2E7E"/>
    <w:rsid w:val="000E2F60"/>
    <w:rsid w:val="000E33F0"/>
    <w:rsid w:val="000E371E"/>
    <w:rsid w:val="000E3777"/>
    <w:rsid w:val="000E37AB"/>
    <w:rsid w:val="000E4262"/>
    <w:rsid w:val="000E4541"/>
    <w:rsid w:val="000E4730"/>
    <w:rsid w:val="000E4875"/>
    <w:rsid w:val="000E498F"/>
    <w:rsid w:val="000E4AAE"/>
    <w:rsid w:val="000E4B63"/>
    <w:rsid w:val="000E4ED6"/>
    <w:rsid w:val="000E52D8"/>
    <w:rsid w:val="000E5682"/>
    <w:rsid w:val="000E5AD1"/>
    <w:rsid w:val="000E60F6"/>
    <w:rsid w:val="000E71A1"/>
    <w:rsid w:val="000E723C"/>
    <w:rsid w:val="000E7A5D"/>
    <w:rsid w:val="000F07C4"/>
    <w:rsid w:val="000F0C46"/>
    <w:rsid w:val="000F0D27"/>
    <w:rsid w:val="000F0F1B"/>
    <w:rsid w:val="000F101D"/>
    <w:rsid w:val="000F1022"/>
    <w:rsid w:val="000F1345"/>
    <w:rsid w:val="000F1846"/>
    <w:rsid w:val="000F1B32"/>
    <w:rsid w:val="000F1C54"/>
    <w:rsid w:val="000F1D6D"/>
    <w:rsid w:val="000F2223"/>
    <w:rsid w:val="000F22E4"/>
    <w:rsid w:val="000F24BC"/>
    <w:rsid w:val="000F27C2"/>
    <w:rsid w:val="000F2806"/>
    <w:rsid w:val="000F3969"/>
    <w:rsid w:val="000F4124"/>
    <w:rsid w:val="000F4659"/>
    <w:rsid w:val="000F4E40"/>
    <w:rsid w:val="000F5D22"/>
    <w:rsid w:val="000F5ED4"/>
    <w:rsid w:val="000F5F9A"/>
    <w:rsid w:val="000F6055"/>
    <w:rsid w:val="000F6705"/>
    <w:rsid w:val="000F6715"/>
    <w:rsid w:val="000F6BC8"/>
    <w:rsid w:val="000F6F89"/>
    <w:rsid w:val="000F7107"/>
    <w:rsid w:val="000F7AAF"/>
    <w:rsid w:val="000F7CC5"/>
    <w:rsid w:val="000F7D57"/>
    <w:rsid w:val="00100505"/>
    <w:rsid w:val="00100752"/>
    <w:rsid w:val="001007E2"/>
    <w:rsid w:val="00100E48"/>
    <w:rsid w:val="00100ECF"/>
    <w:rsid w:val="001012CE"/>
    <w:rsid w:val="00101671"/>
    <w:rsid w:val="00101833"/>
    <w:rsid w:val="00101931"/>
    <w:rsid w:val="00101BD1"/>
    <w:rsid w:val="00101DC6"/>
    <w:rsid w:val="00102016"/>
    <w:rsid w:val="0010280F"/>
    <w:rsid w:val="00102E64"/>
    <w:rsid w:val="001030AB"/>
    <w:rsid w:val="001030E5"/>
    <w:rsid w:val="001033FA"/>
    <w:rsid w:val="001037E6"/>
    <w:rsid w:val="00103FC4"/>
    <w:rsid w:val="001041D2"/>
    <w:rsid w:val="00104F4F"/>
    <w:rsid w:val="001052B4"/>
    <w:rsid w:val="0010650C"/>
    <w:rsid w:val="00106E9E"/>
    <w:rsid w:val="00107B24"/>
    <w:rsid w:val="00107C2C"/>
    <w:rsid w:val="00107CFC"/>
    <w:rsid w:val="001112C5"/>
    <w:rsid w:val="00111430"/>
    <w:rsid w:val="0011163A"/>
    <w:rsid w:val="00111763"/>
    <w:rsid w:val="00111B08"/>
    <w:rsid w:val="00111B64"/>
    <w:rsid w:val="00112834"/>
    <w:rsid w:val="001128ED"/>
    <w:rsid w:val="00112906"/>
    <w:rsid w:val="00112D0E"/>
    <w:rsid w:val="00112DD4"/>
    <w:rsid w:val="001131CE"/>
    <w:rsid w:val="00113566"/>
    <w:rsid w:val="001135E2"/>
    <w:rsid w:val="0011490D"/>
    <w:rsid w:val="00114EAA"/>
    <w:rsid w:val="0011523F"/>
    <w:rsid w:val="00115241"/>
    <w:rsid w:val="001152AE"/>
    <w:rsid w:val="00115654"/>
    <w:rsid w:val="00115681"/>
    <w:rsid w:val="0011630A"/>
    <w:rsid w:val="00116420"/>
    <w:rsid w:val="00116971"/>
    <w:rsid w:val="0011740F"/>
    <w:rsid w:val="00117675"/>
    <w:rsid w:val="00117EA1"/>
    <w:rsid w:val="001206EA"/>
    <w:rsid w:val="00120776"/>
    <w:rsid w:val="00120821"/>
    <w:rsid w:val="00120884"/>
    <w:rsid w:val="00120F07"/>
    <w:rsid w:val="00121938"/>
    <w:rsid w:val="0012193B"/>
    <w:rsid w:val="001222B4"/>
    <w:rsid w:val="0012249F"/>
    <w:rsid w:val="0012263F"/>
    <w:rsid w:val="0012297F"/>
    <w:rsid w:val="00123025"/>
    <w:rsid w:val="001237D2"/>
    <w:rsid w:val="00123A33"/>
    <w:rsid w:val="00123C14"/>
    <w:rsid w:val="00124580"/>
    <w:rsid w:val="00124C87"/>
    <w:rsid w:val="00124C9F"/>
    <w:rsid w:val="001254EC"/>
    <w:rsid w:val="001259FD"/>
    <w:rsid w:val="00125B60"/>
    <w:rsid w:val="00126720"/>
    <w:rsid w:val="001269A0"/>
    <w:rsid w:val="00126FB0"/>
    <w:rsid w:val="0012709A"/>
    <w:rsid w:val="0012717A"/>
    <w:rsid w:val="0012759D"/>
    <w:rsid w:val="001276E2"/>
    <w:rsid w:val="00127B72"/>
    <w:rsid w:val="00127E52"/>
    <w:rsid w:val="00127E8F"/>
    <w:rsid w:val="0013053D"/>
    <w:rsid w:val="0013055C"/>
    <w:rsid w:val="0013105D"/>
    <w:rsid w:val="00131429"/>
    <w:rsid w:val="001315E2"/>
    <w:rsid w:val="001319C3"/>
    <w:rsid w:val="001323D2"/>
    <w:rsid w:val="00132668"/>
    <w:rsid w:val="001326ED"/>
    <w:rsid w:val="00132946"/>
    <w:rsid w:val="00132F53"/>
    <w:rsid w:val="0013306D"/>
    <w:rsid w:val="001336DC"/>
    <w:rsid w:val="00133F08"/>
    <w:rsid w:val="00134187"/>
    <w:rsid w:val="00134380"/>
    <w:rsid w:val="0013442F"/>
    <w:rsid w:val="001346C7"/>
    <w:rsid w:val="001348D8"/>
    <w:rsid w:val="00134AD0"/>
    <w:rsid w:val="0013525B"/>
    <w:rsid w:val="001353D5"/>
    <w:rsid w:val="00135824"/>
    <w:rsid w:val="00135C86"/>
    <w:rsid w:val="00135F82"/>
    <w:rsid w:val="001376D9"/>
    <w:rsid w:val="00137834"/>
    <w:rsid w:val="00137C19"/>
    <w:rsid w:val="00137E88"/>
    <w:rsid w:val="00140837"/>
    <w:rsid w:val="00140D1C"/>
    <w:rsid w:val="00140F05"/>
    <w:rsid w:val="00141159"/>
    <w:rsid w:val="001415B6"/>
    <w:rsid w:val="00141BAF"/>
    <w:rsid w:val="00141FE2"/>
    <w:rsid w:val="001421ED"/>
    <w:rsid w:val="001423BE"/>
    <w:rsid w:val="00142642"/>
    <w:rsid w:val="00142ADC"/>
    <w:rsid w:val="00143589"/>
    <w:rsid w:val="00143CBD"/>
    <w:rsid w:val="00143E1C"/>
    <w:rsid w:val="00143F5C"/>
    <w:rsid w:val="001442DB"/>
    <w:rsid w:val="00144745"/>
    <w:rsid w:val="0014519F"/>
    <w:rsid w:val="001451C4"/>
    <w:rsid w:val="00145275"/>
    <w:rsid w:val="00145B0D"/>
    <w:rsid w:val="00146018"/>
    <w:rsid w:val="00146C78"/>
    <w:rsid w:val="00146DCE"/>
    <w:rsid w:val="001472BD"/>
    <w:rsid w:val="00147310"/>
    <w:rsid w:val="00147775"/>
    <w:rsid w:val="00147A8A"/>
    <w:rsid w:val="00150391"/>
    <w:rsid w:val="00150A7B"/>
    <w:rsid w:val="00151545"/>
    <w:rsid w:val="00152C55"/>
    <w:rsid w:val="0015380E"/>
    <w:rsid w:val="001540B6"/>
    <w:rsid w:val="001543E3"/>
    <w:rsid w:val="00154B33"/>
    <w:rsid w:val="00154BCD"/>
    <w:rsid w:val="00154CDA"/>
    <w:rsid w:val="001552DA"/>
    <w:rsid w:val="00155E23"/>
    <w:rsid w:val="001563EB"/>
    <w:rsid w:val="00156773"/>
    <w:rsid w:val="00156984"/>
    <w:rsid w:val="00156B0B"/>
    <w:rsid w:val="00157387"/>
    <w:rsid w:val="0015738A"/>
    <w:rsid w:val="001579BC"/>
    <w:rsid w:val="00157D34"/>
    <w:rsid w:val="00160778"/>
    <w:rsid w:val="00160BF7"/>
    <w:rsid w:val="00160E8B"/>
    <w:rsid w:val="001611CB"/>
    <w:rsid w:val="00161496"/>
    <w:rsid w:val="00161685"/>
    <w:rsid w:val="00161D62"/>
    <w:rsid w:val="00162DE1"/>
    <w:rsid w:val="00162FDC"/>
    <w:rsid w:val="00163092"/>
    <w:rsid w:val="001633D8"/>
    <w:rsid w:val="00163CFC"/>
    <w:rsid w:val="001642A2"/>
    <w:rsid w:val="001644B5"/>
    <w:rsid w:val="00164D7A"/>
    <w:rsid w:val="00164DB9"/>
    <w:rsid w:val="00164E8F"/>
    <w:rsid w:val="00164FE8"/>
    <w:rsid w:val="001651F0"/>
    <w:rsid w:val="001654F0"/>
    <w:rsid w:val="001656E2"/>
    <w:rsid w:val="00165ECD"/>
    <w:rsid w:val="00165FD7"/>
    <w:rsid w:val="00166044"/>
    <w:rsid w:val="001666D6"/>
    <w:rsid w:val="001670BC"/>
    <w:rsid w:val="001673E1"/>
    <w:rsid w:val="00170069"/>
    <w:rsid w:val="00170DC1"/>
    <w:rsid w:val="00171970"/>
    <w:rsid w:val="0017204E"/>
    <w:rsid w:val="0017221D"/>
    <w:rsid w:val="001725A2"/>
    <w:rsid w:val="001726C5"/>
    <w:rsid w:val="001729AD"/>
    <w:rsid w:val="00172C9F"/>
    <w:rsid w:val="00172EB7"/>
    <w:rsid w:val="00172FB8"/>
    <w:rsid w:val="0017303E"/>
    <w:rsid w:val="00173974"/>
    <w:rsid w:val="00173989"/>
    <w:rsid w:val="00173EF0"/>
    <w:rsid w:val="001758D1"/>
    <w:rsid w:val="0017597D"/>
    <w:rsid w:val="001766AC"/>
    <w:rsid w:val="0017717D"/>
    <w:rsid w:val="001771A6"/>
    <w:rsid w:val="00177444"/>
    <w:rsid w:val="00177977"/>
    <w:rsid w:val="00177B22"/>
    <w:rsid w:val="00177CF6"/>
    <w:rsid w:val="00180BCB"/>
    <w:rsid w:val="0018140D"/>
    <w:rsid w:val="0018193F"/>
    <w:rsid w:val="001823EE"/>
    <w:rsid w:val="00182525"/>
    <w:rsid w:val="00183010"/>
    <w:rsid w:val="0018365C"/>
    <w:rsid w:val="001840D2"/>
    <w:rsid w:val="0018482D"/>
    <w:rsid w:val="001848D4"/>
    <w:rsid w:val="001852BC"/>
    <w:rsid w:val="00185848"/>
    <w:rsid w:val="00185EFF"/>
    <w:rsid w:val="00186611"/>
    <w:rsid w:val="00186D04"/>
    <w:rsid w:val="001870AF"/>
    <w:rsid w:val="00187664"/>
    <w:rsid w:val="00187D33"/>
    <w:rsid w:val="00187E5F"/>
    <w:rsid w:val="00190EBF"/>
    <w:rsid w:val="001912C6"/>
    <w:rsid w:val="001918B3"/>
    <w:rsid w:val="00191C82"/>
    <w:rsid w:val="00191D3D"/>
    <w:rsid w:val="00192288"/>
    <w:rsid w:val="00192D70"/>
    <w:rsid w:val="00193369"/>
    <w:rsid w:val="001938F0"/>
    <w:rsid w:val="00193920"/>
    <w:rsid w:val="00194B2E"/>
    <w:rsid w:val="00195007"/>
    <w:rsid w:val="001950AC"/>
    <w:rsid w:val="00195173"/>
    <w:rsid w:val="00195D33"/>
    <w:rsid w:val="00195FFA"/>
    <w:rsid w:val="001962FB"/>
    <w:rsid w:val="00196FCA"/>
    <w:rsid w:val="001971A4"/>
    <w:rsid w:val="00197207"/>
    <w:rsid w:val="00197580"/>
    <w:rsid w:val="00197A20"/>
    <w:rsid w:val="00197C49"/>
    <w:rsid w:val="00197D5D"/>
    <w:rsid w:val="001A0574"/>
    <w:rsid w:val="001A07E2"/>
    <w:rsid w:val="001A105F"/>
    <w:rsid w:val="001A1065"/>
    <w:rsid w:val="001A13BB"/>
    <w:rsid w:val="001A1533"/>
    <w:rsid w:val="001A1703"/>
    <w:rsid w:val="001A177E"/>
    <w:rsid w:val="001A1B75"/>
    <w:rsid w:val="001A2C5C"/>
    <w:rsid w:val="001A2F1C"/>
    <w:rsid w:val="001A352B"/>
    <w:rsid w:val="001A3888"/>
    <w:rsid w:val="001A398B"/>
    <w:rsid w:val="001A3BBA"/>
    <w:rsid w:val="001A3EB4"/>
    <w:rsid w:val="001A400E"/>
    <w:rsid w:val="001A4274"/>
    <w:rsid w:val="001A4832"/>
    <w:rsid w:val="001A4DE6"/>
    <w:rsid w:val="001A50EC"/>
    <w:rsid w:val="001A5EE9"/>
    <w:rsid w:val="001A62F7"/>
    <w:rsid w:val="001A7012"/>
    <w:rsid w:val="001A7643"/>
    <w:rsid w:val="001A77AE"/>
    <w:rsid w:val="001A7BC0"/>
    <w:rsid w:val="001A7C5E"/>
    <w:rsid w:val="001A7D37"/>
    <w:rsid w:val="001A7EE2"/>
    <w:rsid w:val="001B0455"/>
    <w:rsid w:val="001B1044"/>
    <w:rsid w:val="001B1E40"/>
    <w:rsid w:val="001B2062"/>
    <w:rsid w:val="001B32E1"/>
    <w:rsid w:val="001B377C"/>
    <w:rsid w:val="001B38A4"/>
    <w:rsid w:val="001B399F"/>
    <w:rsid w:val="001B4A34"/>
    <w:rsid w:val="001B505F"/>
    <w:rsid w:val="001B5C06"/>
    <w:rsid w:val="001B5E7B"/>
    <w:rsid w:val="001B6254"/>
    <w:rsid w:val="001B69CD"/>
    <w:rsid w:val="001B796F"/>
    <w:rsid w:val="001C0020"/>
    <w:rsid w:val="001C07A9"/>
    <w:rsid w:val="001C0AF0"/>
    <w:rsid w:val="001C0C56"/>
    <w:rsid w:val="001C0ED0"/>
    <w:rsid w:val="001C168A"/>
    <w:rsid w:val="001C1DEF"/>
    <w:rsid w:val="001C1EEB"/>
    <w:rsid w:val="001C213E"/>
    <w:rsid w:val="001C26A2"/>
    <w:rsid w:val="001C27AA"/>
    <w:rsid w:val="001C2C8D"/>
    <w:rsid w:val="001C3284"/>
    <w:rsid w:val="001C3EC5"/>
    <w:rsid w:val="001C3F95"/>
    <w:rsid w:val="001C4012"/>
    <w:rsid w:val="001C445D"/>
    <w:rsid w:val="001C4FA3"/>
    <w:rsid w:val="001C5C40"/>
    <w:rsid w:val="001C60AB"/>
    <w:rsid w:val="001C6391"/>
    <w:rsid w:val="001C6811"/>
    <w:rsid w:val="001C6D62"/>
    <w:rsid w:val="001C7054"/>
    <w:rsid w:val="001C7429"/>
    <w:rsid w:val="001C7F50"/>
    <w:rsid w:val="001D0A7A"/>
    <w:rsid w:val="001D0B52"/>
    <w:rsid w:val="001D0F91"/>
    <w:rsid w:val="001D1466"/>
    <w:rsid w:val="001D177C"/>
    <w:rsid w:val="001D19F1"/>
    <w:rsid w:val="001D20DF"/>
    <w:rsid w:val="001D2103"/>
    <w:rsid w:val="001D2202"/>
    <w:rsid w:val="001D2D34"/>
    <w:rsid w:val="001D2D86"/>
    <w:rsid w:val="001D2DC5"/>
    <w:rsid w:val="001D3112"/>
    <w:rsid w:val="001D376B"/>
    <w:rsid w:val="001D3E83"/>
    <w:rsid w:val="001D425D"/>
    <w:rsid w:val="001D45D7"/>
    <w:rsid w:val="001D4A01"/>
    <w:rsid w:val="001D51E6"/>
    <w:rsid w:val="001D5858"/>
    <w:rsid w:val="001D58D1"/>
    <w:rsid w:val="001D637D"/>
    <w:rsid w:val="001D65ED"/>
    <w:rsid w:val="001D7198"/>
    <w:rsid w:val="001D725A"/>
    <w:rsid w:val="001D77C0"/>
    <w:rsid w:val="001D7F1D"/>
    <w:rsid w:val="001E01C0"/>
    <w:rsid w:val="001E06BC"/>
    <w:rsid w:val="001E0DC5"/>
    <w:rsid w:val="001E0F7B"/>
    <w:rsid w:val="001E14AC"/>
    <w:rsid w:val="001E14C0"/>
    <w:rsid w:val="001E15E1"/>
    <w:rsid w:val="001E1721"/>
    <w:rsid w:val="001E25AD"/>
    <w:rsid w:val="001E2903"/>
    <w:rsid w:val="001E31C6"/>
    <w:rsid w:val="001E324C"/>
    <w:rsid w:val="001E3B0A"/>
    <w:rsid w:val="001E3B2C"/>
    <w:rsid w:val="001E3DE8"/>
    <w:rsid w:val="001E41EC"/>
    <w:rsid w:val="001E430E"/>
    <w:rsid w:val="001E472D"/>
    <w:rsid w:val="001E5250"/>
    <w:rsid w:val="001E5D74"/>
    <w:rsid w:val="001E6406"/>
    <w:rsid w:val="001E6584"/>
    <w:rsid w:val="001E6775"/>
    <w:rsid w:val="001E6BE9"/>
    <w:rsid w:val="001E6CF7"/>
    <w:rsid w:val="001E742B"/>
    <w:rsid w:val="001E7468"/>
    <w:rsid w:val="001F006D"/>
    <w:rsid w:val="001F037B"/>
    <w:rsid w:val="001F060D"/>
    <w:rsid w:val="001F096C"/>
    <w:rsid w:val="001F0F2A"/>
    <w:rsid w:val="001F1406"/>
    <w:rsid w:val="001F1558"/>
    <w:rsid w:val="001F156C"/>
    <w:rsid w:val="001F1C20"/>
    <w:rsid w:val="001F20AC"/>
    <w:rsid w:val="001F233F"/>
    <w:rsid w:val="001F27B3"/>
    <w:rsid w:val="001F2852"/>
    <w:rsid w:val="001F32DB"/>
    <w:rsid w:val="001F3505"/>
    <w:rsid w:val="001F351D"/>
    <w:rsid w:val="001F389B"/>
    <w:rsid w:val="001F3BDC"/>
    <w:rsid w:val="001F444E"/>
    <w:rsid w:val="001F4BCB"/>
    <w:rsid w:val="001F4FAF"/>
    <w:rsid w:val="001F5B8B"/>
    <w:rsid w:val="001F610B"/>
    <w:rsid w:val="001F6545"/>
    <w:rsid w:val="001F6F72"/>
    <w:rsid w:val="001F741B"/>
    <w:rsid w:val="001F7AD9"/>
    <w:rsid w:val="0020027E"/>
    <w:rsid w:val="00200B80"/>
    <w:rsid w:val="002011ED"/>
    <w:rsid w:val="00202884"/>
    <w:rsid w:val="00202BA4"/>
    <w:rsid w:val="00203028"/>
    <w:rsid w:val="00203A15"/>
    <w:rsid w:val="00203B36"/>
    <w:rsid w:val="00203D76"/>
    <w:rsid w:val="00204245"/>
    <w:rsid w:val="002045D0"/>
    <w:rsid w:val="00204CB6"/>
    <w:rsid w:val="002060DF"/>
    <w:rsid w:val="002067CF"/>
    <w:rsid w:val="00206CE2"/>
    <w:rsid w:val="00206CE3"/>
    <w:rsid w:val="00207624"/>
    <w:rsid w:val="00207BB9"/>
    <w:rsid w:val="00207ECD"/>
    <w:rsid w:val="0021025C"/>
    <w:rsid w:val="0021054A"/>
    <w:rsid w:val="00210955"/>
    <w:rsid w:val="00212BA9"/>
    <w:rsid w:val="00213055"/>
    <w:rsid w:val="00213168"/>
    <w:rsid w:val="00213705"/>
    <w:rsid w:val="00213DB9"/>
    <w:rsid w:val="00213E69"/>
    <w:rsid w:val="00214005"/>
    <w:rsid w:val="002145DF"/>
    <w:rsid w:val="00214789"/>
    <w:rsid w:val="00214DAA"/>
    <w:rsid w:val="00215FB1"/>
    <w:rsid w:val="00216183"/>
    <w:rsid w:val="00216926"/>
    <w:rsid w:val="00216FA6"/>
    <w:rsid w:val="00217224"/>
    <w:rsid w:val="00217246"/>
    <w:rsid w:val="002174FF"/>
    <w:rsid w:val="002175EF"/>
    <w:rsid w:val="0021773A"/>
    <w:rsid w:val="00220869"/>
    <w:rsid w:val="002212C1"/>
    <w:rsid w:val="002213B6"/>
    <w:rsid w:val="0022163C"/>
    <w:rsid w:val="00221DB0"/>
    <w:rsid w:val="00222298"/>
    <w:rsid w:val="002225E0"/>
    <w:rsid w:val="0022260B"/>
    <w:rsid w:val="00222774"/>
    <w:rsid w:val="00222BAA"/>
    <w:rsid w:val="002230A6"/>
    <w:rsid w:val="0022429E"/>
    <w:rsid w:val="0022465B"/>
    <w:rsid w:val="00224687"/>
    <w:rsid w:val="00224E1B"/>
    <w:rsid w:val="002252BC"/>
    <w:rsid w:val="00225913"/>
    <w:rsid w:val="00225E44"/>
    <w:rsid w:val="00226118"/>
    <w:rsid w:val="002264D1"/>
    <w:rsid w:val="002279BF"/>
    <w:rsid w:val="00227E48"/>
    <w:rsid w:val="0023010C"/>
    <w:rsid w:val="002303F2"/>
    <w:rsid w:val="002306B5"/>
    <w:rsid w:val="00231256"/>
    <w:rsid w:val="0023140D"/>
    <w:rsid w:val="00231A49"/>
    <w:rsid w:val="00231C07"/>
    <w:rsid w:val="002325AD"/>
    <w:rsid w:val="00232823"/>
    <w:rsid w:val="002330B1"/>
    <w:rsid w:val="00233563"/>
    <w:rsid w:val="002336DA"/>
    <w:rsid w:val="00233ECD"/>
    <w:rsid w:val="00234136"/>
    <w:rsid w:val="00234781"/>
    <w:rsid w:val="00234782"/>
    <w:rsid w:val="00234A41"/>
    <w:rsid w:val="00234FB6"/>
    <w:rsid w:val="002353D4"/>
    <w:rsid w:val="00235F4D"/>
    <w:rsid w:val="00236627"/>
    <w:rsid w:val="00236B9F"/>
    <w:rsid w:val="00236D7B"/>
    <w:rsid w:val="00236EC8"/>
    <w:rsid w:val="002372BF"/>
    <w:rsid w:val="00237B9C"/>
    <w:rsid w:val="00241690"/>
    <w:rsid w:val="002418F8"/>
    <w:rsid w:val="0024213A"/>
    <w:rsid w:val="0024217E"/>
    <w:rsid w:val="002422EF"/>
    <w:rsid w:val="00242722"/>
    <w:rsid w:val="00242CC6"/>
    <w:rsid w:val="00242DD3"/>
    <w:rsid w:val="0024376B"/>
    <w:rsid w:val="002437C7"/>
    <w:rsid w:val="00243E7B"/>
    <w:rsid w:val="002450C2"/>
    <w:rsid w:val="0024534E"/>
    <w:rsid w:val="0024541A"/>
    <w:rsid w:val="002454D8"/>
    <w:rsid w:val="00245DC2"/>
    <w:rsid w:val="00245FED"/>
    <w:rsid w:val="002464FA"/>
    <w:rsid w:val="00246CAE"/>
    <w:rsid w:val="00247056"/>
    <w:rsid w:val="002477B9"/>
    <w:rsid w:val="0025040F"/>
    <w:rsid w:val="002507ED"/>
    <w:rsid w:val="00250AF0"/>
    <w:rsid w:val="00250C86"/>
    <w:rsid w:val="00250E5D"/>
    <w:rsid w:val="00251228"/>
    <w:rsid w:val="00251369"/>
    <w:rsid w:val="002515D0"/>
    <w:rsid w:val="0025221E"/>
    <w:rsid w:val="002525C1"/>
    <w:rsid w:val="0025264A"/>
    <w:rsid w:val="002527DA"/>
    <w:rsid w:val="002528F0"/>
    <w:rsid w:val="0025292C"/>
    <w:rsid w:val="00252A41"/>
    <w:rsid w:val="00252CD0"/>
    <w:rsid w:val="0025303A"/>
    <w:rsid w:val="00253085"/>
    <w:rsid w:val="002540AF"/>
    <w:rsid w:val="0025411F"/>
    <w:rsid w:val="002541D6"/>
    <w:rsid w:val="002541F2"/>
    <w:rsid w:val="00254672"/>
    <w:rsid w:val="00254712"/>
    <w:rsid w:val="00254A34"/>
    <w:rsid w:val="00254C58"/>
    <w:rsid w:val="00254D47"/>
    <w:rsid w:val="002550B2"/>
    <w:rsid w:val="002559FD"/>
    <w:rsid w:val="002564F1"/>
    <w:rsid w:val="00256795"/>
    <w:rsid w:val="00256892"/>
    <w:rsid w:val="0025691D"/>
    <w:rsid w:val="00256A3C"/>
    <w:rsid w:val="00256A9A"/>
    <w:rsid w:val="00256AB6"/>
    <w:rsid w:val="0025792C"/>
    <w:rsid w:val="00257C70"/>
    <w:rsid w:val="00257E55"/>
    <w:rsid w:val="00257EE4"/>
    <w:rsid w:val="00257F91"/>
    <w:rsid w:val="002601B7"/>
    <w:rsid w:val="002602B3"/>
    <w:rsid w:val="00261447"/>
    <w:rsid w:val="002621CB"/>
    <w:rsid w:val="002623C0"/>
    <w:rsid w:val="0026257A"/>
    <w:rsid w:val="002628EC"/>
    <w:rsid w:val="002629F1"/>
    <w:rsid w:val="00263402"/>
    <w:rsid w:val="00263CCE"/>
    <w:rsid w:val="00265A93"/>
    <w:rsid w:val="00265BF6"/>
    <w:rsid w:val="00265D05"/>
    <w:rsid w:val="00265E64"/>
    <w:rsid w:val="00265EF7"/>
    <w:rsid w:val="00265F70"/>
    <w:rsid w:val="00266960"/>
    <w:rsid w:val="00266B5B"/>
    <w:rsid w:val="002675F3"/>
    <w:rsid w:val="00270337"/>
    <w:rsid w:val="0027044D"/>
    <w:rsid w:val="002706FC"/>
    <w:rsid w:val="002707FE"/>
    <w:rsid w:val="00270A8B"/>
    <w:rsid w:val="00270E2C"/>
    <w:rsid w:val="0027105B"/>
    <w:rsid w:val="00271378"/>
    <w:rsid w:val="00271F27"/>
    <w:rsid w:val="00271FF9"/>
    <w:rsid w:val="00272B2C"/>
    <w:rsid w:val="00272F12"/>
    <w:rsid w:val="00273161"/>
    <w:rsid w:val="00273681"/>
    <w:rsid w:val="00274543"/>
    <w:rsid w:val="00274AA4"/>
    <w:rsid w:val="00275046"/>
    <w:rsid w:val="00275410"/>
    <w:rsid w:val="002756E3"/>
    <w:rsid w:val="00275D7A"/>
    <w:rsid w:val="00276719"/>
    <w:rsid w:val="002768E7"/>
    <w:rsid w:val="002769F5"/>
    <w:rsid w:val="00276EF3"/>
    <w:rsid w:val="00277014"/>
    <w:rsid w:val="00277091"/>
    <w:rsid w:val="00277DB1"/>
    <w:rsid w:val="002809A0"/>
    <w:rsid w:val="00280AA4"/>
    <w:rsid w:val="00280F21"/>
    <w:rsid w:val="00281161"/>
    <w:rsid w:val="00281EB1"/>
    <w:rsid w:val="00281F67"/>
    <w:rsid w:val="0028232E"/>
    <w:rsid w:val="00282751"/>
    <w:rsid w:val="0028343E"/>
    <w:rsid w:val="00283A5A"/>
    <w:rsid w:val="00283A65"/>
    <w:rsid w:val="00283CEA"/>
    <w:rsid w:val="00283D8E"/>
    <w:rsid w:val="00283EEB"/>
    <w:rsid w:val="00283F27"/>
    <w:rsid w:val="00284021"/>
    <w:rsid w:val="00284256"/>
    <w:rsid w:val="002842AE"/>
    <w:rsid w:val="0028450D"/>
    <w:rsid w:val="00284603"/>
    <w:rsid w:val="00284A10"/>
    <w:rsid w:val="00284E5B"/>
    <w:rsid w:val="00285263"/>
    <w:rsid w:val="002855A4"/>
    <w:rsid w:val="002855F2"/>
    <w:rsid w:val="00285EA6"/>
    <w:rsid w:val="00285ECA"/>
    <w:rsid w:val="0028647F"/>
    <w:rsid w:val="00286723"/>
    <w:rsid w:val="0028684C"/>
    <w:rsid w:val="00286DF9"/>
    <w:rsid w:val="00286F14"/>
    <w:rsid w:val="002875C3"/>
    <w:rsid w:val="002909E7"/>
    <w:rsid w:val="00290A96"/>
    <w:rsid w:val="00290B58"/>
    <w:rsid w:val="002916B8"/>
    <w:rsid w:val="00291B8D"/>
    <w:rsid w:val="00292053"/>
    <w:rsid w:val="002922D0"/>
    <w:rsid w:val="002928A9"/>
    <w:rsid w:val="00292BF8"/>
    <w:rsid w:val="00293086"/>
    <w:rsid w:val="00293160"/>
    <w:rsid w:val="00293653"/>
    <w:rsid w:val="00293CDB"/>
    <w:rsid w:val="00293D9C"/>
    <w:rsid w:val="002941BC"/>
    <w:rsid w:val="00294C0F"/>
    <w:rsid w:val="00294E36"/>
    <w:rsid w:val="00294F80"/>
    <w:rsid w:val="002950F1"/>
    <w:rsid w:val="00295162"/>
    <w:rsid w:val="00295677"/>
    <w:rsid w:val="00295A42"/>
    <w:rsid w:val="00297167"/>
    <w:rsid w:val="002971FE"/>
    <w:rsid w:val="00297433"/>
    <w:rsid w:val="002975F6"/>
    <w:rsid w:val="002978C9"/>
    <w:rsid w:val="00297C34"/>
    <w:rsid w:val="002A0246"/>
    <w:rsid w:val="002A0472"/>
    <w:rsid w:val="002A2047"/>
    <w:rsid w:val="002A23CF"/>
    <w:rsid w:val="002A2499"/>
    <w:rsid w:val="002A2C0D"/>
    <w:rsid w:val="002A32C7"/>
    <w:rsid w:val="002A38D0"/>
    <w:rsid w:val="002A393C"/>
    <w:rsid w:val="002A3B8D"/>
    <w:rsid w:val="002A5083"/>
    <w:rsid w:val="002A52E9"/>
    <w:rsid w:val="002A6526"/>
    <w:rsid w:val="002A65CD"/>
    <w:rsid w:val="002A68C8"/>
    <w:rsid w:val="002A6C80"/>
    <w:rsid w:val="002A7A0D"/>
    <w:rsid w:val="002A7B03"/>
    <w:rsid w:val="002A7ECD"/>
    <w:rsid w:val="002B0099"/>
    <w:rsid w:val="002B00B8"/>
    <w:rsid w:val="002B0180"/>
    <w:rsid w:val="002B0640"/>
    <w:rsid w:val="002B0CE1"/>
    <w:rsid w:val="002B15CC"/>
    <w:rsid w:val="002B1647"/>
    <w:rsid w:val="002B172F"/>
    <w:rsid w:val="002B1B0B"/>
    <w:rsid w:val="002B24A2"/>
    <w:rsid w:val="002B2A87"/>
    <w:rsid w:val="002B3491"/>
    <w:rsid w:val="002B38A6"/>
    <w:rsid w:val="002B3969"/>
    <w:rsid w:val="002B3B99"/>
    <w:rsid w:val="002B3C6E"/>
    <w:rsid w:val="002B40AB"/>
    <w:rsid w:val="002B49B3"/>
    <w:rsid w:val="002B4F94"/>
    <w:rsid w:val="002B52A8"/>
    <w:rsid w:val="002B5518"/>
    <w:rsid w:val="002B60F7"/>
    <w:rsid w:val="002B7B65"/>
    <w:rsid w:val="002B7F76"/>
    <w:rsid w:val="002B7F89"/>
    <w:rsid w:val="002C06F1"/>
    <w:rsid w:val="002C1541"/>
    <w:rsid w:val="002C2658"/>
    <w:rsid w:val="002C29A3"/>
    <w:rsid w:val="002C29E7"/>
    <w:rsid w:val="002C2DD9"/>
    <w:rsid w:val="002C39AD"/>
    <w:rsid w:val="002C3C4E"/>
    <w:rsid w:val="002C4B46"/>
    <w:rsid w:val="002C5588"/>
    <w:rsid w:val="002C591E"/>
    <w:rsid w:val="002C63E8"/>
    <w:rsid w:val="002C6438"/>
    <w:rsid w:val="002C6A9D"/>
    <w:rsid w:val="002C6D74"/>
    <w:rsid w:val="002C7606"/>
    <w:rsid w:val="002C7656"/>
    <w:rsid w:val="002C7669"/>
    <w:rsid w:val="002C7E2B"/>
    <w:rsid w:val="002D0AAA"/>
    <w:rsid w:val="002D0F7B"/>
    <w:rsid w:val="002D11E9"/>
    <w:rsid w:val="002D1350"/>
    <w:rsid w:val="002D213B"/>
    <w:rsid w:val="002D252A"/>
    <w:rsid w:val="002D2D11"/>
    <w:rsid w:val="002D2EDC"/>
    <w:rsid w:val="002D338B"/>
    <w:rsid w:val="002D36A8"/>
    <w:rsid w:val="002D3B6F"/>
    <w:rsid w:val="002D4801"/>
    <w:rsid w:val="002D4BF2"/>
    <w:rsid w:val="002D4C2F"/>
    <w:rsid w:val="002D4E83"/>
    <w:rsid w:val="002D5217"/>
    <w:rsid w:val="002D5256"/>
    <w:rsid w:val="002D53E3"/>
    <w:rsid w:val="002D63C1"/>
    <w:rsid w:val="002D68B4"/>
    <w:rsid w:val="002D7843"/>
    <w:rsid w:val="002D7D95"/>
    <w:rsid w:val="002E000F"/>
    <w:rsid w:val="002E0313"/>
    <w:rsid w:val="002E0672"/>
    <w:rsid w:val="002E0E98"/>
    <w:rsid w:val="002E1406"/>
    <w:rsid w:val="002E2647"/>
    <w:rsid w:val="002E27EC"/>
    <w:rsid w:val="002E2847"/>
    <w:rsid w:val="002E289E"/>
    <w:rsid w:val="002E2AA5"/>
    <w:rsid w:val="002E2AFB"/>
    <w:rsid w:val="002E2D40"/>
    <w:rsid w:val="002E3557"/>
    <w:rsid w:val="002E3D32"/>
    <w:rsid w:val="002E4F37"/>
    <w:rsid w:val="002E55B8"/>
    <w:rsid w:val="002E72B5"/>
    <w:rsid w:val="002E7E0A"/>
    <w:rsid w:val="002F0412"/>
    <w:rsid w:val="002F0D81"/>
    <w:rsid w:val="002F10D7"/>
    <w:rsid w:val="002F13F1"/>
    <w:rsid w:val="002F1745"/>
    <w:rsid w:val="002F1AA9"/>
    <w:rsid w:val="002F1C29"/>
    <w:rsid w:val="002F1D90"/>
    <w:rsid w:val="002F1EC2"/>
    <w:rsid w:val="002F202D"/>
    <w:rsid w:val="002F2117"/>
    <w:rsid w:val="002F21F2"/>
    <w:rsid w:val="002F2249"/>
    <w:rsid w:val="002F2A5B"/>
    <w:rsid w:val="002F2C37"/>
    <w:rsid w:val="002F2D32"/>
    <w:rsid w:val="002F2FA5"/>
    <w:rsid w:val="002F330B"/>
    <w:rsid w:val="002F4160"/>
    <w:rsid w:val="002F42EF"/>
    <w:rsid w:val="002F463F"/>
    <w:rsid w:val="002F498E"/>
    <w:rsid w:val="002F61AF"/>
    <w:rsid w:val="002F63D5"/>
    <w:rsid w:val="002F6BC7"/>
    <w:rsid w:val="002F7524"/>
    <w:rsid w:val="002F776D"/>
    <w:rsid w:val="002F7BCB"/>
    <w:rsid w:val="002F7CD0"/>
    <w:rsid w:val="003000C3"/>
    <w:rsid w:val="003006C6"/>
    <w:rsid w:val="00300FC5"/>
    <w:rsid w:val="00301687"/>
    <w:rsid w:val="00301E0E"/>
    <w:rsid w:val="00302116"/>
    <w:rsid w:val="00302393"/>
    <w:rsid w:val="00302998"/>
    <w:rsid w:val="00302D27"/>
    <w:rsid w:val="00302F5B"/>
    <w:rsid w:val="00302FEE"/>
    <w:rsid w:val="00303BB8"/>
    <w:rsid w:val="0030403C"/>
    <w:rsid w:val="00304122"/>
    <w:rsid w:val="0030423D"/>
    <w:rsid w:val="00305157"/>
    <w:rsid w:val="00305192"/>
    <w:rsid w:val="003051F1"/>
    <w:rsid w:val="00305371"/>
    <w:rsid w:val="003056EE"/>
    <w:rsid w:val="00305F4E"/>
    <w:rsid w:val="00305FE2"/>
    <w:rsid w:val="00306AC3"/>
    <w:rsid w:val="00306F79"/>
    <w:rsid w:val="003071B8"/>
    <w:rsid w:val="003075A4"/>
    <w:rsid w:val="003078D1"/>
    <w:rsid w:val="00307FBD"/>
    <w:rsid w:val="003106A2"/>
    <w:rsid w:val="003106E8"/>
    <w:rsid w:val="0031082C"/>
    <w:rsid w:val="0031112C"/>
    <w:rsid w:val="0031183E"/>
    <w:rsid w:val="0031241A"/>
    <w:rsid w:val="00312916"/>
    <w:rsid w:val="00312B45"/>
    <w:rsid w:val="00312DBC"/>
    <w:rsid w:val="003136CF"/>
    <w:rsid w:val="00314439"/>
    <w:rsid w:val="0031490E"/>
    <w:rsid w:val="00315549"/>
    <w:rsid w:val="00315651"/>
    <w:rsid w:val="003156C5"/>
    <w:rsid w:val="003156F0"/>
    <w:rsid w:val="00315CB8"/>
    <w:rsid w:val="00315ED3"/>
    <w:rsid w:val="00316E88"/>
    <w:rsid w:val="0031719C"/>
    <w:rsid w:val="0031745D"/>
    <w:rsid w:val="0032079E"/>
    <w:rsid w:val="00320A85"/>
    <w:rsid w:val="00320ABA"/>
    <w:rsid w:val="00320FFE"/>
    <w:rsid w:val="00321274"/>
    <w:rsid w:val="003214E2"/>
    <w:rsid w:val="00321548"/>
    <w:rsid w:val="003219CB"/>
    <w:rsid w:val="00322128"/>
    <w:rsid w:val="00322312"/>
    <w:rsid w:val="00322850"/>
    <w:rsid w:val="00322F21"/>
    <w:rsid w:val="0032309B"/>
    <w:rsid w:val="003233CA"/>
    <w:rsid w:val="00323A27"/>
    <w:rsid w:val="00323AB2"/>
    <w:rsid w:val="00324211"/>
    <w:rsid w:val="003242ED"/>
    <w:rsid w:val="00324451"/>
    <w:rsid w:val="00324D3A"/>
    <w:rsid w:val="00324F17"/>
    <w:rsid w:val="00325951"/>
    <w:rsid w:val="00325DDC"/>
    <w:rsid w:val="00326FB7"/>
    <w:rsid w:val="003273F3"/>
    <w:rsid w:val="00327D90"/>
    <w:rsid w:val="003308C6"/>
    <w:rsid w:val="003308FF"/>
    <w:rsid w:val="003309BE"/>
    <w:rsid w:val="00330A68"/>
    <w:rsid w:val="003312CB"/>
    <w:rsid w:val="00331552"/>
    <w:rsid w:val="00331660"/>
    <w:rsid w:val="003316EF"/>
    <w:rsid w:val="00331AA9"/>
    <w:rsid w:val="00331B49"/>
    <w:rsid w:val="003320E4"/>
    <w:rsid w:val="00332E78"/>
    <w:rsid w:val="0033317F"/>
    <w:rsid w:val="003332B1"/>
    <w:rsid w:val="00333744"/>
    <w:rsid w:val="003338BB"/>
    <w:rsid w:val="00333927"/>
    <w:rsid w:val="00333B7F"/>
    <w:rsid w:val="003344A1"/>
    <w:rsid w:val="00334B2B"/>
    <w:rsid w:val="00335673"/>
    <w:rsid w:val="00335894"/>
    <w:rsid w:val="00335AD7"/>
    <w:rsid w:val="0033609A"/>
    <w:rsid w:val="00336A36"/>
    <w:rsid w:val="00336D0C"/>
    <w:rsid w:val="0033739C"/>
    <w:rsid w:val="0034021A"/>
    <w:rsid w:val="003408CE"/>
    <w:rsid w:val="003409AF"/>
    <w:rsid w:val="00340B30"/>
    <w:rsid w:val="00341619"/>
    <w:rsid w:val="00341A8D"/>
    <w:rsid w:val="00342072"/>
    <w:rsid w:val="00342380"/>
    <w:rsid w:val="00342C94"/>
    <w:rsid w:val="00342D05"/>
    <w:rsid w:val="00342E30"/>
    <w:rsid w:val="003439DF"/>
    <w:rsid w:val="00343AA8"/>
    <w:rsid w:val="00343CDD"/>
    <w:rsid w:val="00345DF6"/>
    <w:rsid w:val="00345E93"/>
    <w:rsid w:val="00345F37"/>
    <w:rsid w:val="00346518"/>
    <w:rsid w:val="003466BE"/>
    <w:rsid w:val="003468C5"/>
    <w:rsid w:val="00346C44"/>
    <w:rsid w:val="00346E7E"/>
    <w:rsid w:val="003470EE"/>
    <w:rsid w:val="003471D1"/>
    <w:rsid w:val="00347582"/>
    <w:rsid w:val="00347D5C"/>
    <w:rsid w:val="00347DA2"/>
    <w:rsid w:val="00351216"/>
    <w:rsid w:val="00351EFC"/>
    <w:rsid w:val="0035204A"/>
    <w:rsid w:val="00352F4C"/>
    <w:rsid w:val="0035348A"/>
    <w:rsid w:val="00353930"/>
    <w:rsid w:val="003540A9"/>
    <w:rsid w:val="00354853"/>
    <w:rsid w:val="00354884"/>
    <w:rsid w:val="00354F3E"/>
    <w:rsid w:val="0035521B"/>
    <w:rsid w:val="00355E9F"/>
    <w:rsid w:val="00356141"/>
    <w:rsid w:val="003562E8"/>
    <w:rsid w:val="0035659E"/>
    <w:rsid w:val="00357F0E"/>
    <w:rsid w:val="00360626"/>
    <w:rsid w:val="00361948"/>
    <w:rsid w:val="00361EBB"/>
    <w:rsid w:val="00362548"/>
    <w:rsid w:val="0036280F"/>
    <w:rsid w:val="003628BE"/>
    <w:rsid w:val="00362EBD"/>
    <w:rsid w:val="00363382"/>
    <w:rsid w:val="003640E8"/>
    <w:rsid w:val="0036447F"/>
    <w:rsid w:val="00364908"/>
    <w:rsid w:val="00364984"/>
    <w:rsid w:val="003657F4"/>
    <w:rsid w:val="00365D0A"/>
    <w:rsid w:val="00365E2E"/>
    <w:rsid w:val="003660C2"/>
    <w:rsid w:val="00366A19"/>
    <w:rsid w:val="00366A3E"/>
    <w:rsid w:val="00366B00"/>
    <w:rsid w:val="0036778A"/>
    <w:rsid w:val="00367ED6"/>
    <w:rsid w:val="00367FB8"/>
    <w:rsid w:val="00370AC5"/>
    <w:rsid w:val="00371D24"/>
    <w:rsid w:val="00371E64"/>
    <w:rsid w:val="003726C0"/>
    <w:rsid w:val="0037293B"/>
    <w:rsid w:val="003733B9"/>
    <w:rsid w:val="0037362F"/>
    <w:rsid w:val="00373793"/>
    <w:rsid w:val="00373DE8"/>
    <w:rsid w:val="003741E0"/>
    <w:rsid w:val="0037496F"/>
    <w:rsid w:val="003749B4"/>
    <w:rsid w:val="00374CCC"/>
    <w:rsid w:val="00374DBE"/>
    <w:rsid w:val="00375AD5"/>
    <w:rsid w:val="00376465"/>
    <w:rsid w:val="003767F8"/>
    <w:rsid w:val="003769A0"/>
    <w:rsid w:val="00376F21"/>
    <w:rsid w:val="00376F38"/>
    <w:rsid w:val="00377075"/>
    <w:rsid w:val="003771D7"/>
    <w:rsid w:val="003773B1"/>
    <w:rsid w:val="003773D2"/>
    <w:rsid w:val="003773D3"/>
    <w:rsid w:val="00377BA2"/>
    <w:rsid w:val="00380120"/>
    <w:rsid w:val="00380172"/>
    <w:rsid w:val="00380574"/>
    <w:rsid w:val="00380693"/>
    <w:rsid w:val="00380C3F"/>
    <w:rsid w:val="00380E1F"/>
    <w:rsid w:val="00380E78"/>
    <w:rsid w:val="00381D2B"/>
    <w:rsid w:val="00383101"/>
    <w:rsid w:val="00383213"/>
    <w:rsid w:val="00383395"/>
    <w:rsid w:val="003834D9"/>
    <w:rsid w:val="003835FA"/>
    <w:rsid w:val="003837BA"/>
    <w:rsid w:val="003841ED"/>
    <w:rsid w:val="00384596"/>
    <w:rsid w:val="0038494F"/>
    <w:rsid w:val="00384B3C"/>
    <w:rsid w:val="00384D13"/>
    <w:rsid w:val="00384D73"/>
    <w:rsid w:val="003857EF"/>
    <w:rsid w:val="0038585C"/>
    <w:rsid w:val="0038595C"/>
    <w:rsid w:val="00385A4B"/>
    <w:rsid w:val="00385D70"/>
    <w:rsid w:val="00385F57"/>
    <w:rsid w:val="003863B1"/>
    <w:rsid w:val="003863C2"/>
    <w:rsid w:val="0038647F"/>
    <w:rsid w:val="003867DE"/>
    <w:rsid w:val="00386826"/>
    <w:rsid w:val="00386874"/>
    <w:rsid w:val="00386939"/>
    <w:rsid w:val="00386B67"/>
    <w:rsid w:val="0038728C"/>
    <w:rsid w:val="00387560"/>
    <w:rsid w:val="00390573"/>
    <w:rsid w:val="00390AA8"/>
    <w:rsid w:val="00391107"/>
    <w:rsid w:val="00391533"/>
    <w:rsid w:val="003917F3"/>
    <w:rsid w:val="00391F80"/>
    <w:rsid w:val="00392608"/>
    <w:rsid w:val="00392ADC"/>
    <w:rsid w:val="003933B3"/>
    <w:rsid w:val="003935E7"/>
    <w:rsid w:val="00393690"/>
    <w:rsid w:val="003936B8"/>
    <w:rsid w:val="003936E8"/>
    <w:rsid w:val="00393BAE"/>
    <w:rsid w:val="00393DE4"/>
    <w:rsid w:val="00393E94"/>
    <w:rsid w:val="00394C21"/>
    <w:rsid w:val="00394EAF"/>
    <w:rsid w:val="0039599E"/>
    <w:rsid w:val="00395F52"/>
    <w:rsid w:val="003966A0"/>
    <w:rsid w:val="00396907"/>
    <w:rsid w:val="0039708C"/>
    <w:rsid w:val="0039715D"/>
    <w:rsid w:val="0039732C"/>
    <w:rsid w:val="00397C49"/>
    <w:rsid w:val="00397CE4"/>
    <w:rsid w:val="00397E18"/>
    <w:rsid w:val="00397F6D"/>
    <w:rsid w:val="003A08A2"/>
    <w:rsid w:val="003A0A78"/>
    <w:rsid w:val="003A100D"/>
    <w:rsid w:val="003A1519"/>
    <w:rsid w:val="003A153A"/>
    <w:rsid w:val="003A2177"/>
    <w:rsid w:val="003A2347"/>
    <w:rsid w:val="003A235D"/>
    <w:rsid w:val="003A252E"/>
    <w:rsid w:val="003A25DA"/>
    <w:rsid w:val="003A26C7"/>
    <w:rsid w:val="003A2ED8"/>
    <w:rsid w:val="003A34E1"/>
    <w:rsid w:val="003A3644"/>
    <w:rsid w:val="003A3D00"/>
    <w:rsid w:val="003A4014"/>
    <w:rsid w:val="003A44ED"/>
    <w:rsid w:val="003A4F51"/>
    <w:rsid w:val="003A5438"/>
    <w:rsid w:val="003A5454"/>
    <w:rsid w:val="003A5487"/>
    <w:rsid w:val="003A5679"/>
    <w:rsid w:val="003A616D"/>
    <w:rsid w:val="003A61CC"/>
    <w:rsid w:val="003A75E0"/>
    <w:rsid w:val="003A7603"/>
    <w:rsid w:val="003A7CD4"/>
    <w:rsid w:val="003A7DCC"/>
    <w:rsid w:val="003B0123"/>
    <w:rsid w:val="003B044F"/>
    <w:rsid w:val="003B070F"/>
    <w:rsid w:val="003B0763"/>
    <w:rsid w:val="003B0771"/>
    <w:rsid w:val="003B093D"/>
    <w:rsid w:val="003B1540"/>
    <w:rsid w:val="003B15E9"/>
    <w:rsid w:val="003B197A"/>
    <w:rsid w:val="003B1B12"/>
    <w:rsid w:val="003B1FE0"/>
    <w:rsid w:val="003B34EC"/>
    <w:rsid w:val="003B428C"/>
    <w:rsid w:val="003B4A26"/>
    <w:rsid w:val="003B4A70"/>
    <w:rsid w:val="003B4ECD"/>
    <w:rsid w:val="003B4F8D"/>
    <w:rsid w:val="003B56C8"/>
    <w:rsid w:val="003B5E93"/>
    <w:rsid w:val="003B5EF4"/>
    <w:rsid w:val="003B615C"/>
    <w:rsid w:val="003B6508"/>
    <w:rsid w:val="003B68D8"/>
    <w:rsid w:val="003B78CA"/>
    <w:rsid w:val="003B7B01"/>
    <w:rsid w:val="003B7D3C"/>
    <w:rsid w:val="003B7E0F"/>
    <w:rsid w:val="003B7F1D"/>
    <w:rsid w:val="003B7F50"/>
    <w:rsid w:val="003C020F"/>
    <w:rsid w:val="003C2173"/>
    <w:rsid w:val="003C266F"/>
    <w:rsid w:val="003C27C7"/>
    <w:rsid w:val="003C447B"/>
    <w:rsid w:val="003C4772"/>
    <w:rsid w:val="003C4B68"/>
    <w:rsid w:val="003C50B9"/>
    <w:rsid w:val="003C751B"/>
    <w:rsid w:val="003C7F74"/>
    <w:rsid w:val="003D0202"/>
    <w:rsid w:val="003D0C06"/>
    <w:rsid w:val="003D0EC4"/>
    <w:rsid w:val="003D100E"/>
    <w:rsid w:val="003D1B70"/>
    <w:rsid w:val="003D2019"/>
    <w:rsid w:val="003D22EA"/>
    <w:rsid w:val="003D2406"/>
    <w:rsid w:val="003D2D65"/>
    <w:rsid w:val="003D3011"/>
    <w:rsid w:val="003D36BA"/>
    <w:rsid w:val="003D3B36"/>
    <w:rsid w:val="003D4C41"/>
    <w:rsid w:val="003D59E0"/>
    <w:rsid w:val="003D5B58"/>
    <w:rsid w:val="003D620D"/>
    <w:rsid w:val="003D6263"/>
    <w:rsid w:val="003D6467"/>
    <w:rsid w:val="003D75C2"/>
    <w:rsid w:val="003D79AC"/>
    <w:rsid w:val="003D7BB9"/>
    <w:rsid w:val="003D7E94"/>
    <w:rsid w:val="003E06CE"/>
    <w:rsid w:val="003E0C26"/>
    <w:rsid w:val="003E1DBA"/>
    <w:rsid w:val="003E24FC"/>
    <w:rsid w:val="003E27CE"/>
    <w:rsid w:val="003E31B9"/>
    <w:rsid w:val="003E3B8D"/>
    <w:rsid w:val="003E4273"/>
    <w:rsid w:val="003E469D"/>
    <w:rsid w:val="003E4FDF"/>
    <w:rsid w:val="003E53D3"/>
    <w:rsid w:val="003E58B9"/>
    <w:rsid w:val="003E5A34"/>
    <w:rsid w:val="003E5C76"/>
    <w:rsid w:val="003E5CD5"/>
    <w:rsid w:val="003E60C0"/>
    <w:rsid w:val="003E6122"/>
    <w:rsid w:val="003E6561"/>
    <w:rsid w:val="003E71C6"/>
    <w:rsid w:val="003E764E"/>
    <w:rsid w:val="003F0278"/>
    <w:rsid w:val="003F02CA"/>
    <w:rsid w:val="003F04B4"/>
    <w:rsid w:val="003F086F"/>
    <w:rsid w:val="003F099C"/>
    <w:rsid w:val="003F0A5C"/>
    <w:rsid w:val="003F0F1C"/>
    <w:rsid w:val="003F161D"/>
    <w:rsid w:val="003F17B9"/>
    <w:rsid w:val="003F1A36"/>
    <w:rsid w:val="003F1EC4"/>
    <w:rsid w:val="003F20FD"/>
    <w:rsid w:val="003F21D4"/>
    <w:rsid w:val="003F2293"/>
    <w:rsid w:val="003F23A9"/>
    <w:rsid w:val="003F3D3E"/>
    <w:rsid w:val="003F4380"/>
    <w:rsid w:val="003F4788"/>
    <w:rsid w:val="003F4D96"/>
    <w:rsid w:val="003F4F38"/>
    <w:rsid w:val="003F5B82"/>
    <w:rsid w:val="003F5D3B"/>
    <w:rsid w:val="003F5DAE"/>
    <w:rsid w:val="003F7734"/>
    <w:rsid w:val="003F7B89"/>
    <w:rsid w:val="003F7DAF"/>
    <w:rsid w:val="004008F3"/>
    <w:rsid w:val="004014FC"/>
    <w:rsid w:val="004016CF"/>
    <w:rsid w:val="00401747"/>
    <w:rsid w:val="004017BD"/>
    <w:rsid w:val="00402E70"/>
    <w:rsid w:val="0040308F"/>
    <w:rsid w:val="004033B4"/>
    <w:rsid w:val="00403B91"/>
    <w:rsid w:val="00404733"/>
    <w:rsid w:val="004049C8"/>
    <w:rsid w:val="00404CC8"/>
    <w:rsid w:val="00405022"/>
    <w:rsid w:val="00405128"/>
    <w:rsid w:val="004054BD"/>
    <w:rsid w:val="00405C75"/>
    <w:rsid w:val="004060B8"/>
    <w:rsid w:val="00406D5A"/>
    <w:rsid w:val="00407046"/>
    <w:rsid w:val="004070BC"/>
    <w:rsid w:val="00407482"/>
    <w:rsid w:val="004075D3"/>
    <w:rsid w:val="00407D3B"/>
    <w:rsid w:val="00407FC3"/>
    <w:rsid w:val="00410865"/>
    <w:rsid w:val="00410FD3"/>
    <w:rsid w:val="00411079"/>
    <w:rsid w:val="0041140E"/>
    <w:rsid w:val="00411418"/>
    <w:rsid w:val="00411EC1"/>
    <w:rsid w:val="00411FEC"/>
    <w:rsid w:val="00412A75"/>
    <w:rsid w:val="00412BC3"/>
    <w:rsid w:val="0041361A"/>
    <w:rsid w:val="00413903"/>
    <w:rsid w:val="00413B0A"/>
    <w:rsid w:val="00414D37"/>
    <w:rsid w:val="00415488"/>
    <w:rsid w:val="0041554D"/>
    <w:rsid w:val="004156A2"/>
    <w:rsid w:val="004165AB"/>
    <w:rsid w:val="00416F8F"/>
    <w:rsid w:val="0041782C"/>
    <w:rsid w:val="00417A00"/>
    <w:rsid w:val="00417AEB"/>
    <w:rsid w:val="004211BB"/>
    <w:rsid w:val="00421371"/>
    <w:rsid w:val="0042144C"/>
    <w:rsid w:val="00421866"/>
    <w:rsid w:val="00422037"/>
    <w:rsid w:val="00422080"/>
    <w:rsid w:val="00422133"/>
    <w:rsid w:val="00422680"/>
    <w:rsid w:val="0042286F"/>
    <w:rsid w:val="00423534"/>
    <w:rsid w:val="0042374D"/>
    <w:rsid w:val="00423F84"/>
    <w:rsid w:val="004240D9"/>
    <w:rsid w:val="004247BD"/>
    <w:rsid w:val="004249DC"/>
    <w:rsid w:val="004252E7"/>
    <w:rsid w:val="0042560A"/>
    <w:rsid w:val="00425911"/>
    <w:rsid w:val="00425B8D"/>
    <w:rsid w:val="00426199"/>
    <w:rsid w:val="00426677"/>
    <w:rsid w:val="00426832"/>
    <w:rsid w:val="00426AF2"/>
    <w:rsid w:val="00426F9C"/>
    <w:rsid w:val="00426FC6"/>
    <w:rsid w:val="00426FD5"/>
    <w:rsid w:val="004275D2"/>
    <w:rsid w:val="00427B19"/>
    <w:rsid w:val="0043011B"/>
    <w:rsid w:val="0043018F"/>
    <w:rsid w:val="004302D3"/>
    <w:rsid w:val="004303AD"/>
    <w:rsid w:val="00430FAA"/>
    <w:rsid w:val="004310A3"/>
    <w:rsid w:val="00432042"/>
    <w:rsid w:val="004320A0"/>
    <w:rsid w:val="004325A6"/>
    <w:rsid w:val="004327EE"/>
    <w:rsid w:val="00432907"/>
    <w:rsid w:val="004330DD"/>
    <w:rsid w:val="00433F7A"/>
    <w:rsid w:val="0043499C"/>
    <w:rsid w:val="00434DA5"/>
    <w:rsid w:val="00434DC7"/>
    <w:rsid w:val="00435417"/>
    <w:rsid w:val="00435D9D"/>
    <w:rsid w:val="004369DF"/>
    <w:rsid w:val="00437081"/>
    <w:rsid w:val="0043754C"/>
    <w:rsid w:val="004375E4"/>
    <w:rsid w:val="0043785C"/>
    <w:rsid w:val="00437B1B"/>
    <w:rsid w:val="00437CF4"/>
    <w:rsid w:val="0044063D"/>
    <w:rsid w:val="00440E57"/>
    <w:rsid w:val="00440FD2"/>
    <w:rsid w:val="004412FC"/>
    <w:rsid w:val="00442207"/>
    <w:rsid w:val="004426CC"/>
    <w:rsid w:val="0044299C"/>
    <w:rsid w:val="00442BF0"/>
    <w:rsid w:val="00442C5B"/>
    <w:rsid w:val="00443206"/>
    <w:rsid w:val="00443674"/>
    <w:rsid w:val="00443731"/>
    <w:rsid w:val="004440AF"/>
    <w:rsid w:val="00444554"/>
    <w:rsid w:val="00444654"/>
    <w:rsid w:val="0044490F"/>
    <w:rsid w:val="0044517B"/>
    <w:rsid w:val="004452E0"/>
    <w:rsid w:val="004461EF"/>
    <w:rsid w:val="004463FF"/>
    <w:rsid w:val="004464D9"/>
    <w:rsid w:val="00446C33"/>
    <w:rsid w:val="00446C89"/>
    <w:rsid w:val="00446D9F"/>
    <w:rsid w:val="00446FDF"/>
    <w:rsid w:val="004478B3"/>
    <w:rsid w:val="00450376"/>
    <w:rsid w:val="004506BC"/>
    <w:rsid w:val="00450966"/>
    <w:rsid w:val="00450A1B"/>
    <w:rsid w:val="004519E1"/>
    <w:rsid w:val="00451C52"/>
    <w:rsid w:val="00452216"/>
    <w:rsid w:val="004526A6"/>
    <w:rsid w:val="00453056"/>
    <w:rsid w:val="0045371E"/>
    <w:rsid w:val="004539F9"/>
    <w:rsid w:val="00453B7B"/>
    <w:rsid w:val="00453D08"/>
    <w:rsid w:val="00454222"/>
    <w:rsid w:val="0045468F"/>
    <w:rsid w:val="00454D48"/>
    <w:rsid w:val="004551CF"/>
    <w:rsid w:val="00456594"/>
    <w:rsid w:val="00456E36"/>
    <w:rsid w:val="00457981"/>
    <w:rsid w:val="00457CC8"/>
    <w:rsid w:val="004600B0"/>
    <w:rsid w:val="004601C0"/>
    <w:rsid w:val="0046051B"/>
    <w:rsid w:val="004607DE"/>
    <w:rsid w:val="004617CF"/>
    <w:rsid w:val="00461947"/>
    <w:rsid w:val="00462D73"/>
    <w:rsid w:val="00462D7B"/>
    <w:rsid w:val="00462F46"/>
    <w:rsid w:val="00462F9E"/>
    <w:rsid w:val="00462FCB"/>
    <w:rsid w:val="0046363F"/>
    <w:rsid w:val="0046370A"/>
    <w:rsid w:val="00463FEB"/>
    <w:rsid w:val="00464B33"/>
    <w:rsid w:val="00465982"/>
    <w:rsid w:val="004664F0"/>
    <w:rsid w:val="004669F7"/>
    <w:rsid w:val="00466C27"/>
    <w:rsid w:val="00466C8F"/>
    <w:rsid w:val="00466D62"/>
    <w:rsid w:val="00466EDE"/>
    <w:rsid w:val="0046750A"/>
    <w:rsid w:val="00467516"/>
    <w:rsid w:val="0046778D"/>
    <w:rsid w:val="00467957"/>
    <w:rsid w:val="00467D39"/>
    <w:rsid w:val="00470220"/>
    <w:rsid w:val="004709C6"/>
    <w:rsid w:val="00470C15"/>
    <w:rsid w:val="00470DEC"/>
    <w:rsid w:val="00471CDE"/>
    <w:rsid w:val="00471E3A"/>
    <w:rsid w:val="004721FC"/>
    <w:rsid w:val="004726BF"/>
    <w:rsid w:val="004729D2"/>
    <w:rsid w:val="00472B0E"/>
    <w:rsid w:val="00472D22"/>
    <w:rsid w:val="004730C7"/>
    <w:rsid w:val="004735CB"/>
    <w:rsid w:val="00473A7A"/>
    <w:rsid w:val="00474254"/>
    <w:rsid w:val="0047455E"/>
    <w:rsid w:val="00475A17"/>
    <w:rsid w:val="00475A86"/>
    <w:rsid w:val="00475AA5"/>
    <w:rsid w:val="00476432"/>
    <w:rsid w:val="0047689E"/>
    <w:rsid w:val="00477040"/>
    <w:rsid w:val="004774CE"/>
    <w:rsid w:val="004776AA"/>
    <w:rsid w:val="00477D9F"/>
    <w:rsid w:val="004803F4"/>
    <w:rsid w:val="00480503"/>
    <w:rsid w:val="004806C0"/>
    <w:rsid w:val="00480799"/>
    <w:rsid w:val="004812DA"/>
    <w:rsid w:val="004815EF"/>
    <w:rsid w:val="004817E6"/>
    <w:rsid w:val="004821C7"/>
    <w:rsid w:val="00482229"/>
    <w:rsid w:val="00482378"/>
    <w:rsid w:val="00482B30"/>
    <w:rsid w:val="004831FE"/>
    <w:rsid w:val="004833BB"/>
    <w:rsid w:val="00483ABE"/>
    <w:rsid w:val="00483DE2"/>
    <w:rsid w:val="0048414C"/>
    <w:rsid w:val="0048440B"/>
    <w:rsid w:val="0048453B"/>
    <w:rsid w:val="00484787"/>
    <w:rsid w:val="00484CE7"/>
    <w:rsid w:val="00485351"/>
    <w:rsid w:val="00485479"/>
    <w:rsid w:val="00485BD3"/>
    <w:rsid w:val="00485C14"/>
    <w:rsid w:val="00485D00"/>
    <w:rsid w:val="00486524"/>
    <w:rsid w:val="0048658C"/>
    <w:rsid w:val="0048700D"/>
    <w:rsid w:val="00487021"/>
    <w:rsid w:val="004875F1"/>
    <w:rsid w:val="00487929"/>
    <w:rsid w:val="00490635"/>
    <w:rsid w:val="00491923"/>
    <w:rsid w:val="00491BC6"/>
    <w:rsid w:val="004923F9"/>
    <w:rsid w:val="004933C1"/>
    <w:rsid w:val="00493424"/>
    <w:rsid w:val="004937AA"/>
    <w:rsid w:val="00493E27"/>
    <w:rsid w:val="00493EED"/>
    <w:rsid w:val="00494B4F"/>
    <w:rsid w:val="00494B5B"/>
    <w:rsid w:val="00494E3B"/>
    <w:rsid w:val="004953B8"/>
    <w:rsid w:val="004953CC"/>
    <w:rsid w:val="00495914"/>
    <w:rsid w:val="00495A03"/>
    <w:rsid w:val="00495AF1"/>
    <w:rsid w:val="004963C8"/>
    <w:rsid w:val="00497844"/>
    <w:rsid w:val="00497B3B"/>
    <w:rsid w:val="00497C56"/>
    <w:rsid w:val="00497E0B"/>
    <w:rsid w:val="004A0EB0"/>
    <w:rsid w:val="004A0F0D"/>
    <w:rsid w:val="004A106C"/>
    <w:rsid w:val="004A122A"/>
    <w:rsid w:val="004A124F"/>
    <w:rsid w:val="004A142E"/>
    <w:rsid w:val="004A1654"/>
    <w:rsid w:val="004A199D"/>
    <w:rsid w:val="004A238A"/>
    <w:rsid w:val="004A25FA"/>
    <w:rsid w:val="004A2617"/>
    <w:rsid w:val="004A26E5"/>
    <w:rsid w:val="004A28BA"/>
    <w:rsid w:val="004A2910"/>
    <w:rsid w:val="004A2D0D"/>
    <w:rsid w:val="004A2D2B"/>
    <w:rsid w:val="004A2F02"/>
    <w:rsid w:val="004A336C"/>
    <w:rsid w:val="004A3491"/>
    <w:rsid w:val="004A37D5"/>
    <w:rsid w:val="004A403D"/>
    <w:rsid w:val="004A46C5"/>
    <w:rsid w:val="004A472A"/>
    <w:rsid w:val="004A4832"/>
    <w:rsid w:val="004A492E"/>
    <w:rsid w:val="004A4DE5"/>
    <w:rsid w:val="004A5AA9"/>
    <w:rsid w:val="004A6467"/>
    <w:rsid w:val="004A65C8"/>
    <w:rsid w:val="004A7043"/>
    <w:rsid w:val="004A7FF4"/>
    <w:rsid w:val="004B015B"/>
    <w:rsid w:val="004B0391"/>
    <w:rsid w:val="004B089D"/>
    <w:rsid w:val="004B0939"/>
    <w:rsid w:val="004B0A27"/>
    <w:rsid w:val="004B0A35"/>
    <w:rsid w:val="004B0BAD"/>
    <w:rsid w:val="004B0F9C"/>
    <w:rsid w:val="004B19C6"/>
    <w:rsid w:val="004B1B91"/>
    <w:rsid w:val="004B1C03"/>
    <w:rsid w:val="004B1CEE"/>
    <w:rsid w:val="004B1FD5"/>
    <w:rsid w:val="004B25FD"/>
    <w:rsid w:val="004B2A64"/>
    <w:rsid w:val="004B2DAC"/>
    <w:rsid w:val="004B3B27"/>
    <w:rsid w:val="004B4D2A"/>
    <w:rsid w:val="004B4DF2"/>
    <w:rsid w:val="004B4EB5"/>
    <w:rsid w:val="004B5059"/>
    <w:rsid w:val="004B508B"/>
    <w:rsid w:val="004B549C"/>
    <w:rsid w:val="004B5D8D"/>
    <w:rsid w:val="004B6653"/>
    <w:rsid w:val="004B6C04"/>
    <w:rsid w:val="004B6D60"/>
    <w:rsid w:val="004B6D74"/>
    <w:rsid w:val="004B7796"/>
    <w:rsid w:val="004B7A97"/>
    <w:rsid w:val="004B7BCD"/>
    <w:rsid w:val="004B7D51"/>
    <w:rsid w:val="004C022B"/>
    <w:rsid w:val="004C0247"/>
    <w:rsid w:val="004C07A0"/>
    <w:rsid w:val="004C13FA"/>
    <w:rsid w:val="004C1751"/>
    <w:rsid w:val="004C225D"/>
    <w:rsid w:val="004C24ED"/>
    <w:rsid w:val="004C2AA7"/>
    <w:rsid w:val="004C2D5A"/>
    <w:rsid w:val="004C3092"/>
    <w:rsid w:val="004C3182"/>
    <w:rsid w:val="004C33D0"/>
    <w:rsid w:val="004C37AE"/>
    <w:rsid w:val="004C3BE7"/>
    <w:rsid w:val="004C3E46"/>
    <w:rsid w:val="004C4385"/>
    <w:rsid w:val="004C4AAF"/>
    <w:rsid w:val="004C533C"/>
    <w:rsid w:val="004C54C4"/>
    <w:rsid w:val="004C5E5E"/>
    <w:rsid w:val="004C66CC"/>
    <w:rsid w:val="004C67ED"/>
    <w:rsid w:val="004C6833"/>
    <w:rsid w:val="004C6C7B"/>
    <w:rsid w:val="004C6CBA"/>
    <w:rsid w:val="004C77BA"/>
    <w:rsid w:val="004C7BD7"/>
    <w:rsid w:val="004D0868"/>
    <w:rsid w:val="004D1057"/>
    <w:rsid w:val="004D1A9B"/>
    <w:rsid w:val="004D1ADD"/>
    <w:rsid w:val="004D1D92"/>
    <w:rsid w:val="004D20BD"/>
    <w:rsid w:val="004D23EB"/>
    <w:rsid w:val="004D2DBF"/>
    <w:rsid w:val="004D30E3"/>
    <w:rsid w:val="004D30FC"/>
    <w:rsid w:val="004D346F"/>
    <w:rsid w:val="004D36BF"/>
    <w:rsid w:val="004D3959"/>
    <w:rsid w:val="004D3C81"/>
    <w:rsid w:val="004D4721"/>
    <w:rsid w:val="004D4C15"/>
    <w:rsid w:val="004D5DB1"/>
    <w:rsid w:val="004D610B"/>
    <w:rsid w:val="004D61F6"/>
    <w:rsid w:val="004D6782"/>
    <w:rsid w:val="004D687F"/>
    <w:rsid w:val="004D6D20"/>
    <w:rsid w:val="004D7503"/>
    <w:rsid w:val="004D761D"/>
    <w:rsid w:val="004D76EB"/>
    <w:rsid w:val="004D77F2"/>
    <w:rsid w:val="004D7A88"/>
    <w:rsid w:val="004E025F"/>
    <w:rsid w:val="004E085A"/>
    <w:rsid w:val="004E1611"/>
    <w:rsid w:val="004E1D2E"/>
    <w:rsid w:val="004E2315"/>
    <w:rsid w:val="004E2477"/>
    <w:rsid w:val="004E2589"/>
    <w:rsid w:val="004E2C5C"/>
    <w:rsid w:val="004E33A0"/>
    <w:rsid w:val="004E40FC"/>
    <w:rsid w:val="004E490D"/>
    <w:rsid w:val="004E4B39"/>
    <w:rsid w:val="004E5C3D"/>
    <w:rsid w:val="004E5DC0"/>
    <w:rsid w:val="004E69C9"/>
    <w:rsid w:val="004E6D9A"/>
    <w:rsid w:val="004E7388"/>
    <w:rsid w:val="004E7BA6"/>
    <w:rsid w:val="004F01D6"/>
    <w:rsid w:val="004F09E0"/>
    <w:rsid w:val="004F0ADD"/>
    <w:rsid w:val="004F1EC0"/>
    <w:rsid w:val="004F2AF1"/>
    <w:rsid w:val="004F2B9A"/>
    <w:rsid w:val="004F2BA1"/>
    <w:rsid w:val="004F2EAC"/>
    <w:rsid w:val="004F371D"/>
    <w:rsid w:val="004F3979"/>
    <w:rsid w:val="004F3CD0"/>
    <w:rsid w:val="004F40D4"/>
    <w:rsid w:val="004F42C9"/>
    <w:rsid w:val="004F45F7"/>
    <w:rsid w:val="004F4B58"/>
    <w:rsid w:val="004F5684"/>
    <w:rsid w:val="004F5703"/>
    <w:rsid w:val="004F5B4A"/>
    <w:rsid w:val="004F6211"/>
    <w:rsid w:val="004F6784"/>
    <w:rsid w:val="004F7026"/>
    <w:rsid w:val="004F71AC"/>
    <w:rsid w:val="004F790A"/>
    <w:rsid w:val="00500254"/>
    <w:rsid w:val="00500BC0"/>
    <w:rsid w:val="00500D2E"/>
    <w:rsid w:val="00501FDD"/>
    <w:rsid w:val="005020D2"/>
    <w:rsid w:val="00502444"/>
    <w:rsid w:val="005026B3"/>
    <w:rsid w:val="00503226"/>
    <w:rsid w:val="00503AB9"/>
    <w:rsid w:val="00503DD4"/>
    <w:rsid w:val="00503F7D"/>
    <w:rsid w:val="0050430F"/>
    <w:rsid w:val="00504466"/>
    <w:rsid w:val="00504621"/>
    <w:rsid w:val="0050481C"/>
    <w:rsid w:val="00504CAF"/>
    <w:rsid w:val="00504EFF"/>
    <w:rsid w:val="00504F58"/>
    <w:rsid w:val="0050529E"/>
    <w:rsid w:val="00505566"/>
    <w:rsid w:val="0050582C"/>
    <w:rsid w:val="0050585C"/>
    <w:rsid w:val="0050618C"/>
    <w:rsid w:val="0050627E"/>
    <w:rsid w:val="0050653E"/>
    <w:rsid w:val="00506C9D"/>
    <w:rsid w:val="0050711E"/>
    <w:rsid w:val="00507B53"/>
    <w:rsid w:val="005104B6"/>
    <w:rsid w:val="005105C9"/>
    <w:rsid w:val="005107DB"/>
    <w:rsid w:val="005109DD"/>
    <w:rsid w:val="00510D2B"/>
    <w:rsid w:val="00510D9C"/>
    <w:rsid w:val="00510FB7"/>
    <w:rsid w:val="00511661"/>
    <w:rsid w:val="00511839"/>
    <w:rsid w:val="005118F5"/>
    <w:rsid w:val="005120C0"/>
    <w:rsid w:val="00512925"/>
    <w:rsid w:val="00512EA5"/>
    <w:rsid w:val="0051301E"/>
    <w:rsid w:val="0051353B"/>
    <w:rsid w:val="005135AD"/>
    <w:rsid w:val="00513EEB"/>
    <w:rsid w:val="00514326"/>
    <w:rsid w:val="005144FA"/>
    <w:rsid w:val="00514914"/>
    <w:rsid w:val="005149D0"/>
    <w:rsid w:val="00514C57"/>
    <w:rsid w:val="00514F08"/>
    <w:rsid w:val="00515000"/>
    <w:rsid w:val="00515450"/>
    <w:rsid w:val="00515499"/>
    <w:rsid w:val="00515506"/>
    <w:rsid w:val="0051597E"/>
    <w:rsid w:val="00515EA6"/>
    <w:rsid w:val="00516286"/>
    <w:rsid w:val="00516998"/>
    <w:rsid w:val="00516A3D"/>
    <w:rsid w:val="00516F37"/>
    <w:rsid w:val="00517020"/>
    <w:rsid w:val="00517102"/>
    <w:rsid w:val="005176B6"/>
    <w:rsid w:val="00517D2D"/>
    <w:rsid w:val="00517D90"/>
    <w:rsid w:val="00517E0F"/>
    <w:rsid w:val="00517E69"/>
    <w:rsid w:val="00520186"/>
    <w:rsid w:val="00520E3B"/>
    <w:rsid w:val="00520EF8"/>
    <w:rsid w:val="005218A3"/>
    <w:rsid w:val="00522548"/>
    <w:rsid w:val="00524069"/>
    <w:rsid w:val="00524848"/>
    <w:rsid w:val="00525119"/>
    <w:rsid w:val="0052530E"/>
    <w:rsid w:val="0052587B"/>
    <w:rsid w:val="0052604F"/>
    <w:rsid w:val="005264FD"/>
    <w:rsid w:val="00526779"/>
    <w:rsid w:val="00526A86"/>
    <w:rsid w:val="00527E0B"/>
    <w:rsid w:val="00530E61"/>
    <w:rsid w:val="005310B2"/>
    <w:rsid w:val="00531101"/>
    <w:rsid w:val="005315CA"/>
    <w:rsid w:val="00531A12"/>
    <w:rsid w:val="00531BA6"/>
    <w:rsid w:val="00531D6B"/>
    <w:rsid w:val="005323A9"/>
    <w:rsid w:val="00532439"/>
    <w:rsid w:val="00533034"/>
    <w:rsid w:val="00533501"/>
    <w:rsid w:val="00533B7C"/>
    <w:rsid w:val="00533BED"/>
    <w:rsid w:val="00533E74"/>
    <w:rsid w:val="00533F26"/>
    <w:rsid w:val="00534919"/>
    <w:rsid w:val="005349F5"/>
    <w:rsid w:val="00534BDC"/>
    <w:rsid w:val="00534D42"/>
    <w:rsid w:val="00535F61"/>
    <w:rsid w:val="0053636E"/>
    <w:rsid w:val="0053658A"/>
    <w:rsid w:val="00536B0B"/>
    <w:rsid w:val="00537845"/>
    <w:rsid w:val="00537A76"/>
    <w:rsid w:val="00537E8D"/>
    <w:rsid w:val="00540620"/>
    <w:rsid w:val="005408EF"/>
    <w:rsid w:val="00540CCC"/>
    <w:rsid w:val="0054104F"/>
    <w:rsid w:val="00541CC7"/>
    <w:rsid w:val="005428FD"/>
    <w:rsid w:val="00542D8C"/>
    <w:rsid w:val="005438C4"/>
    <w:rsid w:val="005439CE"/>
    <w:rsid w:val="005439DC"/>
    <w:rsid w:val="00544396"/>
    <w:rsid w:val="0054477B"/>
    <w:rsid w:val="00544948"/>
    <w:rsid w:val="00544D8F"/>
    <w:rsid w:val="005455AC"/>
    <w:rsid w:val="00546222"/>
    <w:rsid w:val="0054699A"/>
    <w:rsid w:val="00546CF4"/>
    <w:rsid w:val="00546DF9"/>
    <w:rsid w:val="005472A5"/>
    <w:rsid w:val="005475D4"/>
    <w:rsid w:val="00547E4F"/>
    <w:rsid w:val="00547F7B"/>
    <w:rsid w:val="00550AD9"/>
    <w:rsid w:val="00551099"/>
    <w:rsid w:val="00551279"/>
    <w:rsid w:val="00551839"/>
    <w:rsid w:val="005521F0"/>
    <w:rsid w:val="0055254B"/>
    <w:rsid w:val="00552580"/>
    <w:rsid w:val="00552F13"/>
    <w:rsid w:val="00553177"/>
    <w:rsid w:val="005533E2"/>
    <w:rsid w:val="0055362E"/>
    <w:rsid w:val="005541B0"/>
    <w:rsid w:val="00554571"/>
    <w:rsid w:val="005549A0"/>
    <w:rsid w:val="00554DBF"/>
    <w:rsid w:val="00555162"/>
    <w:rsid w:val="0055571F"/>
    <w:rsid w:val="00555731"/>
    <w:rsid w:val="005561F0"/>
    <w:rsid w:val="005569D9"/>
    <w:rsid w:val="0055790E"/>
    <w:rsid w:val="00557A85"/>
    <w:rsid w:val="00557E2E"/>
    <w:rsid w:val="00557FBA"/>
    <w:rsid w:val="005602A2"/>
    <w:rsid w:val="00560F17"/>
    <w:rsid w:val="00561042"/>
    <w:rsid w:val="00561921"/>
    <w:rsid w:val="005619C0"/>
    <w:rsid w:val="00561E77"/>
    <w:rsid w:val="00561F95"/>
    <w:rsid w:val="005622D0"/>
    <w:rsid w:val="00562D0F"/>
    <w:rsid w:val="00564329"/>
    <w:rsid w:val="005644B1"/>
    <w:rsid w:val="0056563D"/>
    <w:rsid w:val="00565BF4"/>
    <w:rsid w:val="0056741A"/>
    <w:rsid w:val="0056743E"/>
    <w:rsid w:val="0056748B"/>
    <w:rsid w:val="00567B39"/>
    <w:rsid w:val="00570014"/>
    <w:rsid w:val="00570265"/>
    <w:rsid w:val="005703F7"/>
    <w:rsid w:val="005707FB"/>
    <w:rsid w:val="005709A1"/>
    <w:rsid w:val="00570CDD"/>
    <w:rsid w:val="00571A7E"/>
    <w:rsid w:val="00572C97"/>
    <w:rsid w:val="00572DE6"/>
    <w:rsid w:val="00573C60"/>
    <w:rsid w:val="00574464"/>
    <w:rsid w:val="005744A8"/>
    <w:rsid w:val="005747B6"/>
    <w:rsid w:val="005747CE"/>
    <w:rsid w:val="005749DA"/>
    <w:rsid w:val="00574F54"/>
    <w:rsid w:val="00575083"/>
    <w:rsid w:val="0057512D"/>
    <w:rsid w:val="0057567E"/>
    <w:rsid w:val="00575DAF"/>
    <w:rsid w:val="00576243"/>
    <w:rsid w:val="005771A1"/>
    <w:rsid w:val="00577CAB"/>
    <w:rsid w:val="00577EAD"/>
    <w:rsid w:val="00580335"/>
    <w:rsid w:val="00580597"/>
    <w:rsid w:val="00580641"/>
    <w:rsid w:val="00581641"/>
    <w:rsid w:val="005820CD"/>
    <w:rsid w:val="005829F6"/>
    <w:rsid w:val="00582A3D"/>
    <w:rsid w:val="00582C64"/>
    <w:rsid w:val="0058300A"/>
    <w:rsid w:val="005830C8"/>
    <w:rsid w:val="005830D6"/>
    <w:rsid w:val="00583224"/>
    <w:rsid w:val="0058383D"/>
    <w:rsid w:val="00584D12"/>
    <w:rsid w:val="0058510F"/>
    <w:rsid w:val="00585576"/>
    <w:rsid w:val="005859DB"/>
    <w:rsid w:val="00585BC2"/>
    <w:rsid w:val="00586317"/>
    <w:rsid w:val="00586B63"/>
    <w:rsid w:val="00586C8D"/>
    <w:rsid w:val="00587236"/>
    <w:rsid w:val="005873A1"/>
    <w:rsid w:val="00587608"/>
    <w:rsid w:val="00587BDF"/>
    <w:rsid w:val="00587F1F"/>
    <w:rsid w:val="0059005D"/>
    <w:rsid w:val="005900BA"/>
    <w:rsid w:val="005904C5"/>
    <w:rsid w:val="0059086A"/>
    <w:rsid w:val="00591616"/>
    <w:rsid w:val="005919E5"/>
    <w:rsid w:val="00592A82"/>
    <w:rsid w:val="00592CFB"/>
    <w:rsid w:val="005934D4"/>
    <w:rsid w:val="0059355E"/>
    <w:rsid w:val="0059377C"/>
    <w:rsid w:val="00594736"/>
    <w:rsid w:val="0059484D"/>
    <w:rsid w:val="00594876"/>
    <w:rsid w:val="0059556E"/>
    <w:rsid w:val="005958D0"/>
    <w:rsid w:val="00595C25"/>
    <w:rsid w:val="00595DA6"/>
    <w:rsid w:val="0059600C"/>
    <w:rsid w:val="005963C0"/>
    <w:rsid w:val="005971C4"/>
    <w:rsid w:val="005972E5"/>
    <w:rsid w:val="005978C6"/>
    <w:rsid w:val="005A0207"/>
    <w:rsid w:val="005A0664"/>
    <w:rsid w:val="005A0EFC"/>
    <w:rsid w:val="005A16F3"/>
    <w:rsid w:val="005A1A9B"/>
    <w:rsid w:val="005A2678"/>
    <w:rsid w:val="005A2CDB"/>
    <w:rsid w:val="005A3609"/>
    <w:rsid w:val="005A3630"/>
    <w:rsid w:val="005A3830"/>
    <w:rsid w:val="005A3EF4"/>
    <w:rsid w:val="005A436E"/>
    <w:rsid w:val="005A4520"/>
    <w:rsid w:val="005A48EB"/>
    <w:rsid w:val="005A4DF2"/>
    <w:rsid w:val="005A5157"/>
    <w:rsid w:val="005A5C02"/>
    <w:rsid w:val="005A5FF2"/>
    <w:rsid w:val="005A61DB"/>
    <w:rsid w:val="005A671C"/>
    <w:rsid w:val="005A697F"/>
    <w:rsid w:val="005A6AF9"/>
    <w:rsid w:val="005A7DDE"/>
    <w:rsid w:val="005A7FAB"/>
    <w:rsid w:val="005B02F0"/>
    <w:rsid w:val="005B02FD"/>
    <w:rsid w:val="005B0842"/>
    <w:rsid w:val="005B0868"/>
    <w:rsid w:val="005B0B33"/>
    <w:rsid w:val="005B0C0C"/>
    <w:rsid w:val="005B10EA"/>
    <w:rsid w:val="005B1D4D"/>
    <w:rsid w:val="005B1E21"/>
    <w:rsid w:val="005B1E8D"/>
    <w:rsid w:val="005B2230"/>
    <w:rsid w:val="005B22B1"/>
    <w:rsid w:val="005B2846"/>
    <w:rsid w:val="005B2C34"/>
    <w:rsid w:val="005B34EA"/>
    <w:rsid w:val="005B3600"/>
    <w:rsid w:val="005B42C1"/>
    <w:rsid w:val="005B63B4"/>
    <w:rsid w:val="005B66A0"/>
    <w:rsid w:val="005B7DD7"/>
    <w:rsid w:val="005B7EB4"/>
    <w:rsid w:val="005C0F16"/>
    <w:rsid w:val="005C135E"/>
    <w:rsid w:val="005C1EAB"/>
    <w:rsid w:val="005C2331"/>
    <w:rsid w:val="005C2C17"/>
    <w:rsid w:val="005C2CA6"/>
    <w:rsid w:val="005C2EE1"/>
    <w:rsid w:val="005C3155"/>
    <w:rsid w:val="005C31C5"/>
    <w:rsid w:val="005C3202"/>
    <w:rsid w:val="005C3594"/>
    <w:rsid w:val="005C4530"/>
    <w:rsid w:val="005C4531"/>
    <w:rsid w:val="005C4F65"/>
    <w:rsid w:val="005C5219"/>
    <w:rsid w:val="005C5723"/>
    <w:rsid w:val="005C63AC"/>
    <w:rsid w:val="005C6623"/>
    <w:rsid w:val="005C6A0A"/>
    <w:rsid w:val="005C6B2D"/>
    <w:rsid w:val="005C7119"/>
    <w:rsid w:val="005C76BF"/>
    <w:rsid w:val="005C77DC"/>
    <w:rsid w:val="005C7DBC"/>
    <w:rsid w:val="005D0EFC"/>
    <w:rsid w:val="005D1754"/>
    <w:rsid w:val="005D2148"/>
    <w:rsid w:val="005D228F"/>
    <w:rsid w:val="005D2485"/>
    <w:rsid w:val="005D392A"/>
    <w:rsid w:val="005D4A82"/>
    <w:rsid w:val="005D4C35"/>
    <w:rsid w:val="005D4D5C"/>
    <w:rsid w:val="005D5AB5"/>
    <w:rsid w:val="005D5C1B"/>
    <w:rsid w:val="005D66C0"/>
    <w:rsid w:val="005D67BD"/>
    <w:rsid w:val="005E0150"/>
    <w:rsid w:val="005E0A3C"/>
    <w:rsid w:val="005E0D36"/>
    <w:rsid w:val="005E1010"/>
    <w:rsid w:val="005E1062"/>
    <w:rsid w:val="005E1349"/>
    <w:rsid w:val="005E13D0"/>
    <w:rsid w:val="005E1464"/>
    <w:rsid w:val="005E18DC"/>
    <w:rsid w:val="005E1D04"/>
    <w:rsid w:val="005E23C8"/>
    <w:rsid w:val="005E2742"/>
    <w:rsid w:val="005E2A9F"/>
    <w:rsid w:val="005E3197"/>
    <w:rsid w:val="005E3285"/>
    <w:rsid w:val="005E3C5E"/>
    <w:rsid w:val="005E4F18"/>
    <w:rsid w:val="005E5EEB"/>
    <w:rsid w:val="005E5F95"/>
    <w:rsid w:val="005E5FA4"/>
    <w:rsid w:val="005E6222"/>
    <w:rsid w:val="005E7796"/>
    <w:rsid w:val="005E78BB"/>
    <w:rsid w:val="005E7B19"/>
    <w:rsid w:val="005E7C98"/>
    <w:rsid w:val="005F01E3"/>
    <w:rsid w:val="005F0348"/>
    <w:rsid w:val="005F0AD0"/>
    <w:rsid w:val="005F0FD0"/>
    <w:rsid w:val="005F1265"/>
    <w:rsid w:val="005F1474"/>
    <w:rsid w:val="005F162E"/>
    <w:rsid w:val="005F1741"/>
    <w:rsid w:val="005F1F49"/>
    <w:rsid w:val="005F25A4"/>
    <w:rsid w:val="005F2ABE"/>
    <w:rsid w:val="005F2C5F"/>
    <w:rsid w:val="005F2CB1"/>
    <w:rsid w:val="005F3143"/>
    <w:rsid w:val="005F3509"/>
    <w:rsid w:val="005F374F"/>
    <w:rsid w:val="005F3783"/>
    <w:rsid w:val="005F444C"/>
    <w:rsid w:val="005F4683"/>
    <w:rsid w:val="005F4A3F"/>
    <w:rsid w:val="005F5938"/>
    <w:rsid w:val="005F5FAF"/>
    <w:rsid w:val="005F669A"/>
    <w:rsid w:val="005F688F"/>
    <w:rsid w:val="005F7795"/>
    <w:rsid w:val="005F78B9"/>
    <w:rsid w:val="005F7C6A"/>
    <w:rsid w:val="005F7EC9"/>
    <w:rsid w:val="00600245"/>
    <w:rsid w:val="00600686"/>
    <w:rsid w:val="006006ED"/>
    <w:rsid w:val="00600B5A"/>
    <w:rsid w:val="00600ECD"/>
    <w:rsid w:val="006012E4"/>
    <w:rsid w:val="00601B3F"/>
    <w:rsid w:val="00602954"/>
    <w:rsid w:val="00602B6C"/>
    <w:rsid w:val="00602CDA"/>
    <w:rsid w:val="00603090"/>
    <w:rsid w:val="0060354A"/>
    <w:rsid w:val="00603567"/>
    <w:rsid w:val="006036E5"/>
    <w:rsid w:val="00603B4B"/>
    <w:rsid w:val="0060420C"/>
    <w:rsid w:val="0060478B"/>
    <w:rsid w:val="006055E3"/>
    <w:rsid w:val="00605810"/>
    <w:rsid w:val="00605C9D"/>
    <w:rsid w:val="00605D92"/>
    <w:rsid w:val="00606043"/>
    <w:rsid w:val="0060620B"/>
    <w:rsid w:val="00606328"/>
    <w:rsid w:val="00606658"/>
    <w:rsid w:val="006068B8"/>
    <w:rsid w:val="00606C3B"/>
    <w:rsid w:val="00606F7B"/>
    <w:rsid w:val="00607407"/>
    <w:rsid w:val="006075C4"/>
    <w:rsid w:val="006077E4"/>
    <w:rsid w:val="00607BF1"/>
    <w:rsid w:val="00610261"/>
    <w:rsid w:val="0061053D"/>
    <w:rsid w:val="00610CFE"/>
    <w:rsid w:val="00610DB8"/>
    <w:rsid w:val="00610EFF"/>
    <w:rsid w:val="00610F11"/>
    <w:rsid w:val="00610F69"/>
    <w:rsid w:val="00611470"/>
    <w:rsid w:val="0061182B"/>
    <w:rsid w:val="0061192E"/>
    <w:rsid w:val="00611AE6"/>
    <w:rsid w:val="00612457"/>
    <w:rsid w:val="00612CCF"/>
    <w:rsid w:val="00612F73"/>
    <w:rsid w:val="006134E9"/>
    <w:rsid w:val="00613740"/>
    <w:rsid w:val="00613791"/>
    <w:rsid w:val="00613849"/>
    <w:rsid w:val="00613C7F"/>
    <w:rsid w:val="006142D1"/>
    <w:rsid w:val="00614F15"/>
    <w:rsid w:val="0061607D"/>
    <w:rsid w:val="006162D5"/>
    <w:rsid w:val="00616F80"/>
    <w:rsid w:val="006202C8"/>
    <w:rsid w:val="0062049D"/>
    <w:rsid w:val="00620626"/>
    <w:rsid w:val="00620AB4"/>
    <w:rsid w:val="00620D6C"/>
    <w:rsid w:val="00621080"/>
    <w:rsid w:val="006212BD"/>
    <w:rsid w:val="0062164C"/>
    <w:rsid w:val="00621FA3"/>
    <w:rsid w:val="00621FC9"/>
    <w:rsid w:val="00622058"/>
    <w:rsid w:val="0062224E"/>
    <w:rsid w:val="00622A71"/>
    <w:rsid w:val="00622D83"/>
    <w:rsid w:val="0062302C"/>
    <w:rsid w:val="006235C2"/>
    <w:rsid w:val="00623EE7"/>
    <w:rsid w:val="00624137"/>
    <w:rsid w:val="00624DC1"/>
    <w:rsid w:val="00625250"/>
    <w:rsid w:val="0062539F"/>
    <w:rsid w:val="0062543C"/>
    <w:rsid w:val="00626104"/>
    <w:rsid w:val="00626716"/>
    <w:rsid w:val="00626BBE"/>
    <w:rsid w:val="00627135"/>
    <w:rsid w:val="0063043E"/>
    <w:rsid w:val="006308FC"/>
    <w:rsid w:val="00630A1C"/>
    <w:rsid w:val="006317DF"/>
    <w:rsid w:val="00631E00"/>
    <w:rsid w:val="006329C3"/>
    <w:rsid w:val="00632A55"/>
    <w:rsid w:val="00632D9F"/>
    <w:rsid w:val="00633B80"/>
    <w:rsid w:val="0063408A"/>
    <w:rsid w:val="006347CE"/>
    <w:rsid w:val="00634A11"/>
    <w:rsid w:val="00634AC5"/>
    <w:rsid w:val="00635204"/>
    <w:rsid w:val="00635C3D"/>
    <w:rsid w:val="00635D5B"/>
    <w:rsid w:val="006369DF"/>
    <w:rsid w:val="00636D06"/>
    <w:rsid w:val="00636D7E"/>
    <w:rsid w:val="006375D2"/>
    <w:rsid w:val="00637E78"/>
    <w:rsid w:val="00640186"/>
    <w:rsid w:val="006402A6"/>
    <w:rsid w:val="006404DC"/>
    <w:rsid w:val="00640B61"/>
    <w:rsid w:val="00641A12"/>
    <w:rsid w:val="0064255E"/>
    <w:rsid w:val="00642680"/>
    <w:rsid w:val="00642964"/>
    <w:rsid w:val="00643100"/>
    <w:rsid w:val="00643120"/>
    <w:rsid w:val="00643392"/>
    <w:rsid w:val="006441D9"/>
    <w:rsid w:val="0064462E"/>
    <w:rsid w:val="00644B14"/>
    <w:rsid w:val="00644B52"/>
    <w:rsid w:val="0064574A"/>
    <w:rsid w:val="0064595B"/>
    <w:rsid w:val="00645AA2"/>
    <w:rsid w:val="00645C64"/>
    <w:rsid w:val="0064731A"/>
    <w:rsid w:val="00647548"/>
    <w:rsid w:val="00647662"/>
    <w:rsid w:val="006500C0"/>
    <w:rsid w:val="006500D4"/>
    <w:rsid w:val="006504FC"/>
    <w:rsid w:val="00650526"/>
    <w:rsid w:val="006508F6"/>
    <w:rsid w:val="00650AED"/>
    <w:rsid w:val="00650CEC"/>
    <w:rsid w:val="00650FBF"/>
    <w:rsid w:val="0065149B"/>
    <w:rsid w:val="00651517"/>
    <w:rsid w:val="0065177A"/>
    <w:rsid w:val="00651A28"/>
    <w:rsid w:val="00651C69"/>
    <w:rsid w:val="0065222D"/>
    <w:rsid w:val="0065235C"/>
    <w:rsid w:val="00652550"/>
    <w:rsid w:val="00653007"/>
    <w:rsid w:val="00653443"/>
    <w:rsid w:val="006536A8"/>
    <w:rsid w:val="006536BF"/>
    <w:rsid w:val="00653C8C"/>
    <w:rsid w:val="00654178"/>
    <w:rsid w:val="00654289"/>
    <w:rsid w:val="00654677"/>
    <w:rsid w:val="006547DC"/>
    <w:rsid w:val="00654D8C"/>
    <w:rsid w:val="00654F0D"/>
    <w:rsid w:val="006554C8"/>
    <w:rsid w:val="0065613C"/>
    <w:rsid w:val="00657095"/>
    <w:rsid w:val="00657209"/>
    <w:rsid w:val="00657295"/>
    <w:rsid w:val="006574A3"/>
    <w:rsid w:val="00657722"/>
    <w:rsid w:val="00657E0F"/>
    <w:rsid w:val="00657E41"/>
    <w:rsid w:val="00660AA0"/>
    <w:rsid w:val="00660F76"/>
    <w:rsid w:val="006612D5"/>
    <w:rsid w:val="00662639"/>
    <w:rsid w:val="00662736"/>
    <w:rsid w:val="00662F25"/>
    <w:rsid w:val="0066333F"/>
    <w:rsid w:val="00663B16"/>
    <w:rsid w:val="00663C6A"/>
    <w:rsid w:val="00663D52"/>
    <w:rsid w:val="006648EE"/>
    <w:rsid w:val="00664F11"/>
    <w:rsid w:val="00664F71"/>
    <w:rsid w:val="006652B4"/>
    <w:rsid w:val="00666A4B"/>
    <w:rsid w:val="00666B0E"/>
    <w:rsid w:val="00666B19"/>
    <w:rsid w:val="00666EC5"/>
    <w:rsid w:val="006671E0"/>
    <w:rsid w:val="00667913"/>
    <w:rsid w:val="00667A06"/>
    <w:rsid w:val="00667C6C"/>
    <w:rsid w:val="00667D5C"/>
    <w:rsid w:val="00667FCE"/>
    <w:rsid w:val="00670250"/>
    <w:rsid w:val="006703C2"/>
    <w:rsid w:val="0067050F"/>
    <w:rsid w:val="0067069F"/>
    <w:rsid w:val="0067084E"/>
    <w:rsid w:val="006708E6"/>
    <w:rsid w:val="00670E13"/>
    <w:rsid w:val="00671B23"/>
    <w:rsid w:val="006722B9"/>
    <w:rsid w:val="00672B51"/>
    <w:rsid w:val="00673302"/>
    <w:rsid w:val="0067372C"/>
    <w:rsid w:val="00673BB8"/>
    <w:rsid w:val="00673D4D"/>
    <w:rsid w:val="00674090"/>
    <w:rsid w:val="00674A3A"/>
    <w:rsid w:val="006758AA"/>
    <w:rsid w:val="00676575"/>
    <w:rsid w:val="00676691"/>
    <w:rsid w:val="00676842"/>
    <w:rsid w:val="006775E2"/>
    <w:rsid w:val="006778A8"/>
    <w:rsid w:val="00677B94"/>
    <w:rsid w:val="00680846"/>
    <w:rsid w:val="00680894"/>
    <w:rsid w:val="00681043"/>
    <w:rsid w:val="0068120E"/>
    <w:rsid w:val="00681229"/>
    <w:rsid w:val="006826E1"/>
    <w:rsid w:val="006827C1"/>
    <w:rsid w:val="00684C09"/>
    <w:rsid w:val="0068550D"/>
    <w:rsid w:val="006856F1"/>
    <w:rsid w:val="006858F8"/>
    <w:rsid w:val="00685C5B"/>
    <w:rsid w:val="00685F91"/>
    <w:rsid w:val="00686607"/>
    <w:rsid w:val="00686AAB"/>
    <w:rsid w:val="0068792C"/>
    <w:rsid w:val="006879FA"/>
    <w:rsid w:val="00687CEA"/>
    <w:rsid w:val="00690044"/>
    <w:rsid w:val="0069007C"/>
    <w:rsid w:val="006901C0"/>
    <w:rsid w:val="00690439"/>
    <w:rsid w:val="00690ACE"/>
    <w:rsid w:val="006910D8"/>
    <w:rsid w:val="006911CA"/>
    <w:rsid w:val="006913E3"/>
    <w:rsid w:val="00691716"/>
    <w:rsid w:val="006919AB"/>
    <w:rsid w:val="00693188"/>
    <w:rsid w:val="00693344"/>
    <w:rsid w:val="00693739"/>
    <w:rsid w:val="00693B02"/>
    <w:rsid w:val="00694652"/>
    <w:rsid w:val="00694D03"/>
    <w:rsid w:val="006955B1"/>
    <w:rsid w:val="00695AA2"/>
    <w:rsid w:val="006960B6"/>
    <w:rsid w:val="00696A5C"/>
    <w:rsid w:val="006973E3"/>
    <w:rsid w:val="00697D9A"/>
    <w:rsid w:val="006A0018"/>
    <w:rsid w:val="006A06A9"/>
    <w:rsid w:val="006A08BE"/>
    <w:rsid w:val="006A0D51"/>
    <w:rsid w:val="006A19A6"/>
    <w:rsid w:val="006A1F3C"/>
    <w:rsid w:val="006A2889"/>
    <w:rsid w:val="006A2EBF"/>
    <w:rsid w:val="006A3365"/>
    <w:rsid w:val="006A34A0"/>
    <w:rsid w:val="006A405F"/>
    <w:rsid w:val="006A49C7"/>
    <w:rsid w:val="006A4F85"/>
    <w:rsid w:val="006A5034"/>
    <w:rsid w:val="006A51C5"/>
    <w:rsid w:val="006A54B8"/>
    <w:rsid w:val="006A55B5"/>
    <w:rsid w:val="006A57B8"/>
    <w:rsid w:val="006A57ED"/>
    <w:rsid w:val="006A5B84"/>
    <w:rsid w:val="006A6003"/>
    <w:rsid w:val="006A6797"/>
    <w:rsid w:val="006A7153"/>
    <w:rsid w:val="006A7556"/>
    <w:rsid w:val="006A75E8"/>
    <w:rsid w:val="006A7CD5"/>
    <w:rsid w:val="006B041D"/>
    <w:rsid w:val="006B05C1"/>
    <w:rsid w:val="006B089E"/>
    <w:rsid w:val="006B2080"/>
    <w:rsid w:val="006B2BFF"/>
    <w:rsid w:val="006B38DF"/>
    <w:rsid w:val="006B3A86"/>
    <w:rsid w:val="006B3BC2"/>
    <w:rsid w:val="006B4390"/>
    <w:rsid w:val="006B5153"/>
    <w:rsid w:val="006B5319"/>
    <w:rsid w:val="006B548C"/>
    <w:rsid w:val="006B55CE"/>
    <w:rsid w:val="006B5744"/>
    <w:rsid w:val="006B5A99"/>
    <w:rsid w:val="006B5D50"/>
    <w:rsid w:val="006B653A"/>
    <w:rsid w:val="006B6CA0"/>
    <w:rsid w:val="006B6D95"/>
    <w:rsid w:val="006B7781"/>
    <w:rsid w:val="006B7D11"/>
    <w:rsid w:val="006C07A8"/>
    <w:rsid w:val="006C07D1"/>
    <w:rsid w:val="006C0E0C"/>
    <w:rsid w:val="006C0F64"/>
    <w:rsid w:val="006C10EC"/>
    <w:rsid w:val="006C11D5"/>
    <w:rsid w:val="006C1BA9"/>
    <w:rsid w:val="006C2317"/>
    <w:rsid w:val="006C2B87"/>
    <w:rsid w:val="006C36D5"/>
    <w:rsid w:val="006C38B8"/>
    <w:rsid w:val="006C3998"/>
    <w:rsid w:val="006C43D3"/>
    <w:rsid w:val="006C5545"/>
    <w:rsid w:val="006C5AEE"/>
    <w:rsid w:val="006C5C5C"/>
    <w:rsid w:val="006C5CC5"/>
    <w:rsid w:val="006C66D2"/>
    <w:rsid w:val="006C6932"/>
    <w:rsid w:val="006C751D"/>
    <w:rsid w:val="006C7569"/>
    <w:rsid w:val="006C792E"/>
    <w:rsid w:val="006D0300"/>
    <w:rsid w:val="006D0CC5"/>
    <w:rsid w:val="006D10CD"/>
    <w:rsid w:val="006D1288"/>
    <w:rsid w:val="006D192E"/>
    <w:rsid w:val="006D1CA3"/>
    <w:rsid w:val="006D1E3F"/>
    <w:rsid w:val="006D22D3"/>
    <w:rsid w:val="006D3459"/>
    <w:rsid w:val="006D4090"/>
    <w:rsid w:val="006D40BF"/>
    <w:rsid w:val="006D50E1"/>
    <w:rsid w:val="006D5122"/>
    <w:rsid w:val="006D525A"/>
    <w:rsid w:val="006D5380"/>
    <w:rsid w:val="006D574A"/>
    <w:rsid w:val="006D5F3E"/>
    <w:rsid w:val="006D63AC"/>
    <w:rsid w:val="006D6BD2"/>
    <w:rsid w:val="006D6DBE"/>
    <w:rsid w:val="006D6F5D"/>
    <w:rsid w:val="006D71FD"/>
    <w:rsid w:val="006D7274"/>
    <w:rsid w:val="006E0291"/>
    <w:rsid w:val="006E09DF"/>
    <w:rsid w:val="006E0E18"/>
    <w:rsid w:val="006E132B"/>
    <w:rsid w:val="006E14E4"/>
    <w:rsid w:val="006E1586"/>
    <w:rsid w:val="006E16B5"/>
    <w:rsid w:val="006E2493"/>
    <w:rsid w:val="006E29BF"/>
    <w:rsid w:val="006E3638"/>
    <w:rsid w:val="006E3741"/>
    <w:rsid w:val="006E3BF5"/>
    <w:rsid w:val="006E3E52"/>
    <w:rsid w:val="006E463B"/>
    <w:rsid w:val="006E471F"/>
    <w:rsid w:val="006E4C61"/>
    <w:rsid w:val="006E4E9B"/>
    <w:rsid w:val="006E5CB4"/>
    <w:rsid w:val="006E6043"/>
    <w:rsid w:val="006E64B2"/>
    <w:rsid w:val="006E65C3"/>
    <w:rsid w:val="006E6B12"/>
    <w:rsid w:val="006E762B"/>
    <w:rsid w:val="006E7957"/>
    <w:rsid w:val="006E7A27"/>
    <w:rsid w:val="006E7D59"/>
    <w:rsid w:val="006E7F8A"/>
    <w:rsid w:val="006F084D"/>
    <w:rsid w:val="006F0BA4"/>
    <w:rsid w:val="006F0E0E"/>
    <w:rsid w:val="006F0FAD"/>
    <w:rsid w:val="006F119B"/>
    <w:rsid w:val="006F1941"/>
    <w:rsid w:val="006F1E1B"/>
    <w:rsid w:val="006F2133"/>
    <w:rsid w:val="006F26A7"/>
    <w:rsid w:val="006F2C6A"/>
    <w:rsid w:val="006F3183"/>
    <w:rsid w:val="006F338A"/>
    <w:rsid w:val="006F3501"/>
    <w:rsid w:val="006F380A"/>
    <w:rsid w:val="006F414B"/>
    <w:rsid w:val="006F4662"/>
    <w:rsid w:val="006F4B16"/>
    <w:rsid w:val="006F4C38"/>
    <w:rsid w:val="006F51EF"/>
    <w:rsid w:val="006F527C"/>
    <w:rsid w:val="006F63AA"/>
    <w:rsid w:val="006F6463"/>
    <w:rsid w:val="006F6619"/>
    <w:rsid w:val="006F669F"/>
    <w:rsid w:val="006F6EB4"/>
    <w:rsid w:val="006F78BA"/>
    <w:rsid w:val="006F78C9"/>
    <w:rsid w:val="006F7E20"/>
    <w:rsid w:val="006F7F78"/>
    <w:rsid w:val="00700754"/>
    <w:rsid w:val="0070083C"/>
    <w:rsid w:val="00700F87"/>
    <w:rsid w:val="0070183D"/>
    <w:rsid w:val="00702024"/>
    <w:rsid w:val="00702205"/>
    <w:rsid w:val="007023BB"/>
    <w:rsid w:val="007025D9"/>
    <w:rsid w:val="0070350B"/>
    <w:rsid w:val="00703557"/>
    <w:rsid w:val="00703758"/>
    <w:rsid w:val="00703E6B"/>
    <w:rsid w:val="007049F5"/>
    <w:rsid w:val="00704EAB"/>
    <w:rsid w:val="00705072"/>
    <w:rsid w:val="0070574B"/>
    <w:rsid w:val="00705A5D"/>
    <w:rsid w:val="00706206"/>
    <w:rsid w:val="007066D1"/>
    <w:rsid w:val="007076A7"/>
    <w:rsid w:val="007077E8"/>
    <w:rsid w:val="00707D4B"/>
    <w:rsid w:val="007108BE"/>
    <w:rsid w:val="00710D27"/>
    <w:rsid w:val="007111F6"/>
    <w:rsid w:val="0071187F"/>
    <w:rsid w:val="0071205A"/>
    <w:rsid w:val="007125A0"/>
    <w:rsid w:val="007125C9"/>
    <w:rsid w:val="00712628"/>
    <w:rsid w:val="007139AF"/>
    <w:rsid w:val="00713DFF"/>
    <w:rsid w:val="00713E99"/>
    <w:rsid w:val="007143C5"/>
    <w:rsid w:val="007144B1"/>
    <w:rsid w:val="0071477D"/>
    <w:rsid w:val="00714EFA"/>
    <w:rsid w:val="00715582"/>
    <w:rsid w:val="0071595D"/>
    <w:rsid w:val="0071629A"/>
    <w:rsid w:val="0071678C"/>
    <w:rsid w:val="00716D98"/>
    <w:rsid w:val="00716ED4"/>
    <w:rsid w:val="00716EF5"/>
    <w:rsid w:val="007171C8"/>
    <w:rsid w:val="00717848"/>
    <w:rsid w:val="00717869"/>
    <w:rsid w:val="0072066C"/>
    <w:rsid w:val="00720A63"/>
    <w:rsid w:val="00720EE3"/>
    <w:rsid w:val="00720FEA"/>
    <w:rsid w:val="00721F5D"/>
    <w:rsid w:val="007220CF"/>
    <w:rsid w:val="00722140"/>
    <w:rsid w:val="007224A9"/>
    <w:rsid w:val="00723401"/>
    <w:rsid w:val="00723772"/>
    <w:rsid w:val="00723B9E"/>
    <w:rsid w:val="00723D6B"/>
    <w:rsid w:val="00723F21"/>
    <w:rsid w:val="00724353"/>
    <w:rsid w:val="00724D13"/>
    <w:rsid w:val="007250A4"/>
    <w:rsid w:val="0072512C"/>
    <w:rsid w:val="0072531B"/>
    <w:rsid w:val="007255EC"/>
    <w:rsid w:val="00725DE2"/>
    <w:rsid w:val="00726449"/>
    <w:rsid w:val="00726AD7"/>
    <w:rsid w:val="00727312"/>
    <w:rsid w:val="007306BD"/>
    <w:rsid w:val="00730801"/>
    <w:rsid w:val="007308D0"/>
    <w:rsid w:val="00730E0D"/>
    <w:rsid w:val="00731E8A"/>
    <w:rsid w:val="00732C21"/>
    <w:rsid w:val="00732F42"/>
    <w:rsid w:val="00732F8A"/>
    <w:rsid w:val="00733E6A"/>
    <w:rsid w:val="0073415A"/>
    <w:rsid w:val="007344E7"/>
    <w:rsid w:val="00734711"/>
    <w:rsid w:val="0073488F"/>
    <w:rsid w:val="007348E9"/>
    <w:rsid w:val="00734CC1"/>
    <w:rsid w:val="00735880"/>
    <w:rsid w:val="007358E2"/>
    <w:rsid w:val="007359E7"/>
    <w:rsid w:val="0073614D"/>
    <w:rsid w:val="0073621B"/>
    <w:rsid w:val="007362CA"/>
    <w:rsid w:val="00736715"/>
    <w:rsid w:val="00736A62"/>
    <w:rsid w:val="00737049"/>
    <w:rsid w:val="00737650"/>
    <w:rsid w:val="00737C9A"/>
    <w:rsid w:val="00740AFA"/>
    <w:rsid w:val="007411AD"/>
    <w:rsid w:val="0074168F"/>
    <w:rsid w:val="00741F75"/>
    <w:rsid w:val="00742121"/>
    <w:rsid w:val="007423EC"/>
    <w:rsid w:val="0074245C"/>
    <w:rsid w:val="00742E18"/>
    <w:rsid w:val="0074314E"/>
    <w:rsid w:val="00743810"/>
    <w:rsid w:val="0074443D"/>
    <w:rsid w:val="00745169"/>
    <w:rsid w:val="00745324"/>
    <w:rsid w:val="007453FC"/>
    <w:rsid w:val="00745552"/>
    <w:rsid w:val="00745A75"/>
    <w:rsid w:val="00746017"/>
    <w:rsid w:val="00746695"/>
    <w:rsid w:val="00746970"/>
    <w:rsid w:val="007469F1"/>
    <w:rsid w:val="00747016"/>
    <w:rsid w:val="0074702F"/>
    <w:rsid w:val="007475BB"/>
    <w:rsid w:val="00747AC3"/>
    <w:rsid w:val="00747CEA"/>
    <w:rsid w:val="00747DC1"/>
    <w:rsid w:val="00750702"/>
    <w:rsid w:val="007508E1"/>
    <w:rsid w:val="007510B4"/>
    <w:rsid w:val="00751567"/>
    <w:rsid w:val="00751BDE"/>
    <w:rsid w:val="00751F9B"/>
    <w:rsid w:val="0075202F"/>
    <w:rsid w:val="0075234F"/>
    <w:rsid w:val="0075238D"/>
    <w:rsid w:val="00752A36"/>
    <w:rsid w:val="00752B6A"/>
    <w:rsid w:val="00753241"/>
    <w:rsid w:val="00753827"/>
    <w:rsid w:val="00754378"/>
    <w:rsid w:val="00754546"/>
    <w:rsid w:val="00754A72"/>
    <w:rsid w:val="00754C23"/>
    <w:rsid w:val="0075561F"/>
    <w:rsid w:val="00755C6C"/>
    <w:rsid w:val="00756BD6"/>
    <w:rsid w:val="00756BF4"/>
    <w:rsid w:val="00756D4D"/>
    <w:rsid w:val="007573BE"/>
    <w:rsid w:val="00757EE7"/>
    <w:rsid w:val="00760D02"/>
    <w:rsid w:val="00760F9F"/>
    <w:rsid w:val="007629DF"/>
    <w:rsid w:val="00762D3E"/>
    <w:rsid w:val="0076314C"/>
    <w:rsid w:val="00763376"/>
    <w:rsid w:val="00763526"/>
    <w:rsid w:val="0076354B"/>
    <w:rsid w:val="00763845"/>
    <w:rsid w:val="00763C59"/>
    <w:rsid w:val="007646B4"/>
    <w:rsid w:val="007646DA"/>
    <w:rsid w:val="00764FD3"/>
    <w:rsid w:val="0076515B"/>
    <w:rsid w:val="00765397"/>
    <w:rsid w:val="00765F7D"/>
    <w:rsid w:val="007663C3"/>
    <w:rsid w:val="0076645B"/>
    <w:rsid w:val="00766936"/>
    <w:rsid w:val="00766A42"/>
    <w:rsid w:val="00766FF6"/>
    <w:rsid w:val="0076739E"/>
    <w:rsid w:val="00767460"/>
    <w:rsid w:val="00767D3B"/>
    <w:rsid w:val="00767E01"/>
    <w:rsid w:val="00767FD2"/>
    <w:rsid w:val="0077075E"/>
    <w:rsid w:val="00771326"/>
    <w:rsid w:val="00771868"/>
    <w:rsid w:val="00771F3F"/>
    <w:rsid w:val="00772107"/>
    <w:rsid w:val="00772296"/>
    <w:rsid w:val="00772498"/>
    <w:rsid w:val="00772548"/>
    <w:rsid w:val="007725B1"/>
    <w:rsid w:val="00773748"/>
    <w:rsid w:val="00773D75"/>
    <w:rsid w:val="0077406A"/>
    <w:rsid w:val="007741EF"/>
    <w:rsid w:val="00774C93"/>
    <w:rsid w:val="00774E7A"/>
    <w:rsid w:val="007757A4"/>
    <w:rsid w:val="007759B3"/>
    <w:rsid w:val="00775E8B"/>
    <w:rsid w:val="00775F00"/>
    <w:rsid w:val="007766CC"/>
    <w:rsid w:val="007766E8"/>
    <w:rsid w:val="007766FD"/>
    <w:rsid w:val="00776E37"/>
    <w:rsid w:val="00776EAB"/>
    <w:rsid w:val="0077729D"/>
    <w:rsid w:val="00777343"/>
    <w:rsid w:val="00777414"/>
    <w:rsid w:val="007776B8"/>
    <w:rsid w:val="00777701"/>
    <w:rsid w:val="007805AB"/>
    <w:rsid w:val="00780881"/>
    <w:rsid w:val="00781445"/>
    <w:rsid w:val="00781CB2"/>
    <w:rsid w:val="007821BA"/>
    <w:rsid w:val="00782DB2"/>
    <w:rsid w:val="00783236"/>
    <w:rsid w:val="0078397B"/>
    <w:rsid w:val="00784455"/>
    <w:rsid w:val="007846D4"/>
    <w:rsid w:val="00784823"/>
    <w:rsid w:val="007849E8"/>
    <w:rsid w:val="00784AC6"/>
    <w:rsid w:val="00784D77"/>
    <w:rsid w:val="0078512E"/>
    <w:rsid w:val="00785836"/>
    <w:rsid w:val="00785983"/>
    <w:rsid w:val="00785CEC"/>
    <w:rsid w:val="00786015"/>
    <w:rsid w:val="00786290"/>
    <w:rsid w:val="0078797E"/>
    <w:rsid w:val="0079012B"/>
    <w:rsid w:val="007905E2"/>
    <w:rsid w:val="0079085A"/>
    <w:rsid w:val="007908A8"/>
    <w:rsid w:val="0079125F"/>
    <w:rsid w:val="0079135D"/>
    <w:rsid w:val="00791497"/>
    <w:rsid w:val="0079179E"/>
    <w:rsid w:val="007927E2"/>
    <w:rsid w:val="00792A2A"/>
    <w:rsid w:val="00792A69"/>
    <w:rsid w:val="00793560"/>
    <w:rsid w:val="00793658"/>
    <w:rsid w:val="0079397B"/>
    <w:rsid w:val="007945C0"/>
    <w:rsid w:val="007948B2"/>
    <w:rsid w:val="0079500E"/>
    <w:rsid w:val="00795559"/>
    <w:rsid w:val="0079582D"/>
    <w:rsid w:val="00796155"/>
    <w:rsid w:val="00796584"/>
    <w:rsid w:val="007969AD"/>
    <w:rsid w:val="007979BD"/>
    <w:rsid w:val="007A11A9"/>
    <w:rsid w:val="007A1B97"/>
    <w:rsid w:val="007A279E"/>
    <w:rsid w:val="007A2C5F"/>
    <w:rsid w:val="007A2F0C"/>
    <w:rsid w:val="007A2FE1"/>
    <w:rsid w:val="007A353D"/>
    <w:rsid w:val="007A376C"/>
    <w:rsid w:val="007A37B8"/>
    <w:rsid w:val="007A3A35"/>
    <w:rsid w:val="007A3CBD"/>
    <w:rsid w:val="007A3EFA"/>
    <w:rsid w:val="007A3FB4"/>
    <w:rsid w:val="007A42EB"/>
    <w:rsid w:val="007A4641"/>
    <w:rsid w:val="007A4815"/>
    <w:rsid w:val="007A4F55"/>
    <w:rsid w:val="007A5259"/>
    <w:rsid w:val="007A5364"/>
    <w:rsid w:val="007A5375"/>
    <w:rsid w:val="007A57B8"/>
    <w:rsid w:val="007A5807"/>
    <w:rsid w:val="007A5A5A"/>
    <w:rsid w:val="007A5DF6"/>
    <w:rsid w:val="007A5F20"/>
    <w:rsid w:val="007A6DA3"/>
    <w:rsid w:val="007A6EA3"/>
    <w:rsid w:val="007A6ED0"/>
    <w:rsid w:val="007A77CD"/>
    <w:rsid w:val="007A780F"/>
    <w:rsid w:val="007A7C84"/>
    <w:rsid w:val="007A7D85"/>
    <w:rsid w:val="007A7F01"/>
    <w:rsid w:val="007B108D"/>
    <w:rsid w:val="007B117D"/>
    <w:rsid w:val="007B1533"/>
    <w:rsid w:val="007B1BC2"/>
    <w:rsid w:val="007B2091"/>
    <w:rsid w:val="007B22BA"/>
    <w:rsid w:val="007B2D15"/>
    <w:rsid w:val="007B33E5"/>
    <w:rsid w:val="007B3406"/>
    <w:rsid w:val="007B3660"/>
    <w:rsid w:val="007B3862"/>
    <w:rsid w:val="007B38A5"/>
    <w:rsid w:val="007B42A6"/>
    <w:rsid w:val="007B4377"/>
    <w:rsid w:val="007B46F0"/>
    <w:rsid w:val="007B563C"/>
    <w:rsid w:val="007B6715"/>
    <w:rsid w:val="007B6752"/>
    <w:rsid w:val="007B6F41"/>
    <w:rsid w:val="007B75EA"/>
    <w:rsid w:val="007B7C45"/>
    <w:rsid w:val="007B7D76"/>
    <w:rsid w:val="007B7E3C"/>
    <w:rsid w:val="007C023B"/>
    <w:rsid w:val="007C0697"/>
    <w:rsid w:val="007C0717"/>
    <w:rsid w:val="007C0C4B"/>
    <w:rsid w:val="007C19B6"/>
    <w:rsid w:val="007C241B"/>
    <w:rsid w:val="007C26FC"/>
    <w:rsid w:val="007C29CB"/>
    <w:rsid w:val="007C328E"/>
    <w:rsid w:val="007C393A"/>
    <w:rsid w:val="007C437B"/>
    <w:rsid w:val="007C43E5"/>
    <w:rsid w:val="007C44EE"/>
    <w:rsid w:val="007C44FB"/>
    <w:rsid w:val="007C4834"/>
    <w:rsid w:val="007C51A4"/>
    <w:rsid w:val="007C67EB"/>
    <w:rsid w:val="007C68B4"/>
    <w:rsid w:val="007C6945"/>
    <w:rsid w:val="007C7349"/>
    <w:rsid w:val="007C7B9D"/>
    <w:rsid w:val="007D0103"/>
    <w:rsid w:val="007D096D"/>
    <w:rsid w:val="007D09ED"/>
    <w:rsid w:val="007D1084"/>
    <w:rsid w:val="007D1A3A"/>
    <w:rsid w:val="007D1E7A"/>
    <w:rsid w:val="007D1E8E"/>
    <w:rsid w:val="007D20DF"/>
    <w:rsid w:val="007D27DD"/>
    <w:rsid w:val="007D3901"/>
    <w:rsid w:val="007D3A05"/>
    <w:rsid w:val="007D40A3"/>
    <w:rsid w:val="007D40BC"/>
    <w:rsid w:val="007D4274"/>
    <w:rsid w:val="007D43EB"/>
    <w:rsid w:val="007D4524"/>
    <w:rsid w:val="007D46CF"/>
    <w:rsid w:val="007D47A2"/>
    <w:rsid w:val="007D504D"/>
    <w:rsid w:val="007D5C03"/>
    <w:rsid w:val="007D64F2"/>
    <w:rsid w:val="007D70DF"/>
    <w:rsid w:val="007D70E9"/>
    <w:rsid w:val="007D710E"/>
    <w:rsid w:val="007D737D"/>
    <w:rsid w:val="007D78AD"/>
    <w:rsid w:val="007D7BF4"/>
    <w:rsid w:val="007E02C5"/>
    <w:rsid w:val="007E0309"/>
    <w:rsid w:val="007E0E4A"/>
    <w:rsid w:val="007E1917"/>
    <w:rsid w:val="007E1CD5"/>
    <w:rsid w:val="007E211D"/>
    <w:rsid w:val="007E216C"/>
    <w:rsid w:val="007E2651"/>
    <w:rsid w:val="007E2971"/>
    <w:rsid w:val="007E3246"/>
    <w:rsid w:val="007E361D"/>
    <w:rsid w:val="007E39FD"/>
    <w:rsid w:val="007E43E8"/>
    <w:rsid w:val="007E4E61"/>
    <w:rsid w:val="007E54E5"/>
    <w:rsid w:val="007E5861"/>
    <w:rsid w:val="007E6172"/>
    <w:rsid w:val="007E62EC"/>
    <w:rsid w:val="007E6B73"/>
    <w:rsid w:val="007E73FA"/>
    <w:rsid w:val="007E7548"/>
    <w:rsid w:val="007E7705"/>
    <w:rsid w:val="007E7B64"/>
    <w:rsid w:val="007F0C31"/>
    <w:rsid w:val="007F0DB6"/>
    <w:rsid w:val="007F108A"/>
    <w:rsid w:val="007F137F"/>
    <w:rsid w:val="007F151B"/>
    <w:rsid w:val="007F1810"/>
    <w:rsid w:val="007F1B6B"/>
    <w:rsid w:val="007F1E66"/>
    <w:rsid w:val="007F1ED6"/>
    <w:rsid w:val="007F1F52"/>
    <w:rsid w:val="007F228E"/>
    <w:rsid w:val="007F23CD"/>
    <w:rsid w:val="007F307E"/>
    <w:rsid w:val="007F36CE"/>
    <w:rsid w:val="007F3B92"/>
    <w:rsid w:val="007F3FDA"/>
    <w:rsid w:val="007F4315"/>
    <w:rsid w:val="007F5A7D"/>
    <w:rsid w:val="007F5E54"/>
    <w:rsid w:val="007F6007"/>
    <w:rsid w:val="007F6030"/>
    <w:rsid w:val="007F609A"/>
    <w:rsid w:val="007F6441"/>
    <w:rsid w:val="007F6A04"/>
    <w:rsid w:val="007F6A8E"/>
    <w:rsid w:val="007F6B5F"/>
    <w:rsid w:val="007F6D73"/>
    <w:rsid w:val="007F79A7"/>
    <w:rsid w:val="008005F7"/>
    <w:rsid w:val="00800797"/>
    <w:rsid w:val="00800D9C"/>
    <w:rsid w:val="008011B3"/>
    <w:rsid w:val="0080219F"/>
    <w:rsid w:val="00802255"/>
    <w:rsid w:val="008022AA"/>
    <w:rsid w:val="008022DB"/>
    <w:rsid w:val="00802402"/>
    <w:rsid w:val="00802A7D"/>
    <w:rsid w:val="00802FEE"/>
    <w:rsid w:val="008037B0"/>
    <w:rsid w:val="00803E2E"/>
    <w:rsid w:val="008046A3"/>
    <w:rsid w:val="00804A51"/>
    <w:rsid w:val="00804CB9"/>
    <w:rsid w:val="00805116"/>
    <w:rsid w:val="00805503"/>
    <w:rsid w:val="0080553F"/>
    <w:rsid w:val="008057DD"/>
    <w:rsid w:val="00805B17"/>
    <w:rsid w:val="008063CF"/>
    <w:rsid w:val="00806834"/>
    <w:rsid w:val="00806AF7"/>
    <w:rsid w:val="00807694"/>
    <w:rsid w:val="00807EE6"/>
    <w:rsid w:val="008104D9"/>
    <w:rsid w:val="008104E4"/>
    <w:rsid w:val="008107E5"/>
    <w:rsid w:val="00810F98"/>
    <w:rsid w:val="00811A6B"/>
    <w:rsid w:val="00811B62"/>
    <w:rsid w:val="00812706"/>
    <w:rsid w:val="00812C87"/>
    <w:rsid w:val="00812D0C"/>
    <w:rsid w:val="008138AD"/>
    <w:rsid w:val="00813B15"/>
    <w:rsid w:val="00813C03"/>
    <w:rsid w:val="00813C5B"/>
    <w:rsid w:val="0081420C"/>
    <w:rsid w:val="0081439B"/>
    <w:rsid w:val="00814CE4"/>
    <w:rsid w:val="00815C12"/>
    <w:rsid w:val="00815E39"/>
    <w:rsid w:val="0081602C"/>
    <w:rsid w:val="008160A5"/>
    <w:rsid w:val="0081630F"/>
    <w:rsid w:val="00816B49"/>
    <w:rsid w:val="00817240"/>
    <w:rsid w:val="00817509"/>
    <w:rsid w:val="008176B4"/>
    <w:rsid w:val="00817DC6"/>
    <w:rsid w:val="00820153"/>
    <w:rsid w:val="008211A6"/>
    <w:rsid w:val="00821B49"/>
    <w:rsid w:val="00821E3D"/>
    <w:rsid w:val="00822DCA"/>
    <w:rsid w:val="00823A26"/>
    <w:rsid w:val="00823A8D"/>
    <w:rsid w:val="00823C62"/>
    <w:rsid w:val="00823EDF"/>
    <w:rsid w:val="008244FE"/>
    <w:rsid w:val="00824B71"/>
    <w:rsid w:val="0082561C"/>
    <w:rsid w:val="0082573E"/>
    <w:rsid w:val="008258B7"/>
    <w:rsid w:val="008258F6"/>
    <w:rsid w:val="00826700"/>
    <w:rsid w:val="00826CB1"/>
    <w:rsid w:val="00827437"/>
    <w:rsid w:val="00827578"/>
    <w:rsid w:val="00827F3F"/>
    <w:rsid w:val="00830A49"/>
    <w:rsid w:val="00830DB5"/>
    <w:rsid w:val="00830F0A"/>
    <w:rsid w:val="00830F5F"/>
    <w:rsid w:val="008314F0"/>
    <w:rsid w:val="008318FA"/>
    <w:rsid w:val="0083197D"/>
    <w:rsid w:val="008319EA"/>
    <w:rsid w:val="008320B3"/>
    <w:rsid w:val="00832C16"/>
    <w:rsid w:val="00834115"/>
    <w:rsid w:val="00834365"/>
    <w:rsid w:val="008347A4"/>
    <w:rsid w:val="00834C2D"/>
    <w:rsid w:val="00834ECD"/>
    <w:rsid w:val="008352B8"/>
    <w:rsid w:val="008358CB"/>
    <w:rsid w:val="00835C86"/>
    <w:rsid w:val="00835D3A"/>
    <w:rsid w:val="00835F45"/>
    <w:rsid w:val="0083614E"/>
    <w:rsid w:val="008361B9"/>
    <w:rsid w:val="00836BAF"/>
    <w:rsid w:val="008371BD"/>
    <w:rsid w:val="00837ED6"/>
    <w:rsid w:val="00840255"/>
    <w:rsid w:val="008404DC"/>
    <w:rsid w:val="0084056C"/>
    <w:rsid w:val="00840799"/>
    <w:rsid w:val="00840C69"/>
    <w:rsid w:val="00840D2E"/>
    <w:rsid w:val="00840D40"/>
    <w:rsid w:val="00840F58"/>
    <w:rsid w:val="00841004"/>
    <w:rsid w:val="008410C9"/>
    <w:rsid w:val="00841196"/>
    <w:rsid w:val="00841CD1"/>
    <w:rsid w:val="00841EA1"/>
    <w:rsid w:val="00842023"/>
    <w:rsid w:val="008421D8"/>
    <w:rsid w:val="00842372"/>
    <w:rsid w:val="008440F8"/>
    <w:rsid w:val="00844156"/>
    <w:rsid w:val="008441F0"/>
    <w:rsid w:val="008446DA"/>
    <w:rsid w:val="00844AE4"/>
    <w:rsid w:val="00844B4C"/>
    <w:rsid w:val="00844CF9"/>
    <w:rsid w:val="008453A4"/>
    <w:rsid w:val="00845920"/>
    <w:rsid w:val="00845942"/>
    <w:rsid w:val="008474D4"/>
    <w:rsid w:val="00847536"/>
    <w:rsid w:val="00847A98"/>
    <w:rsid w:val="00847CD0"/>
    <w:rsid w:val="00847FB4"/>
    <w:rsid w:val="00847FCA"/>
    <w:rsid w:val="00850785"/>
    <w:rsid w:val="008511F4"/>
    <w:rsid w:val="00851755"/>
    <w:rsid w:val="00851C50"/>
    <w:rsid w:val="008524F1"/>
    <w:rsid w:val="00853718"/>
    <w:rsid w:val="00853EEC"/>
    <w:rsid w:val="00853F13"/>
    <w:rsid w:val="00854200"/>
    <w:rsid w:val="00854A9B"/>
    <w:rsid w:val="00854FAD"/>
    <w:rsid w:val="00854FDF"/>
    <w:rsid w:val="00855898"/>
    <w:rsid w:val="0085592B"/>
    <w:rsid w:val="00855B60"/>
    <w:rsid w:val="00857917"/>
    <w:rsid w:val="00860DC5"/>
    <w:rsid w:val="00860DC9"/>
    <w:rsid w:val="00860FFD"/>
    <w:rsid w:val="00861650"/>
    <w:rsid w:val="008623BB"/>
    <w:rsid w:val="008629D9"/>
    <w:rsid w:val="008632A0"/>
    <w:rsid w:val="008643BF"/>
    <w:rsid w:val="00864582"/>
    <w:rsid w:val="00864D7F"/>
    <w:rsid w:val="008652DE"/>
    <w:rsid w:val="0086576B"/>
    <w:rsid w:val="008659D0"/>
    <w:rsid w:val="00865D52"/>
    <w:rsid w:val="00865F29"/>
    <w:rsid w:val="00866AC9"/>
    <w:rsid w:val="00866E3C"/>
    <w:rsid w:val="00867461"/>
    <w:rsid w:val="008674F7"/>
    <w:rsid w:val="00867530"/>
    <w:rsid w:val="00867823"/>
    <w:rsid w:val="00867D72"/>
    <w:rsid w:val="008700CD"/>
    <w:rsid w:val="00870484"/>
    <w:rsid w:val="0087083C"/>
    <w:rsid w:val="00870F4D"/>
    <w:rsid w:val="00871103"/>
    <w:rsid w:val="008727EC"/>
    <w:rsid w:val="00872807"/>
    <w:rsid w:val="00872BC6"/>
    <w:rsid w:val="00872DFA"/>
    <w:rsid w:val="008733D8"/>
    <w:rsid w:val="00873DE3"/>
    <w:rsid w:val="008742DE"/>
    <w:rsid w:val="008744FA"/>
    <w:rsid w:val="008746AB"/>
    <w:rsid w:val="00874B22"/>
    <w:rsid w:val="00875BD3"/>
    <w:rsid w:val="0087612A"/>
    <w:rsid w:val="00876A9B"/>
    <w:rsid w:val="00876AA6"/>
    <w:rsid w:val="00876C4B"/>
    <w:rsid w:val="00876F85"/>
    <w:rsid w:val="008778FA"/>
    <w:rsid w:val="00877FAA"/>
    <w:rsid w:val="0088009C"/>
    <w:rsid w:val="00880411"/>
    <w:rsid w:val="0088061C"/>
    <w:rsid w:val="008807E2"/>
    <w:rsid w:val="00880823"/>
    <w:rsid w:val="008809FA"/>
    <w:rsid w:val="00880C07"/>
    <w:rsid w:val="00880C2B"/>
    <w:rsid w:val="00880E44"/>
    <w:rsid w:val="0088114C"/>
    <w:rsid w:val="00881469"/>
    <w:rsid w:val="00881BC2"/>
    <w:rsid w:val="00881D98"/>
    <w:rsid w:val="00881F9B"/>
    <w:rsid w:val="00882151"/>
    <w:rsid w:val="008822CC"/>
    <w:rsid w:val="00882B25"/>
    <w:rsid w:val="00882BB5"/>
    <w:rsid w:val="00883621"/>
    <w:rsid w:val="00883702"/>
    <w:rsid w:val="008838F7"/>
    <w:rsid w:val="008839AC"/>
    <w:rsid w:val="00884098"/>
    <w:rsid w:val="008851BC"/>
    <w:rsid w:val="008851D8"/>
    <w:rsid w:val="008852DC"/>
    <w:rsid w:val="00885362"/>
    <w:rsid w:val="00885677"/>
    <w:rsid w:val="00885AFA"/>
    <w:rsid w:val="00886728"/>
    <w:rsid w:val="00886CB3"/>
    <w:rsid w:val="00886D7B"/>
    <w:rsid w:val="008874E2"/>
    <w:rsid w:val="00887B1D"/>
    <w:rsid w:val="00887B42"/>
    <w:rsid w:val="008912B0"/>
    <w:rsid w:val="008917EC"/>
    <w:rsid w:val="00892A8B"/>
    <w:rsid w:val="00892B0D"/>
    <w:rsid w:val="00892E65"/>
    <w:rsid w:val="00892FEB"/>
    <w:rsid w:val="00893209"/>
    <w:rsid w:val="00893322"/>
    <w:rsid w:val="00893C34"/>
    <w:rsid w:val="008945E4"/>
    <w:rsid w:val="00895CF1"/>
    <w:rsid w:val="00895F06"/>
    <w:rsid w:val="0089717F"/>
    <w:rsid w:val="00897208"/>
    <w:rsid w:val="008977A6"/>
    <w:rsid w:val="00897E02"/>
    <w:rsid w:val="008A0795"/>
    <w:rsid w:val="008A0847"/>
    <w:rsid w:val="008A1506"/>
    <w:rsid w:val="008A16BB"/>
    <w:rsid w:val="008A177E"/>
    <w:rsid w:val="008A1FC8"/>
    <w:rsid w:val="008A2F56"/>
    <w:rsid w:val="008A36C0"/>
    <w:rsid w:val="008A3A38"/>
    <w:rsid w:val="008A40BA"/>
    <w:rsid w:val="008A40D6"/>
    <w:rsid w:val="008A40DC"/>
    <w:rsid w:val="008A4FC8"/>
    <w:rsid w:val="008A5053"/>
    <w:rsid w:val="008A5BCC"/>
    <w:rsid w:val="008A5E81"/>
    <w:rsid w:val="008A61D7"/>
    <w:rsid w:val="008A62AC"/>
    <w:rsid w:val="008A6878"/>
    <w:rsid w:val="008A6998"/>
    <w:rsid w:val="008A69A7"/>
    <w:rsid w:val="008A6BEB"/>
    <w:rsid w:val="008A6DEA"/>
    <w:rsid w:val="008A6E00"/>
    <w:rsid w:val="008A6ED5"/>
    <w:rsid w:val="008A6F85"/>
    <w:rsid w:val="008A703C"/>
    <w:rsid w:val="008A7533"/>
    <w:rsid w:val="008A76DB"/>
    <w:rsid w:val="008A76F6"/>
    <w:rsid w:val="008A7937"/>
    <w:rsid w:val="008A7CFC"/>
    <w:rsid w:val="008A7FB6"/>
    <w:rsid w:val="008B0125"/>
    <w:rsid w:val="008B06F8"/>
    <w:rsid w:val="008B1401"/>
    <w:rsid w:val="008B1928"/>
    <w:rsid w:val="008B2219"/>
    <w:rsid w:val="008B2D04"/>
    <w:rsid w:val="008B2F41"/>
    <w:rsid w:val="008B3484"/>
    <w:rsid w:val="008B397F"/>
    <w:rsid w:val="008B3A0B"/>
    <w:rsid w:val="008B43DE"/>
    <w:rsid w:val="008B4848"/>
    <w:rsid w:val="008B484B"/>
    <w:rsid w:val="008B4C32"/>
    <w:rsid w:val="008B4DBC"/>
    <w:rsid w:val="008B4E10"/>
    <w:rsid w:val="008B6054"/>
    <w:rsid w:val="008B6828"/>
    <w:rsid w:val="008B6C23"/>
    <w:rsid w:val="008B726C"/>
    <w:rsid w:val="008B7893"/>
    <w:rsid w:val="008B7F6D"/>
    <w:rsid w:val="008C0252"/>
    <w:rsid w:val="008C053B"/>
    <w:rsid w:val="008C0BFB"/>
    <w:rsid w:val="008C0F7E"/>
    <w:rsid w:val="008C0FA5"/>
    <w:rsid w:val="008C1FE2"/>
    <w:rsid w:val="008C2374"/>
    <w:rsid w:val="008C2534"/>
    <w:rsid w:val="008C2B12"/>
    <w:rsid w:val="008C3A99"/>
    <w:rsid w:val="008C3ED6"/>
    <w:rsid w:val="008C3F43"/>
    <w:rsid w:val="008C4319"/>
    <w:rsid w:val="008C43A9"/>
    <w:rsid w:val="008C49C8"/>
    <w:rsid w:val="008C4D59"/>
    <w:rsid w:val="008C4EB3"/>
    <w:rsid w:val="008C4FB6"/>
    <w:rsid w:val="008C54C5"/>
    <w:rsid w:val="008C5C47"/>
    <w:rsid w:val="008C61CB"/>
    <w:rsid w:val="008C647A"/>
    <w:rsid w:val="008C6FA2"/>
    <w:rsid w:val="008C7048"/>
    <w:rsid w:val="008C71C4"/>
    <w:rsid w:val="008C735D"/>
    <w:rsid w:val="008C737E"/>
    <w:rsid w:val="008C74CC"/>
    <w:rsid w:val="008C7F19"/>
    <w:rsid w:val="008C7F7E"/>
    <w:rsid w:val="008D0342"/>
    <w:rsid w:val="008D1091"/>
    <w:rsid w:val="008D16A5"/>
    <w:rsid w:val="008D17D1"/>
    <w:rsid w:val="008D1EAE"/>
    <w:rsid w:val="008D244E"/>
    <w:rsid w:val="008D2939"/>
    <w:rsid w:val="008D299B"/>
    <w:rsid w:val="008D2B55"/>
    <w:rsid w:val="008D2C17"/>
    <w:rsid w:val="008D3294"/>
    <w:rsid w:val="008D348E"/>
    <w:rsid w:val="008D43B5"/>
    <w:rsid w:val="008D4A7B"/>
    <w:rsid w:val="008D4D9E"/>
    <w:rsid w:val="008D50F6"/>
    <w:rsid w:val="008D53EB"/>
    <w:rsid w:val="008D5E63"/>
    <w:rsid w:val="008D61B7"/>
    <w:rsid w:val="008D61D3"/>
    <w:rsid w:val="008D6A57"/>
    <w:rsid w:val="008D7491"/>
    <w:rsid w:val="008D752E"/>
    <w:rsid w:val="008D783D"/>
    <w:rsid w:val="008E0384"/>
    <w:rsid w:val="008E04D8"/>
    <w:rsid w:val="008E04E0"/>
    <w:rsid w:val="008E0E0C"/>
    <w:rsid w:val="008E15F2"/>
    <w:rsid w:val="008E1EB3"/>
    <w:rsid w:val="008E20E9"/>
    <w:rsid w:val="008E2414"/>
    <w:rsid w:val="008E24F6"/>
    <w:rsid w:val="008E2A83"/>
    <w:rsid w:val="008E2CEC"/>
    <w:rsid w:val="008E36F0"/>
    <w:rsid w:val="008E3DC1"/>
    <w:rsid w:val="008E3E16"/>
    <w:rsid w:val="008E3FAA"/>
    <w:rsid w:val="008E4145"/>
    <w:rsid w:val="008E433C"/>
    <w:rsid w:val="008E454C"/>
    <w:rsid w:val="008E4B81"/>
    <w:rsid w:val="008E4CFE"/>
    <w:rsid w:val="008E51F0"/>
    <w:rsid w:val="008E68AD"/>
    <w:rsid w:val="008E6DE1"/>
    <w:rsid w:val="008E719F"/>
    <w:rsid w:val="008E7251"/>
    <w:rsid w:val="008E72A7"/>
    <w:rsid w:val="008E765F"/>
    <w:rsid w:val="008E76CC"/>
    <w:rsid w:val="008E77E8"/>
    <w:rsid w:val="008E7DFE"/>
    <w:rsid w:val="008F0EE9"/>
    <w:rsid w:val="008F0F39"/>
    <w:rsid w:val="008F120B"/>
    <w:rsid w:val="008F1333"/>
    <w:rsid w:val="008F16E8"/>
    <w:rsid w:val="008F1E1D"/>
    <w:rsid w:val="008F21F7"/>
    <w:rsid w:val="008F23ED"/>
    <w:rsid w:val="008F24C6"/>
    <w:rsid w:val="008F3095"/>
    <w:rsid w:val="008F3548"/>
    <w:rsid w:val="008F3AE5"/>
    <w:rsid w:val="008F3BCD"/>
    <w:rsid w:val="008F3E13"/>
    <w:rsid w:val="008F470E"/>
    <w:rsid w:val="008F4F61"/>
    <w:rsid w:val="008F5576"/>
    <w:rsid w:val="008F56E3"/>
    <w:rsid w:val="008F5AAA"/>
    <w:rsid w:val="008F63CA"/>
    <w:rsid w:val="008F665A"/>
    <w:rsid w:val="008F71AB"/>
    <w:rsid w:val="008F7428"/>
    <w:rsid w:val="009000C9"/>
    <w:rsid w:val="00900265"/>
    <w:rsid w:val="009005F0"/>
    <w:rsid w:val="00900D00"/>
    <w:rsid w:val="0090112F"/>
    <w:rsid w:val="00901336"/>
    <w:rsid w:val="0090188B"/>
    <w:rsid w:val="00901E9B"/>
    <w:rsid w:val="00901EC7"/>
    <w:rsid w:val="00901F50"/>
    <w:rsid w:val="00901F78"/>
    <w:rsid w:val="00901FC4"/>
    <w:rsid w:val="0090250C"/>
    <w:rsid w:val="009026B4"/>
    <w:rsid w:val="00902869"/>
    <w:rsid w:val="00902C90"/>
    <w:rsid w:val="009037AF"/>
    <w:rsid w:val="009039C9"/>
    <w:rsid w:val="009039D8"/>
    <w:rsid w:val="00903DAE"/>
    <w:rsid w:val="00904C54"/>
    <w:rsid w:val="00904CAD"/>
    <w:rsid w:val="00905451"/>
    <w:rsid w:val="00905648"/>
    <w:rsid w:val="00905656"/>
    <w:rsid w:val="0090590F"/>
    <w:rsid w:val="00905FCB"/>
    <w:rsid w:val="00905FD9"/>
    <w:rsid w:val="00906AF9"/>
    <w:rsid w:val="00907C09"/>
    <w:rsid w:val="0091016B"/>
    <w:rsid w:val="00910C29"/>
    <w:rsid w:val="00910D4D"/>
    <w:rsid w:val="0091117A"/>
    <w:rsid w:val="00911B56"/>
    <w:rsid w:val="00912093"/>
    <w:rsid w:val="0091235F"/>
    <w:rsid w:val="00912BF2"/>
    <w:rsid w:val="009136C0"/>
    <w:rsid w:val="009137C1"/>
    <w:rsid w:val="009142C7"/>
    <w:rsid w:val="0091440C"/>
    <w:rsid w:val="009144DD"/>
    <w:rsid w:val="009146BA"/>
    <w:rsid w:val="00914C78"/>
    <w:rsid w:val="00915233"/>
    <w:rsid w:val="00915CA5"/>
    <w:rsid w:val="00916349"/>
    <w:rsid w:val="0091648E"/>
    <w:rsid w:val="00916518"/>
    <w:rsid w:val="00916BA7"/>
    <w:rsid w:val="00917729"/>
    <w:rsid w:val="0091772D"/>
    <w:rsid w:val="00917BB1"/>
    <w:rsid w:val="009203CF"/>
    <w:rsid w:val="0092044F"/>
    <w:rsid w:val="00920502"/>
    <w:rsid w:val="0092187E"/>
    <w:rsid w:val="00922050"/>
    <w:rsid w:val="00922217"/>
    <w:rsid w:val="00922496"/>
    <w:rsid w:val="00922E81"/>
    <w:rsid w:val="00922EB7"/>
    <w:rsid w:val="009231D1"/>
    <w:rsid w:val="00923E3D"/>
    <w:rsid w:val="00924B67"/>
    <w:rsid w:val="00924DDE"/>
    <w:rsid w:val="009250D0"/>
    <w:rsid w:val="0092513E"/>
    <w:rsid w:val="00925159"/>
    <w:rsid w:val="009255C5"/>
    <w:rsid w:val="00925A69"/>
    <w:rsid w:val="0092635F"/>
    <w:rsid w:val="00926BB9"/>
    <w:rsid w:val="0092747C"/>
    <w:rsid w:val="009300DB"/>
    <w:rsid w:val="00930972"/>
    <w:rsid w:val="00930984"/>
    <w:rsid w:val="0093099B"/>
    <w:rsid w:val="00930BBF"/>
    <w:rsid w:val="009319CE"/>
    <w:rsid w:val="00931AB3"/>
    <w:rsid w:val="009320BD"/>
    <w:rsid w:val="00933F15"/>
    <w:rsid w:val="009349F4"/>
    <w:rsid w:val="00934D6D"/>
    <w:rsid w:val="00935262"/>
    <w:rsid w:val="009353A9"/>
    <w:rsid w:val="00935463"/>
    <w:rsid w:val="00935691"/>
    <w:rsid w:val="00935F0C"/>
    <w:rsid w:val="00935F7F"/>
    <w:rsid w:val="00936D1F"/>
    <w:rsid w:val="0093746F"/>
    <w:rsid w:val="009376C1"/>
    <w:rsid w:val="00937837"/>
    <w:rsid w:val="009379FD"/>
    <w:rsid w:val="00937B39"/>
    <w:rsid w:val="00937DD2"/>
    <w:rsid w:val="00937F2F"/>
    <w:rsid w:val="00940034"/>
    <w:rsid w:val="00940770"/>
    <w:rsid w:val="00941050"/>
    <w:rsid w:val="009411E7"/>
    <w:rsid w:val="009428DA"/>
    <w:rsid w:val="009429E8"/>
    <w:rsid w:val="0094366D"/>
    <w:rsid w:val="00943C89"/>
    <w:rsid w:val="009440EB"/>
    <w:rsid w:val="00944CA7"/>
    <w:rsid w:val="0094526B"/>
    <w:rsid w:val="00945E15"/>
    <w:rsid w:val="00946164"/>
    <w:rsid w:val="0094690B"/>
    <w:rsid w:val="009477AE"/>
    <w:rsid w:val="00947CD3"/>
    <w:rsid w:val="00950365"/>
    <w:rsid w:val="00950CE4"/>
    <w:rsid w:val="00951815"/>
    <w:rsid w:val="00951A7B"/>
    <w:rsid w:val="00952717"/>
    <w:rsid w:val="00952C2E"/>
    <w:rsid w:val="0095373B"/>
    <w:rsid w:val="00953C08"/>
    <w:rsid w:val="00953D15"/>
    <w:rsid w:val="009543FC"/>
    <w:rsid w:val="0095450C"/>
    <w:rsid w:val="00955D33"/>
    <w:rsid w:val="00955FEA"/>
    <w:rsid w:val="0095680E"/>
    <w:rsid w:val="00956AA2"/>
    <w:rsid w:val="00956FA5"/>
    <w:rsid w:val="00957370"/>
    <w:rsid w:val="009577F1"/>
    <w:rsid w:val="00957A3E"/>
    <w:rsid w:val="009606C4"/>
    <w:rsid w:val="009608A8"/>
    <w:rsid w:val="00960A59"/>
    <w:rsid w:val="00960D1C"/>
    <w:rsid w:val="009611A4"/>
    <w:rsid w:val="00961F63"/>
    <w:rsid w:val="00962251"/>
    <w:rsid w:val="0096285F"/>
    <w:rsid w:val="00962CA9"/>
    <w:rsid w:val="00962F23"/>
    <w:rsid w:val="0096315D"/>
    <w:rsid w:val="009637DA"/>
    <w:rsid w:val="00963E54"/>
    <w:rsid w:val="009643E1"/>
    <w:rsid w:val="00964B7D"/>
    <w:rsid w:val="00965848"/>
    <w:rsid w:val="00965ACA"/>
    <w:rsid w:val="00965C1F"/>
    <w:rsid w:val="00965C2B"/>
    <w:rsid w:val="009660AF"/>
    <w:rsid w:val="009660E0"/>
    <w:rsid w:val="00966390"/>
    <w:rsid w:val="009664F6"/>
    <w:rsid w:val="00966861"/>
    <w:rsid w:val="00966B88"/>
    <w:rsid w:val="00966BA8"/>
    <w:rsid w:val="00967C67"/>
    <w:rsid w:val="00967E2D"/>
    <w:rsid w:val="00967ED1"/>
    <w:rsid w:val="00967F08"/>
    <w:rsid w:val="00970223"/>
    <w:rsid w:val="0097144E"/>
    <w:rsid w:val="00971C0E"/>
    <w:rsid w:val="00972EBC"/>
    <w:rsid w:val="009732A7"/>
    <w:rsid w:val="00973D5F"/>
    <w:rsid w:val="00973E34"/>
    <w:rsid w:val="0097424D"/>
    <w:rsid w:val="009742AE"/>
    <w:rsid w:val="009745B6"/>
    <w:rsid w:val="00974D46"/>
    <w:rsid w:val="00974E33"/>
    <w:rsid w:val="00975D1D"/>
    <w:rsid w:val="00976D19"/>
    <w:rsid w:val="00976EF1"/>
    <w:rsid w:val="00977247"/>
    <w:rsid w:val="00977251"/>
    <w:rsid w:val="00977CDE"/>
    <w:rsid w:val="009800B4"/>
    <w:rsid w:val="0098011B"/>
    <w:rsid w:val="009804E7"/>
    <w:rsid w:val="00980637"/>
    <w:rsid w:val="00980682"/>
    <w:rsid w:val="00980F2A"/>
    <w:rsid w:val="0098166F"/>
    <w:rsid w:val="00981711"/>
    <w:rsid w:val="00981BE2"/>
    <w:rsid w:val="00982FFA"/>
    <w:rsid w:val="0098356B"/>
    <w:rsid w:val="009837BA"/>
    <w:rsid w:val="00983A43"/>
    <w:rsid w:val="00983E9F"/>
    <w:rsid w:val="00984484"/>
    <w:rsid w:val="009848A1"/>
    <w:rsid w:val="00984B52"/>
    <w:rsid w:val="0098550F"/>
    <w:rsid w:val="00985822"/>
    <w:rsid w:val="009859A0"/>
    <w:rsid w:val="00985E21"/>
    <w:rsid w:val="00985E5C"/>
    <w:rsid w:val="009862BA"/>
    <w:rsid w:val="00986D5B"/>
    <w:rsid w:val="00987038"/>
    <w:rsid w:val="00987346"/>
    <w:rsid w:val="009903CC"/>
    <w:rsid w:val="00990A7F"/>
    <w:rsid w:val="00990A89"/>
    <w:rsid w:val="00990CF0"/>
    <w:rsid w:val="00990FB0"/>
    <w:rsid w:val="009912AF"/>
    <w:rsid w:val="009914BE"/>
    <w:rsid w:val="009916C3"/>
    <w:rsid w:val="00991C44"/>
    <w:rsid w:val="0099249F"/>
    <w:rsid w:val="00992A6F"/>
    <w:rsid w:val="00992B25"/>
    <w:rsid w:val="00993094"/>
    <w:rsid w:val="009933A5"/>
    <w:rsid w:val="00993990"/>
    <w:rsid w:val="00993A97"/>
    <w:rsid w:val="0099417E"/>
    <w:rsid w:val="00994357"/>
    <w:rsid w:val="00994712"/>
    <w:rsid w:val="00994A12"/>
    <w:rsid w:val="0099506B"/>
    <w:rsid w:val="0099511F"/>
    <w:rsid w:val="009954E6"/>
    <w:rsid w:val="00995769"/>
    <w:rsid w:val="00995915"/>
    <w:rsid w:val="0099607E"/>
    <w:rsid w:val="009965CD"/>
    <w:rsid w:val="00996A96"/>
    <w:rsid w:val="00996C4E"/>
    <w:rsid w:val="00996EEE"/>
    <w:rsid w:val="00997793"/>
    <w:rsid w:val="009A0102"/>
    <w:rsid w:val="009A0227"/>
    <w:rsid w:val="009A0B39"/>
    <w:rsid w:val="009A0C26"/>
    <w:rsid w:val="009A1114"/>
    <w:rsid w:val="009A1225"/>
    <w:rsid w:val="009A16DE"/>
    <w:rsid w:val="009A18EE"/>
    <w:rsid w:val="009A1A75"/>
    <w:rsid w:val="009A1ADE"/>
    <w:rsid w:val="009A1D97"/>
    <w:rsid w:val="009A236B"/>
    <w:rsid w:val="009A243D"/>
    <w:rsid w:val="009A267D"/>
    <w:rsid w:val="009A27C1"/>
    <w:rsid w:val="009A27CB"/>
    <w:rsid w:val="009A2D0B"/>
    <w:rsid w:val="009A2FFA"/>
    <w:rsid w:val="009A32C2"/>
    <w:rsid w:val="009A3C4C"/>
    <w:rsid w:val="009A3E20"/>
    <w:rsid w:val="009A5506"/>
    <w:rsid w:val="009A6A2A"/>
    <w:rsid w:val="009A6E1C"/>
    <w:rsid w:val="009A70AF"/>
    <w:rsid w:val="009B01F3"/>
    <w:rsid w:val="009B120A"/>
    <w:rsid w:val="009B17B2"/>
    <w:rsid w:val="009B1E6B"/>
    <w:rsid w:val="009B242F"/>
    <w:rsid w:val="009B3395"/>
    <w:rsid w:val="009B35A5"/>
    <w:rsid w:val="009B381D"/>
    <w:rsid w:val="009B3BE6"/>
    <w:rsid w:val="009B3DC7"/>
    <w:rsid w:val="009B4341"/>
    <w:rsid w:val="009B4CCA"/>
    <w:rsid w:val="009B4D9E"/>
    <w:rsid w:val="009B4FE3"/>
    <w:rsid w:val="009B4FF3"/>
    <w:rsid w:val="009B55C3"/>
    <w:rsid w:val="009B5CE3"/>
    <w:rsid w:val="009B612C"/>
    <w:rsid w:val="009B6262"/>
    <w:rsid w:val="009B7589"/>
    <w:rsid w:val="009B7666"/>
    <w:rsid w:val="009C0158"/>
    <w:rsid w:val="009C02D1"/>
    <w:rsid w:val="009C0620"/>
    <w:rsid w:val="009C0656"/>
    <w:rsid w:val="009C0BC5"/>
    <w:rsid w:val="009C0D48"/>
    <w:rsid w:val="009C0DD8"/>
    <w:rsid w:val="009C369C"/>
    <w:rsid w:val="009C38D0"/>
    <w:rsid w:val="009C3CB8"/>
    <w:rsid w:val="009C41D4"/>
    <w:rsid w:val="009C45AC"/>
    <w:rsid w:val="009C4894"/>
    <w:rsid w:val="009C524E"/>
    <w:rsid w:val="009C52CE"/>
    <w:rsid w:val="009C57A9"/>
    <w:rsid w:val="009C5A83"/>
    <w:rsid w:val="009C5BFA"/>
    <w:rsid w:val="009C6B13"/>
    <w:rsid w:val="009C6B6E"/>
    <w:rsid w:val="009C6CCB"/>
    <w:rsid w:val="009C6D12"/>
    <w:rsid w:val="009C766D"/>
    <w:rsid w:val="009C7A60"/>
    <w:rsid w:val="009C7EE4"/>
    <w:rsid w:val="009D00F0"/>
    <w:rsid w:val="009D105D"/>
    <w:rsid w:val="009D16C9"/>
    <w:rsid w:val="009D170D"/>
    <w:rsid w:val="009D181F"/>
    <w:rsid w:val="009D1E59"/>
    <w:rsid w:val="009D25ED"/>
    <w:rsid w:val="009D27B7"/>
    <w:rsid w:val="009D2A2C"/>
    <w:rsid w:val="009D2EF7"/>
    <w:rsid w:val="009D2F9C"/>
    <w:rsid w:val="009D3852"/>
    <w:rsid w:val="009D4869"/>
    <w:rsid w:val="009D4AC0"/>
    <w:rsid w:val="009D4DF7"/>
    <w:rsid w:val="009D53BE"/>
    <w:rsid w:val="009D659B"/>
    <w:rsid w:val="009D67AE"/>
    <w:rsid w:val="009D7116"/>
    <w:rsid w:val="009D7625"/>
    <w:rsid w:val="009D7A47"/>
    <w:rsid w:val="009E00C8"/>
    <w:rsid w:val="009E0F33"/>
    <w:rsid w:val="009E148B"/>
    <w:rsid w:val="009E172A"/>
    <w:rsid w:val="009E1958"/>
    <w:rsid w:val="009E1B33"/>
    <w:rsid w:val="009E282E"/>
    <w:rsid w:val="009E3076"/>
    <w:rsid w:val="009E31E4"/>
    <w:rsid w:val="009E3555"/>
    <w:rsid w:val="009E36F3"/>
    <w:rsid w:val="009E4A56"/>
    <w:rsid w:val="009E4CA8"/>
    <w:rsid w:val="009E4F82"/>
    <w:rsid w:val="009E5783"/>
    <w:rsid w:val="009E5990"/>
    <w:rsid w:val="009E5D39"/>
    <w:rsid w:val="009E6151"/>
    <w:rsid w:val="009E635F"/>
    <w:rsid w:val="009E64F8"/>
    <w:rsid w:val="009E6564"/>
    <w:rsid w:val="009E6F96"/>
    <w:rsid w:val="009E7D88"/>
    <w:rsid w:val="009F0B8D"/>
    <w:rsid w:val="009F11B3"/>
    <w:rsid w:val="009F1884"/>
    <w:rsid w:val="009F1D80"/>
    <w:rsid w:val="009F1E2B"/>
    <w:rsid w:val="009F2164"/>
    <w:rsid w:val="009F2AF4"/>
    <w:rsid w:val="009F327A"/>
    <w:rsid w:val="009F3332"/>
    <w:rsid w:val="009F333C"/>
    <w:rsid w:val="009F3FE6"/>
    <w:rsid w:val="009F413F"/>
    <w:rsid w:val="009F46DC"/>
    <w:rsid w:val="009F484E"/>
    <w:rsid w:val="009F569D"/>
    <w:rsid w:val="009F5B7E"/>
    <w:rsid w:val="009F5F02"/>
    <w:rsid w:val="009F6388"/>
    <w:rsid w:val="009F6548"/>
    <w:rsid w:val="009F67D5"/>
    <w:rsid w:val="009F6B15"/>
    <w:rsid w:val="009F7C4B"/>
    <w:rsid w:val="00A008FC"/>
    <w:rsid w:val="00A00943"/>
    <w:rsid w:val="00A00B8E"/>
    <w:rsid w:val="00A00F28"/>
    <w:rsid w:val="00A00F38"/>
    <w:rsid w:val="00A00F49"/>
    <w:rsid w:val="00A00F95"/>
    <w:rsid w:val="00A011F7"/>
    <w:rsid w:val="00A018D3"/>
    <w:rsid w:val="00A01993"/>
    <w:rsid w:val="00A022D4"/>
    <w:rsid w:val="00A02334"/>
    <w:rsid w:val="00A02903"/>
    <w:rsid w:val="00A02AAD"/>
    <w:rsid w:val="00A02BDE"/>
    <w:rsid w:val="00A03480"/>
    <w:rsid w:val="00A04961"/>
    <w:rsid w:val="00A04C9F"/>
    <w:rsid w:val="00A05251"/>
    <w:rsid w:val="00A056EB"/>
    <w:rsid w:val="00A0591B"/>
    <w:rsid w:val="00A06408"/>
    <w:rsid w:val="00A0674B"/>
    <w:rsid w:val="00A06E2A"/>
    <w:rsid w:val="00A06E5D"/>
    <w:rsid w:val="00A07473"/>
    <w:rsid w:val="00A07906"/>
    <w:rsid w:val="00A11235"/>
    <w:rsid w:val="00A11675"/>
    <w:rsid w:val="00A11793"/>
    <w:rsid w:val="00A1181D"/>
    <w:rsid w:val="00A11F38"/>
    <w:rsid w:val="00A124BE"/>
    <w:rsid w:val="00A125CE"/>
    <w:rsid w:val="00A12868"/>
    <w:rsid w:val="00A12ED1"/>
    <w:rsid w:val="00A130B1"/>
    <w:rsid w:val="00A1352D"/>
    <w:rsid w:val="00A14100"/>
    <w:rsid w:val="00A14307"/>
    <w:rsid w:val="00A14488"/>
    <w:rsid w:val="00A148F3"/>
    <w:rsid w:val="00A14A79"/>
    <w:rsid w:val="00A154A6"/>
    <w:rsid w:val="00A156F0"/>
    <w:rsid w:val="00A1579C"/>
    <w:rsid w:val="00A162BF"/>
    <w:rsid w:val="00A16A1C"/>
    <w:rsid w:val="00A16AC5"/>
    <w:rsid w:val="00A16CA3"/>
    <w:rsid w:val="00A1740E"/>
    <w:rsid w:val="00A175CC"/>
    <w:rsid w:val="00A1765E"/>
    <w:rsid w:val="00A179A6"/>
    <w:rsid w:val="00A17C36"/>
    <w:rsid w:val="00A20363"/>
    <w:rsid w:val="00A20809"/>
    <w:rsid w:val="00A20E1C"/>
    <w:rsid w:val="00A2126A"/>
    <w:rsid w:val="00A21958"/>
    <w:rsid w:val="00A219D0"/>
    <w:rsid w:val="00A21E8A"/>
    <w:rsid w:val="00A21FDF"/>
    <w:rsid w:val="00A22218"/>
    <w:rsid w:val="00A223DB"/>
    <w:rsid w:val="00A2282E"/>
    <w:rsid w:val="00A22A6B"/>
    <w:rsid w:val="00A22C54"/>
    <w:rsid w:val="00A22DDD"/>
    <w:rsid w:val="00A23420"/>
    <w:rsid w:val="00A24CAD"/>
    <w:rsid w:val="00A252A7"/>
    <w:rsid w:val="00A258CD"/>
    <w:rsid w:val="00A25BF4"/>
    <w:rsid w:val="00A25CAB"/>
    <w:rsid w:val="00A25DA2"/>
    <w:rsid w:val="00A25EA8"/>
    <w:rsid w:val="00A266CC"/>
    <w:rsid w:val="00A26D1B"/>
    <w:rsid w:val="00A26E66"/>
    <w:rsid w:val="00A27672"/>
    <w:rsid w:val="00A27E6D"/>
    <w:rsid w:val="00A27F13"/>
    <w:rsid w:val="00A3036A"/>
    <w:rsid w:val="00A31131"/>
    <w:rsid w:val="00A31B7A"/>
    <w:rsid w:val="00A31B9C"/>
    <w:rsid w:val="00A31C52"/>
    <w:rsid w:val="00A31D03"/>
    <w:rsid w:val="00A322EF"/>
    <w:rsid w:val="00A325EA"/>
    <w:rsid w:val="00A32763"/>
    <w:rsid w:val="00A32A2F"/>
    <w:rsid w:val="00A32C3B"/>
    <w:rsid w:val="00A32D15"/>
    <w:rsid w:val="00A32DFE"/>
    <w:rsid w:val="00A331E1"/>
    <w:rsid w:val="00A337A0"/>
    <w:rsid w:val="00A33F79"/>
    <w:rsid w:val="00A34816"/>
    <w:rsid w:val="00A34DBA"/>
    <w:rsid w:val="00A3565F"/>
    <w:rsid w:val="00A359BD"/>
    <w:rsid w:val="00A35F09"/>
    <w:rsid w:val="00A3600F"/>
    <w:rsid w:val="00A36DA1"/>
    <w:rsid w:val="00A37007"/>
    <w:rsid w:val="00A37613"/>
    <w:rsid w:val="00A3781F"/>
    <w:rsid w:val="00A378B9"/>
    <w:rsid w:val="00A40213"/>
    <w:rsid w:val="00A40221"/>
    <w:rsid w:val="00A403A1"/>
    <w:rsid w:val="00A40565"/>
    <w:rsid w:val="00A40A4B"/>
    <w:rsid w:val="00A40A81"/>
    <w:rsid w:val="00A42779"/>
    <w:rsid w:val="00A42EC6"/>
    <w:rsid w:val="00A43951"/>
    <w:rsid w:val="00A43AEE"/>
    <w:rsid w:val="00A43D32"/>
    <w:rsid w:val="00A445EE"/>
    <w:rsid w:val="00A44DF6"/>
    <w:rsid w:val="00A45285"/>
    <w:rsid w:val="00A455D2"/>
    <w:rsid w:val="00A46078"/>
    <w:rsid w:val="00A463F9"/>
    <w:rsid w:val="00A47517"/>
    <w:rsid w:val="00A50461"/>
    <w:rsid w:val="00A50D40"/>
    <w:rsid w:val="00A51426"/>
    <w:rsid w:val="00A5155D"/>
    <w:rsid w:val="00A518F9"/>
    <w:rsid w:val="00A51BC2"/>
    <w:rsid w:val="00A51FF7"/>
    <w:rsid w:val="00A5309E"/>
    <w:rsid w:val="00A53499"/>
    <w:rsid w:val="00A53999"/>
    <w:rsid w:val="00A53E8A"/>
    <w:rsid w:val="00A54032"/>
    <w:rsid w:val="00A5454C"/>
    <w:rsid w:val="00A5457A"/>
    <w:rsid w:val="00A54AB1"/>
    <w:rsid w:val="00A5514F"/>
    <w:rsid w:val="00A552AB"/>
    <w:rsid w:val="00A557FB"/>
    <w:rsid w:val="00A558E8"/>
    <w:rsid w:val="00A55DA1"/>
    <w:rsid w:val="00A55EDE"/>
    <w:rsid w:val="00A56455"/>
    <w:rsid w:val="00A56A2E"/>
    <w:rsid w:val="00A56B5A"/>
    <w:rsid w:val="00A57A3B"/>
    <w:rsid w:val="00A57A70"/>
    <w:rsid w:val="00A60AB0"/>
    <w:rsid w:val="00A60BC9"/>
    <w:rsid w:val="00A60DE2"/>
    <w:rsid w:val="00A6163C"/>
    <w:rsid w:val="00A616EF"/>
    <w:rsid w:val="00A61CB6"/>
    <w:rsid w:val="00A61F4A"/>
    <w:rsid w:val="00A62D10"/>
    <w:rsid w:val="00A63291"/>
    <w:rsid w:val="00A63AAB"/>
    <w:rsid w:val="00A63F86"/>
    <w:rsid w:val="00A646E6"/>
    <w:rsid w:val="00A65115"/>
    <w:rsid w:val="00A651CF"/>
    <w:rsid w:val="00A65328"/>
    <w:rsid w:val="00A6610B"/>
    <w:rsid w:val="00A661EF"/>
    <w:rsid w:val="00A662E6"/>
    <w:rsid w:val="00A66A86"/>
    <w:rsid w:val="00A6732A"/>
    <w:rsid w:val="00A67367"/>
    <w:rsid w:val="00A677FB"/>
    <w:rsid w:val="00A679A7"/>
    <w:rsid w:val="00A704F0"/>
    <w:rsid w:val="00A708F9"/>
    <w:rsid w:val="00A70A26"/>
    <w:rsid w:val="00A70D52"/>
    <w:rsid w:val="00A70DA3"/>
    <w:rsid w:val="00A7145E"/>
    <w:rsid w:val="00A71795"/>
    <w:rsid w:val="00A71AA5"/>
    <w:rsid w:val="00A71BA1"/>
    <w:rsid w:val="00A71CE8"/>
    <w:rsid w:val="00A727AE"/>
    <w:rsid w:val="00A729C0"/>
    <w:rsid w:val="00A72A64"/>
    <w:rsid w:val="00A72B9D"/>
    <w:rsid w:val="00A7335A"/>
    <w:rsid w:val="00A74023"/>
    <w:rsid w:val="00A7421B"/>
    <w:rsid w:val="00A743BC"/>
    <w:rsid w:val="00A743CA"/>
    <w:rsid w:val="00A7446F"/>
    <w:rsid w:val="00A7449F"/>
    <w:rsid w:val="00A74D24"/>
    <w:rsid w:val="00A75196"/>
    <w:rsid w:val="00A752C9"/>
    <w:rsid w:val="00A7650D"/>
    <w:rsid w:val="00A77238"/>
    <w:rsid w:val="00A801C0"/>
    <w:rsid w:val="00A80715"/>
    <w:rsid w:val="00A8073D"/>
    <w:rsid w:val="00A808CE"/>
    <w:rsid w:val="00A809F9"/>
    <w:rsid w:val="00A815D2"/>
    <w:rsid w:val="00A81C81"/>
    <w:rsid w:val="00A826BB"/>
    <w:rsid w:val="00A82881"/>
    <w:rsid w:val="00A82B32"/>
    <w:rsid w:val="00A844E7"/>
    <w:rsid w:val="00A85122"/>
    <w:rsid w:val="00A851AB"/>
    <w:rsid w:val="00A85236"/>
    <w:rsid w:val="00A856FE"/>
    <w:rsid w:val="00A85896"/>
    <w:rsid w:val="00A858E9"/>
    <w:rsid w:val="00A85A3B"/>
    <w:rsid w:val="00A8679F"/>
    <w:rsid w:val="00A867AA"/>
    <w:rsid w:val="00A86972"/>
    <w:rsid w:val="00A86D9F"/>
    <w:rsid w:val="00A86DC6"/>
    <w:rsid w:val="00A871AB"/>
    <w:rsid w:val="00A872AE"/>
    <w:rsid w:val="00A87A15"/>
    <w:rsid w:val="00A87B96"/>
    <w:rsid w:val="00A87FF0"/>
    <w:rsid w:val="00A907B2"/>
    <w:rsid w:val="00A908D3"/>
    <w:rsid w:val="00A90B07"/>
    <w:rsid w:val="00A90DB8"/>
    <w:rsid w:val="00A90E9D"/>
    <w:rsid w:val="00A911F8"/>
    <w:rsid w:val="00A91679"/>
    <w:rsid w:val="00A916F3"/>
    <w:rsid w:val="00A924E3"/>
    <w:rsid w:val="00A92578"/>
    <w:rsid w:val="00A92740"/>
    <w:rsid w:val="00A928A3"/>
    <w:rsid w:val="00A92D8E"/>
    <w:rsid w:val="00A932EE"/>
    <w:rsid w:val="00A934E2"/>
    <w:rsid w:val="00A939E4"/>
    <w:rsid w:val="00A93E1A"/>
    <w:rsid w:val="00A94B98"/>
    <w:rsid w:val="00A94CE1"/>
    <w:rsid w:val="00A94E09"/>
    <w:rsid w:val="00A9503D"/>
    <w:rsid w:val="00A95884"/>
    <w:rsid w:val="00A95BE8"/>
    <w:rsid w:val="00A95E2B"/>
    <w:rsid w:val="00A95F5E"/>
    <w:rsid w:val="00A960C5"/>
    <w:rsid w:val="00A96234"/>
    <w:rsid w:val="00A964F4"/>
    <w:rsid w:val="00A970AD"/>
    <w:rsid w:val="00A9768E"/>
    <w:rsid w:val="00A977D6"/>
    <w:rsid w:val="00AA0073"/>
    <w:rsid w:val="00AA03B7"/>
    <w:rsid w:val="00AA0FB1"/>
    <w:rsid w:val="00AA2337"/>
    <w:rsid w:val="00AA2483"/>
    <w:rsid w:val="00AA26A4"/>
    <w:rsid w:val="00AA2870"/>
    <w:rsid w:val="00AA2FA1"/>
    <w:rsid w:val="00AA32AE"/>
    <w:rsid w:val="00AA3401"/>
    <w:rsid w:val="00AA3614"/>
    <w:rsid w:val="00AA4389"/>
    <w:rsid w:val="00AA57CE"/>
    <w:rsid w:val="00AA5A5A"/>
    <w:rsid w:val="00AA5ED9"/>
    <w:rsid w:val="00AA624C"/>
    <w:rsid w:val="00AA6686"/>
    <w:rsid w:val="00AA7CF2"/>
    <w:rsid w:val="00AA7EBF"/>
    <w:rsid w:val="00AA7FA3"/>
    <w:rsid w:val="00AB0410"/>
    <w:rsid w:val="00AB0877"/>
    <w:rsid w:val="00AB0AEA"/>
    <w:rsid w:val="00AB1666"/>
    <w:rsid w:val="00AB17F5"/>
    <w:rsid w:val="00AB1C07"/>
    <w:rsid w:val="00AB2467"/>
    <w:rsid w:val="00AB3500"/>
    <w:rsid w:val="00AB37BE"/>
    <w:rsid w:val="00AB3E91"/>
    <w:rsid w:val="00AB46D5"/>
    <w:rsid w:val="00AB4819"/>
    <w:rsid w:val="00AB5127"/>
    <w:rsid w:val="00AB5488"/>
    <w:rsid w:val="00AB54CC"/>
    <w:rsid w:val="00AB56E7"/>
    <w:rsid w:val="00AB587E"/>
    <w:rsid w:val="00AB5888"/>
    <w:rsid w:val="00AB58CD"/>
    <w:rsid w:val="00AB5BD5"/>
    <w:rsid w:val="00AB5CFC"/>
    <w:rsid w:val="00AB5D91"/>
    <w:rsid w:val="00AB695E"/>
    <w:rsid w:val="00AB6C5D"/>
    <w:rsid w:val="00AB7302"/>
    <w:rsid w:val="00AB7C3F"/>
    <w:rsid w:val="00AC004D"/>
    <w:rsid w:val="00AC03AC"/>
    <w:rsid w:val="00AC0C18"/>
    <w:rsid w:val="00AC122F"/>
    <w:rsid w:val="00AC127C"/>
    <w:rsid w:val="00AC1433"/>
    <w:rsid w:val="00AC1B15"/>
    <w:rsid w:val="00AC1B9D"/>
    <w:rsid w:val="00AC2537"/>
    <w:rsid w:val="00AC26C7"/>
    <w:rsid w:val="00AC2EF7"/>
    <w:rsid w:val="00AC3301"/>
    <w:rsid w:val="00AC3611"/>
    <w:rsid w:val="00AC3B1F"/>
    <w:rsid w:val="00AC3EA5"/>
    <w:rsid w:val="00AC471F"/>
    <w:rsid w:val="00AC612D"/>
    <w:rsid w:val="00AC61C8"/>
    <w:rsid w:val="00AC695D"/>
    <w:rsid w:val="00AC736E"/>
    <w:rsid w:val="00AC79B2"/>
    <w:rsid w:val="00AC7EF4"/>
    <w:rsid w:val="00AD0FBF"/>
    <w:rsid w:val="00AD1980"/>
    <w:rsid w:val="00AD19FF"/>
    <w:rsid w:val="00AD1B05"/>
    <w:rsid w:val="00AD235B"/>
    <w:rsid w:val="00AD2A4C"/>
    <w:rsid w:val="00AD2A96"/>
    <w:rsid w:val="00AD2C45"/>
    <w:rsid w:val="00AD2CD4"/>
    <w:rsid w:val="00AD2FE5"/>
    <w:rsid w:val="00AD331F"/>
    <w:rsid w:val="00AD3350"/>
    <w:rsid w:val="00AD368A"/>
    <w:rsid w:val="00AD3CC6"/>
    <w:rsid w:val="00AD4530"/>
    <w:rsid w:val="00AD4F6E"/>
    <w:rsid w:val="00AD6132"/>
    <w:rsid w:val="00AD673D"/>
    <w:rsid w:val="00AD6B78"/>
    <w:rsid w:val="00AD7136"/>
    <w:rsid w:val="00AD77FC"/>
    <w:rsid w:val="00AD7875"/>
    <w:rsid w:val="00AE0365"/>
    <w:rsid w:val="00AE0BC5"/>
    <w:rsid w:val="00AE0F79"/>
    <w:rsid w:val="00AE125E"/>
    <w:rsid w:val="00AE296D"/>
    <w:rsid w:val="00AE2BC6"/>
    <w:rsid w:val="00AE2EA8"/>
    <w:rsid w:val="00AE37E9"/>
    <w:rsid w:val="00AE3816"/>
    <w:rsid w:val="00AE4042"/>
    <w:rsid w:val="00AE412A"/>
    <w:rsid w:val="00AE4665"/>
    <w:rsid w:val="00AE4982"/>
    <w:rsid w:val="00AE5085"/>
    <w:rsid w:val="00AE5BFE"/>
    <w:rsid w:val="00AE60C4"/>
    <w:rsid w:val="00AE6188"/>
    <w:rsid w:val="00AE62D1"/>
    <w:rsid w:val="00AE6C8A"/>
    <w:rsid w:val="00AE6D4A"/>
    <w:rsid w:val="00AE77B2"/>
    <w:rsid w:val="00AE7801"/>
    <w:rsid w:val="00AE787F"/>
    <w:rsid w:val="00AE7D64"/>
    <w:rsid w:val="00AF0334"/>
    <w:rsid w:val="00AF04EE"/>
    <w:rsid w:val="00AF05C3"/>
    <w:rsid w:val="00AF0BF5"/>
    <w:rsid w:val="00AF0FC7"/>
    <w:rsid w:val="00AF120C"/>
    <w:rsid w:val="00AF13A1"/>
    <w:rsid w:val="00AF16DD"/>
    <w:rsid w:val="00AF1A9B"/>
    <w:rsid w:val="00AF253D"/>
    <w:rsid w:val="00AF2650"/>
    <w:rsid w:val="00AF27A6"/>
    <w:rsid w:val="00AF2E92"/>
    <w:rsid w:val="00AF3098"/>
    <w:rsid w:val="00AF316A"/>
    <w:rsid w:val="00AF328B"/>
    <w:rsid w:val="00AF3A28"/>
    <w:rsid w:val="00AF3B10"/>
    <w:rsid w:val="00AF3F21"/>
    <w:rsid w:val="00AF4591"/>
    <w:rsid w:val="00AF508B"/>
    <w:rsid w:val="00AF55D5"/>
    <w:rsid w:val="00AF58A3"/>
    <w:rsid w:val="00AF6474"/>
    <w:rsid w:val="00AF65C9"/>
    <w:rsid w:val="00AF6E33"/>
    <w:rsid w:val="00AF7AA4"/>
    <w:rsid w:val="00AF7BC5"/>
    <w:rsid w:val="00B002E0"/>
    <w:rsid w:val="00B00A93"/>
    <w:rsid w:val="00B01379"/>
    <w:rsid w:val="00B0160B"/>
    <w:rsid w:val="00B01B86"/>
    <w:rsid w:val="00B02045"/>
    <w:rsid w:val="00B02E0A"/>
    <w:rsid w:val="00B02EF9"/>
    <w:rsid w:val="00B02FA2"/>
    <w:rsid w:val="00B036E2"/>
    <w:rsid w:val="00B03A1F"/>
    <w:rsid w:val="00B03A4D"/>
    <w:rsid w:val="00B03F5C"/>
    <w:rsid w:val="00B0423E"/>
    <w:rsid w:val="00B0445D"/>
    <w:rsid w:val="00B056F2"/>
    <w:rsid w:val="00B05DC2"/>
    <w:rsid w:val="00B05E48"/>
    <w:rsid w:val="00B061C1"/>
    <w:rsid w:val="00B061E6"/>
    <w:rsid w:val="00B067F2"/>
    <w:rsid w:val="00B06F30"/>
    <w:rsid w:val="00B071AB"/>
    <w:rsid w:val="00B071C1"/>
    <w:rsid w:val="00B07932"/>
    <w:rsid w:val="00B1016F"/>
    <w:rsid w:val="00B10273"/>
    <w:rsid w:val="00B105AA"/>
    <w:rsid w:val="00B107BA"/>
    <w:rsid w:val="00B10AF8"/>
    <w:rsid w:val="00B10BAA"/>
    <w:rsid w:val="00B110C1"/>
    <w:rsid w:val="00B112EA"/>
    <w:rsid w:val="00B1153C"/>
    <w:rsid w:val="00B11BEB"/>
    <w:rsid w:val="00B11D5D"/>
    <w:rsid w:val="00B11E0C"/>
    <w:rsid w:val="00B12943"/>
    <w:rsid w:val="00B12B20"/>
    <w:rsid w:val="00B12B89"/>
    <w:rsid w:val="00B12E1D"/>
    <w:rsid w:val="00B136BE"/>
    <w:rsid w:val="00B14550"/>
    <w:rsid w:val="00B14AEC"/>
    <w:rsid w:val="00B15274"/>
    <w:rsid w:val="00B15593"/>
    <w:rsid w:val="00B15AB8"/>
    <w:rsid w:val="00B1640B"/>
    <w:rsid w:val="00B1681E"/>
    <w:rsid w:val="00B16834"/>
    <w:rsid w:val="00B16937"/>
    <w:rsid w:val="00B20454"/>
    <w:rsid w:val="00B206C4"/>
    <w:rsid w:val="00B20797"/>
    <w:rsid w:val="00B216A5"/>
    <w:rsid w:val="00B2272D"/>
    <w:rsid w:val="00B22A2F"/>
    <w:rsid w:val="00B22C63"/>
    <w:rsid w:val="00B23024"/>
    <w:rsid w:val="00B233DB"/>
    <w:rsid w:val="00B234DA"/>
    <w:rsid w:val="00B23579"/>
    <w:rsid w:val="00B23DEA"/>
    <w:rsid w:val="00B23E94"/>
    <w:rsid w:val="00B23EED"/>
    <w:rsid w:val="00B243FB"/>
    <w:rsid w:val="00B25F30"/>
    <w:rsid w:val="00B2651D"/>
    <w:rsid w:val="00B268DB"/>
    <w:rsid w:val="00B26BB8"/>
    <w:rsid w:val="00B26F9D"/>
    <w:rsid w:val="00B27171"/>
    <w:rsid w:val="00B2739F"/>
    <w:rsid w:val="00B27C10"/>
    <w:rsid w:val="00B27D1B"/>
    <w:rsid w:val="00B3021C"/>
    <w:rsid w:val="00B30438"/>
    <w:rsid w:val="00B3258A"/>
    <w:rsid w:val="00B32617"/>
    <w:rsid w:val="00B3282D"/>
    <w:rsid w:val="00B32B42"/>
    <w:rsid w:val="00B330E1"/>
    <w:rsid w:val="00B3348E"/>
    <w:rsid w:val="00B33A34"/>
    <w:rsid w:val="00B34584"/>
    <w:rsid w:val="00B346FC"/>
    <w:rsid w:val="00B34873"/>
    <w:rsid w:val="00B348C8"/>
    <w:rsid w:val="00B35917"/>
    <w:rsid w:val="00B35FFD"/>
    <w:rsid w:val="00B36829"/>
    <w:rsid w:val="00B36AD3"/>
    <w:rsid w:val="00B37840"/>
    <w:rsid w:val="00B37892"/>
    <w:rsid w:val="00B37B68"/>
    <w:rsid w:val="00B37FB6"/>
    <w:rsid w:val="00B4169B"/>
    <w:rsid w:val="00B42210"/>
    <w:rsid w:val="00B42286"/>
    <w:rsid w:val="00B42B9E"/>
    <w:rsid w:val="00B43003"/>
    <w:rsid w:val="00B43015"/>
    <w:rsid w:val="00B430C2"/>
    <w:rsid w:val="00B433FA"/>
    <w:rsid w:val="00B440BE"/>
    <w:rsid w:val="00B44B9F"/>
    <w:rsid w:val="00B44C17"/>
    <w:rsid w:val="00B44F1D"/>
    <w:rsid w:val="00B4566A"/>
    <w:rsid w:val="00B46BE8"/>
    <w:rsid w:val="00B46CA2"/>
    <w:rsid w:val="00B4718F"/>
    <w:rsid w:val="00B47F7D"/>
    <w:rsid w:val="00B506CA"/>
    <w:rsid w:val="00B50A15"/>
    <w:rsid w:val="00B50A31"/>
    <w:rsid w:val="00B510C8"/>
    <w:rsid w:val="00B51993"/>
    <w:rsid w:val="00B51D38"/>
    <w:rsid w:val="00B52732"/>
    <w:rsid w:val="00B527CC"/>
    <w:rsid w:val="00B53CE9"/>
    <w:rsid w:val="00B53F21"/>
    <w:rsid w:val="00B54133"/>
    <w:rsid w:val="00B54404"/>
    <w:rsid w:val="00B55545"/>
    <w:rsid w:val="00B55C3D"/>
    <w:rsid w:val="00B55E3C"/>
    <w:rsid w:val="00B564FF"/>
    <w:rsid w:val="00B56552"/>
    <w:rsid w:val="00B566FC"/>
    <w:rsid w:val="00B56A46"/>
    <w:rsid w:val="00B57099"/>
    <w:rsid w:val="00B57F89"/>
    <w:rsid w:val="00B603BD"/>
    <w:rsid w:val="00B606D6"/>
    <w:rsid w:val="00B6081F"/>
    <w:rsid w:val="00B610A0"/>
    <w:rsid w:val="00B61360"/>
    <w:rsid w:val="00B613B1"/>
    <w:rsid w:val="00B617CB"/>
    <w:rsid w:val="00B61FFD"/>
    <w:rsid w:val="00B62154"/>
    <w:rsid w:val="00B62529"/>
    <w:rsid w:val="00B628A2"/>
    <w:rsid w:val="00B62CE3"/>
    <w:rsid w:val="00B62ECE"/>
    <w:rsid w:val="00B631A1"/>
    <w:rsid w:val="00B633BF"/>
    <w:rsid w:val="00B639BF"/>
    <w:rsid w:val="00B63A84"/>
    <w:rsid w:val="00B63B58"/>
    <w:rsid w:val="00B63B85"/>
    <w:rsid w:val="00B63B92"/>
    <w:rsid w:val="00B64D0E"/>
    <w:rsid w:val="00B65030"/>
    <w:rsid w:val="00B653EC"/>
    <w:rsid w:val="00B6565A"/>
    <w:rsid w:val="00B66371"/>
    <w:rsid w:val="00B665EB"/>
    <w:rsid w:val="00B668E3"/>
    <w:rsid w:val="00B66AF0"/>
    <w:rsid w:val="00B66D26"/>
    <w:rsid w:val="00B7238C"/>
    <w:rsid w:val="00B72D7A"/>
    <w:rsid w:val="00B73284"/>
    <w:rsid w:val="00B743E5"/>
    <w:rsid w:val="00B7508B"/>
    <w:rsid w:val="00B75244"/>
    <w:rsid w:val="00B752AF"/>
    <w:rsid w:val="00B75425"/>
    <w:rsid w:val="00B7550F"/>
    <w:rsid w:val="00B7581B"/>
    <w:rsid w:val="00B761D1"/>
    <w:rsid w:val="00B76B44"/>
    <w:rsid w:val="00B76CC4"/>
    <w:rsid w:val="00B77405"/>
    <w:rsid w:val="00B7776E"/>
    <w:rsid w:val="00B7785D"/>
    <w:rsid w:val="00B77A73"/>
    <w:rsid w:val="00B77BCF"/>
    <w:rsid w:val="00B801FC"/>
    <w:rsid w:val="00B806F1"/>
    <w:rsid w:val="00B80975"/>
    <w:rsid w:val="00B80B30"/>
    <w:rsid w:val="00B80D99"/>
    <w:rsid w:val="00B80FA6"/>
    <w:rsid w:val="00B81011"/>
    <w:rsid w:val="00B811ED"/>
    <w:rsid w:val="00B817D2"/>
    <w:rsid w:val="00B81A18"/>
    <w:rsid w:val="00B81BEC"/>
    <w:rsid w:val="00B81D8A"/>
    <w:rsid w:val="00B81E1B"/>
    <w:rsid w:val="00B81F7B"/>
    <w:rsid w:val="00B8209B"/>
    <w:rsid w:val="00B8258B"/>
    <w:rsid w:val="00B826A5"/>
    <w:rsid w:val="00B8278A"/>
    <w:rsid w:val="00B828AE"/>
    <w:rsid w:val="00B82BE2"/>
    <w:rsid w:val="00B82F6C"/>
    <w:rsid w:val="00B83054"/>
    <w:rsid w:val="00B8377D"/>
    <w:rsid w:val="00B840E2"/>
    <w:rsid w:val="00B84865"/>
    <w:rsid w:val="00B84A6F"/>
    <w:rsid w:val="00B84B71"/>
    <w:rsid w:val="00B8505A"/>
    <w:rsid w:val="00B86AAE"/>
    <w:rsid w:val="00B86AF7"/>
    <w:rsid w:val="00B871C8"/>
    <w:rsid w:val="00B90776"/>
    <w:rsid w:val="00B9092E"/>
    <w:rsid w:val="00B90CF8"/>
    <w:rsid w:val="00B91181"/>
    <w:rsid w:val="00B915C5"/>
    <w:rsid w:val="00B916BE"/>
    <w:rsid w:val="00B91B36"/>
    <w:rsid w:val="00B921C0"/>
    <w:rsid w:val="00B92384"/>
    <w:rsid w:val="00B9278B"/>
    <w:rsid w:val="00B937C5"/>
    <w:rsid w:val="00B942FB"/>
    <w:rsid w:val="00B9446C"/>
    <w:rsid w:val="00B94F12"/>
    <w:rsid w:val="00B9540E"/>
    <w:rsid w:val="00B95A9F"/>
    <w:rsid w:val="00B95FC8"/>
    <w:rsid w:val="00B96046"/>
    <w:rsid w:val="00B96338"/>
    <w:rsid w:val="00B9663D"/>
    <w:rsid w:val="00B96A2F"/>
    <w:rsid w:val="00B96DB8"/>
    <w:rsid w:val="00B9713C"/>
    <w:rsid w:val="00B97291"/>
    <w:rsid w:val="00B97F1B"/>
    <w:rsid w:val="00B97FC6"/>
    <w:rsid w:val="00BA0C4F"/>
    <w:rsid w:val="00BA0EAD"/>
    <w:rsid w:val="00BA1362"/>
    <w:rsid w:val="00BA1743"/>
    <w:rsid w:val="00BA1CA9"/>
    <w:rsid w:val="00BA210B"/>
    <w:rsid w:val="00BA3006"/>
    <w:rsid w:val="00BA35F4"/>
    <w:rsid w:val="00BA38AD"/>
    <w:rsid w:val="00BA3939"/>
    <w:rsid w:val="00BA3B9F"/>
    <w:rsid w:val="00BA429D"/>
    <w:rsid w:val="00BA4E07"/>
    <w:rsid w:val="00BA5074"/>
    <w:rsid w:val="00BA52E8"/>
    <w:rsid w:val="00BA541A"/>
    <w:rsid w:val="00BA5581"/>
    <w:rsid w:val="00BA56DF"/>
    <w:rsid w:val="00BA571C"/>
    <w:rsid w:val="00BA5847"/>
    <w:rsid w:val="00BA5E6D"/>
    <w:rsid w:val="00BA62C4"/>
    <w:rsid w:val="00BA644D"/>
    <w:rsid w:val="00BA65DA"/>
    <w:rsid w:val="00BA664F"/>
    <w:rsid w:val="00BA676C"/>
    <w:rsid w:val="00BA689C"/>
    <w:rsid w:val="00BA69B8"/>
    <w:rsid w:val="00BA6CCE"/>
    <w:rsid w:val="00BA6CE1"/>
    <w:rsid w:val="00BA7A61"/>
    <w:rsid w:val="00BA7F34"/>
    <w:rsid w:val="00BB0188"/>
    <w:rsid w:val="00BB085B"/>
    <w:rsid w:val="00BB1015"/>
    <w:rsid w:val="00BB136A"/>
    <w:rsid w:val="00BB1552"/>
    <w:rsid w:val="00BB1F54"/>
    <w:rsid w:val="00BB24AF"/>
    <w:rsid w:val="00BB2ACE"/>
    <w:rsid w:val="00BB2F94"/>
    <w:rsid w:val="00BB3034"/>
    <w:rsid w:val="00BB3D93"/>
    <w:rsid w:val="00BB4229"/>
    <w:rsid w:val="00BB42CF"/>
    <w:rsid w:val="00BB49C4"/>
    <w:rsid w:val="00BB4E1F"/>
    <w:rsid w:val="00BB4F24"/>
    <w:rsid w:val="00BB4F3A"/>
    <w:rsid w:val="00BB557F"/>
    <w:rsid w:val="00BB5967"/>
    <w:rsid w:val="00BB5B85"/>
    <w:rsid w:val="00BB63FF"/>
    <w:rsid w:val="00BB680D"/>
    <w:rsid w:val="00BB6A38"/>
    <w:rsid w:val="00BB6FC3"/>
    <w:rsid w:val="00BB7018"/>
    <w:rsid w:val="00BB702B"/>
    <w:rsid w:val="00BB73D8"/>
    <w:rsid w:val="00BB76BA"/>
    <w:rsid w:val="00BB7789"/>
    <w:rsid w:val="00BB77E7"/>
    <w:rsid w:val="00BC0DA6"/>
    <w:rsid w:val="00BC0E32"/>
    <w:rsid w:val="00BC1209"/>
    <w:rsid w:val="00BC165B"/>
    <w:rsid w:val="00BC2564"/>
    <w:rsid w:val="00BC272C"/>
    <w:rsid w:val="00BC2746"/>
    <w:rsid w:val="00BC2AE0"/>
    <w:rsid w:val="00BC3A66"/>
    <w:rsid w:val="00BC3FD6"/>
    <w:rsid w:val="00BC404E"/>
    <w:rsid w:val="00BC41AD"/>
    <w:rsid w:val="00BC4202"/>
    <w:rsid w:val="00BC4952"/>
    <w:rsid w:val="00BC4A5E"/>
    <w:rsid w:val="00BC4B41"/>
    <w:rsid w:val="00BC4D09"/>
    <w:rsid w:val="00BC4D8B"/>
    <w:rsid w:val="00BC595B"/>
    <w:rsid w:val="00BC6209"/>
    <w:rsid w:val="00BC6A55"/>
    <w:rsid w:val="00BC6CE3"/>
    <w:rsid w:val="00BD00BE"/>
    <w:rsid w:val="00BD080D"/>
    <w:rsid w:val="00BD0AEB"/>
    <w:rsid w:val="00BD0BC4"/>
    <w:rsid w:val="00BD0FA9"/>
    <w:rsid w:val="00BD10F7"/>
    <w:rsid w:val="00BD147A"/>
    <w:rsid w:val="00BD1A31"/>
    <w:rsid w:val="00BD2687"/>
    <w:rsid w:val="00BD29F0"/>
    <w:rsid w:val="00BD2A84"/>
    <w:rsid w:val="00BD2BE9"/>
    <w:rsid w:val="00BD2BF9"/>
    <w:rsid w:val="00BD308D"/>
    <w:rsid w:val="00BD324D"/>
    <w:rsid w:val="00BD33C6"/>
    <w:rsid w:val="00BD3BF9"/>
    <w:rsid w:val="00BD471D"/>
    <w:rsid w:val="00BD5033"/>
    <w:rsid w:val="00BD514E"/>
    <w:rsid w:val="00BD5392"/>
    <w:rsid w:val="00BD5E45"/>
    <w:rsid w:val="00BD6577"/>
    <w:rsid w:val="00BD6ADE"/>
    <w:rsid w:val="00BD6DD2"/>
    <w:rsid w:val="00BD7898"/>
    <w:rsid w:val="00BD7F15"/>
    <w:rsid w:val="00BE0A44"/>
    <w:rsid w:val="00BE15EB"/>
    <w:rsid w:val="00BE18A9"/>
    <w:rsid w:val="00BE194B"/>
    <w:rsid w:val="00BE2079"/>
    <w:rsid w:val="00BE2218"/>
    <w:rsid w:val="00BE231F"/>
    <w:rsid w:val="00BE2F8A"/>
    <w:rsid w:val="00BE3734"/>
    <w:rsid w:val="00BE38CF"/>
    <w:rsid w:val="00BE480B"/>
    <w:rsid w:val="00BE4FC4"/>
    <w:rsid w:val="00BE565A"/>
    <w:rsid w:val="00BE5D00"/>
    <w:rsid w:val="00BE731E"/>
    <w:rsid w:val="00BE741F"/>
    <w:rsid w:val="00BE74E9"/>
    <w:rsid w:val="00BE7977"/>
    <w:rsid w:val="00BE7D1D"/>
    <w:rsid w:val="00BE7FA5"/>
    <w:rsid w:val="00BF01DC"/>
    <w:rsid w:val="00BF077E"/>
    <w:rsid w:val="00BF23A1"/>
    <w:rsid w:val="00BF24D8"/>
    <w:rsid w:val="00BF255D"/>
    <w:rsid w:val="00BF26B1"/>
    <w:rsid w:val="00BF3334"/>
    <w:rsid w:val="00BF33EA"/>
    <w:rsid w:val="00BF38C3"/>
    <w:rsid w:val="00BF3DAD"/>
    <w:rsid w:val="00BF4905"/>
    <w:rsid w:val="00BF49B1"/>
    <w:rsid w:val="00BF4A2B"/>
    <w:rsid w:val="00BF5469"/>
    <w:rsid w:val="00BF5D2A"/>
    <w:rsid w:val="00BF5E81"/>
    <w:rsid w:val="00BF5F21"/>
    <w:rsid w:val="00BF61A9"/>
    <w:rsid w:val="00BF64E9"/>
    <w:rsid w:val="00BF6BA5"/>
    <w:rsid w:val="00BF713A"/>
    <w:rsid w:val="00BF73C2"/>
    <w:rsid w:val="00BF7611"/>
    <w:rsid w:val="00BF786D"/>
    <w:rsid w:val="00BF78FA"/>
    <w:rsid w:val="00BF795B"/>
    <w:rsid w:val="00BF79D7"/>
    <w:rsid w:val="00BF7B1A"/>
    <w:rsid w:val="00BF7F8C"/>
    <w:rsid w:val="00C000F2"/>
    <w:rsid w:val="00C0026C"/>
    <w:rsid w:val="00C0031A"/>
    <w:rsid w:val="00C0074A"/>
    <w:rsid w:val="00C00884"/>
    <w:rsid w:val="00C00995"/>
    <w:rsid w:val="00C01624"/>
    <w:rsid w:val="00C0164D"/>
    <w:rsid w:val="00C018B6"/>
    <w:rsid w:val="00C0195E"/>
    <w:rsid w:val="00C01DA5"/>
    <w:rsid w:val="00C02824"/>
    <w:rsid w:val="00C02ECC"/>
    <w:rsid w:val="00C0350A"/>
    <w:rsid w:val="00C037A9"/>
    <w:rsid w:val="00C03929"/>
    <w:rsid w:val="00C03B58"/>
    <w:rsid w:val="00C03BCD"/>
    <w:rsid w:val="00C040FE"/>
    <w:rsid w:val="00C041DA"/>
    <w:rsid w:val="00C04D6E"/>
    <w:rsid w:val="00C059EF"/>
    <w:rsid w:val="00C060DB"/>
    <w:rsid w:val="00C06472"/>
    <w:rsid w:val="00C06889"/>
    <w:rsid w:val="00C06F7A"/>
    <w:rsid w:val="00C07554"/>
    <w:rsid w:val="00C1028F"/>
    <w:rsid w:val="00C10A2E"/>
    <w:rsid w:val="00C116D3"/>
    <w:rsid w:val="00C11E6C"/>
    <w:rsid w:val="00C12703"/>
    <w:rsid w:val="00C1286E"/>
    <w:rsid w:val="00C12C9F"/>
    <w:rsid w:val="00C12DCB"/>
    <w:rsid w:val="00C133C2"/>
    <w:rsid w:val="00C13ED5"/>
    <w:rsid w:val="00C14495"/>
    <w:rsid w:val="00C14908"/>
    <w:rsid w:val="00C15C76"/>
    <w:rsid w:val="00C16910"/>
    <w:rsid w:val="00C16C3B"/>
    <w:rsid w:val="00C172E5"/>
    <w:rsid w:val="00C17765"/>
    <w:rsid w:val="00C17947"/>
    <w:rsid w:val="00C17B4F"/>
    <w:rsid w:val="00C20022"/>
    <w:rsid w:val="00C203E7"/>
    <w:rsid w:val="00C204F7"/>
    <w:rsid w:val="00C208BA"/>
    <w:rsid w:val="00C210D6"/>
    <w:rsid w:val="00C21DB0"/>
    <w:rsid w:val="00C22485"/>
    <w:rsid w:val="00C229ED"/>
    <w:rsid w:val="00C235A2"/>
    <w:rsid w:val="00C23904"/>
    <w:rsid w:val="00C23ABF"/>
    <w:rsid w:val="00C23E10"/>
    <w:rsid w:val="00C24267"/>
    <w:rsid w:val="00C2426B"/>
    <w:rsid w:val="00C24534"/>
    <w:rsid w:val="00C24E14"/>
    <w:rsid w:val="00C25078"/>
    <w:rsid w:val="00C25E12"/>
    <w:rsid w:val="00C25F40"/>
    <w:rsid w:val="00C26013"/>
    <w:rsid w:val="00C260F1"/>
    <w:rsid w:val="00C2639A"/>
    <w:rsid w:val="00C26810"/>
    <w:rsid w:val="00C2682D"/>
    <w:rsid w:val="00C26E7F"/>
    <w:rsid w:val="00C27830"/>
    <w:rsid w:val="00C27B57"/>
    <w:rsid w:val="00C303FF"/>
    <w:rsid w:val="00C3053D"/>
    <w:rsid w:val="00C30DD7"/>
    <w:rsid w:val="00C315EE"/>
    <w:rsid w:val="00C31AC7"/>
    <w:rsid w:val="00C31D87"/>
    <w:rsid w:val="00C31E37"/>
    <w:rsid w:val="00C31E97"/>
    <w:rsid w:val="00C32344"/>
    <w:rsid w:val="00C32DC3"/>
    <w:rsid w:val="00C33584"/>
    <w:rsid w:val="00C338A0"/>
    <w:rsid w:val="00C33BD7"/>
    <w:rsid w:val="00C3413F"/>
    <w:rsid w:val="00C34C7D"/>
    <w:rsid w:val="00C35DA0"/>
    <w:rsid w:val="00C35EDB"/>
    <w:rsid w:val="00C37632"/>
    <w:rsid w:val="00C37B51"/>
    <w:rsid w:val="00C403BE"/>
    <w:rsid w:val="00C4085C"/>
    <w:rsid w:val="00C40CB2"/>
    <w:rsid w:val="00C4114F"/>
    <w:rsid w:val="00C41384"/>
    <w:rsid w:val="00C41456"/>
    <w:rsid w:val="00C41ADD"/>
    <w:rsid w:val="00C41F7B"/>
    <w:rsid w:val="00C41F8E"/>
    <w:rsid w:val="00C42182"/>
    <w:rsid w:val="00C42CCD"/>
    <w:rsid w:val="00C42D55"/>
    <w:rsid w:val="00C439C1"/>
    <w:rsid w:val="00C43D12"/>
    <w:rsid w:val="00C43DFE"/>
    <w:rsid w:val="00C44282"/>
    <w:rsid w:val="00C4432B"/>
    <w:rsid w:val="00C447E2"/>
    <w:rsid w:val="00C45CEB"/>
    <w:rsid w:val="00C46048"/>
    <w:rsid w:val="00C46396"/>
    <w:rsid w:val="00C467AC"/>
    <w:rsid w:val="00C46997"/>
    <w:rsid w:val="00C46A9B"/>
    <w:rsid w:val="00C46BC6"/>
    <w:rsid w:val="00C479DE"/>
    <w:rsid w:val="00C501CC"/>
    <w:rsid w:val="00C50C1D"/>
    <w:rsid w:val="00C50EEA"/>
    <w:rsid w:val="00C51318"/>
    <w:rsid w:val="00C51573"/>
    <w:rsid w:val="00C51C06"/>
    <w:rsid w:val="00C51FA6"/>
    <w:rsid w:val="00C52077"/>
    <w:rsid w:val="00C527E4"/>
    <w:rsid w:val="00C52B0E"/>
    <w:rsid w:val="00C52FC4"/>
    <w:rsid w:val="00C534DB"/>
    <w:rsid w:val="00C53613"/>
    <w:rsid w:val="00C53907"/>
    <w:rsid w:val="00C53A6D"/>
    <w:rsid w:val="00C53D25"/>
    <w:rsid w:val="00C54322"/>
    <w:rsid w:val="00C54DC5"/>
    <w:rsid w:val="00C55316"/>
    <w:rsid w:val="00C553E7"/>
    <w:rsid w:val="00C5556C"/>
    <w:rsid w:val="00C557CB"/>
    <w:rsid w:val="00C559D2"/>
    <w:rsid w:val="00C55B6B"/>
    <w:rsid w:val="00C5692B"/>
    <w:rsid w:val="00C56D3C"/>
    <w:rsid w:val="00C5750A"/>
    <w:rsid w:val="00C57AA6"/>
    <w:rsid w:val="00C57B8F"/>
    <w:rsid w:val="00C57B9D"/>
    <w:rsid w:val="00C57DEA"/>
    <w:rsid w:val="00C60013"/>
    <w:rsid w:val="00C605FE"/>
    <w:rsid w:val="00C6071A"/>
    <w:rsid w:val="00C61083"/>
    <w:rsid w:val="00C61746"/>
    <w:rsid w:val="00C62017"/>
    <w:rsid w:val="00C623A2"/>
    <w:rsid w:val="00C62779"/>
    <w:rsid w:val="00C628E5"/>
    <w:rsid w:val="00C634D7"/>
    <w:rsid w:val="00C635C9"/>
    <w:rsid w:val="00C63BA7"/>
    <w:rsid w:val="00C63D50"/>
    <w:rsid w:val="00C63E43"/>
    <w:rsid w:val="00C64164"/>
    <w:rsid w:val="00C642AE"/>
    <w:rsid w:val="00C64442"/>
    <w:rsid w:val="00C64546"/>
    <w:rsid w:val="00C648AC"/>
    <w:rsid w:val="00C6499C"/>
    <w:rsid w:val="00C64A36"/>
    <w:rsid w:val="00C64C42"/>
    <w:rsid w:val="00C655F3"/>
    <w:rsid w:val="00C65C10"/>
    <w:rsid w:val="00C65D35"/>
    <w:rsid w:val="00C665C6"/>
    <w:rsid w:val="00C678D4"/>
    <w:rsid w:val="00C67997"/>
    <w:rsid w:val="00C679A4"/>
    <w:rsid w:val="00C67A75"/>
    <w:rsid w:val="00C67CA9"/>
    <w:rsid w:val="00C700B6"/>
    <w:rsid w:val="00C701AB"/>
    <w:rsid w:val="00C70AC2"/>
    <w:rsid w:val="00C70DE8"/>
    <w:rsid w:val="00C7111F"/>
    <w:rsid w:val="00C71817"/>
    <w:rsid w:val="00C7198E"/>
    <w:rsid w:val="00C71EE9"/>
    <w:rsid w:val="00C728B1"/>
    <w:rsid w:val="00C72FB0"/>
    <w:rsid w:val="00C73022"/>
    <w:rsid w:val="00C757E0"/>
    <w:rsid w:val="00C75842"/>
    <w:rsid w:val="00C760AD"/>
    <w:rsid w:val="00C768DB"/>
    <w:rsid w:val="00C76D32"/>
    <w:rsid w:val="00C76D43"/>
    <w:rsid w:val="00C76E94"/>
    <w:rsid w:val="00C773C6"/>
    <w:rsid w:val="00C776CB"/>
    <w:rsid w:val="00C77A1E"/>
    <w:rsid w:val="00C77B24"/>
    <w:rsid w:val="00C808B4"/>
    <w:rsid w:val="00C81295"/>
    <w:rsid w:val="00C82054"/>
    <w:rsid w:val="00C828EA"/>
    <w:rsid w:val="00C82F82"/>
    <w:rsid w:val="00C83673"/>
    <w:rsid w:val="00C84BAE"/>
    <w:rsid w:val="00C84D3A"/>
    <w:rsid w:val="00C86B84"/>
    <w:rsid w:val="00C86E84"/>
    <w:rsid w:val="00C86EAA"/>
    <w:rsid w:val="00C86F53"/>
    <w:rsid w:val="00C877B8"/>
    <w:rsid w:val="00C87815"/>
    <w:rsid w:val="00C87C0B"/>
    <w:rsid w:val="00C87FC5"/>
    <w:rsid w:val="00C906EC"/>
    <w:rsid w:val="00C90B24"/>
    <w:rsid w:val="00C90D75"/>
    <w:rsid w:val="00C914EB"/>
    <w:rsid w:val="00C9169E"/>
    <w:rsid w:val="00C91745"/>
    <w:rsid w:val="00C92440"/>
    <w:rsid w:val="00C92AF2"/>
    <w:rsid w:val="00C92EBF"/>
    <w:rsid w:val="00C93D7B"/>
    <w:rsid w:val="00C94262"/>
    <w:rsid w:val="00C9493F"/>
    <w:rsid w:val="00C94A31"/>
    <w:rsid w:val="00C96089"/>
    <w:rsid w:val="00C96312"/>
    <w:rsid w:val="00C9679A"/>
    <w:rsid w:val="00C96FAC"/>
    <w:rsid w:val="00C97294"/>
    <w:rsid w:val="00C97711"/>
    <w:rsid w:val="00C97857"/>
    <w:rsid w:val="00C978A8"/>
    <w:rsid w:val="00C97925"/>
    <w:rsid w:val="00CA0341"/>
    <w:rsid w:val="00CA0583"/>
    <w:rsid w:val="00CA0A18"/>
    <w:rsid w:val="00CA0B71"/>
    <w:rsid w:val="00CA142F"/>
    <w:rsid w:val="00CA1687"/>
    <w:rsid w:val="00CA2164"/>
    <w:rsid w:val="00CA22EF"/>
    <w:rsid w:val="00CA2606"/>
    <w:rsid w:val="00CA31FC"/>
    <w:rsid w:val="00CA3A0D"/>
    <w:rsid w:val="00CA4C77"/>
    <w:rsid w:val="00CA5247"/>
    <w:rsid w:val="00CA5447"/>
    <w:rsid w:val="00CA56AB"/>
    <w:rsid w:val="00CA5A46"/>
    <w:rsid w:val="00CA5DE7"/>
    <w:rsid w:val="00CA6CFD"/>
    <w:rsid w:val="00CA72B0"/>
    <w:rsid w:val="00CA73B0"/>
    <w:rsid w:val="00CA748E"/>
    <w:rsid w:val="00CA7878"/>
    <w:rsid w:val="00CB07FE"/>
    <w:rsid w:val="00CB0AF6"/>
    <w:rsid w:val="00CB1388"/>
    <w:rsid w:val="00CB13F7"/>
    <w:rsid w:val="00CB1616"/>
    <w:rsid w:val="00CB16DF"/>
    <w:rsid w:val="00CB177A"/>
    <w:rsid w:val="00CB17EC"/>
    <w:rsid w:val="00CB1C15"/>
    <w:rsid w:val="00CB1D6D"/>
    <w:rsid w:val="00CB2096"/>
    <w:rsid w:val="00CB22B7"/>
    <w:rsid w:val="00CB25A5"/>
    <w:rsid w:val="00CB28C2"/>
    <w:rsid w:val="00CB29A7"/>
    <w:rsid w:val="00CB2E48"/>
    <w:rsid w:val="00CB3899"/>
    <w:rsid w:val="00CB3A33"/>
    <w:rsid w:val="00CB3C8B"/>
    <w:rsid w:val="00CB3DAC"/>
    <w:rsid w:val="00CB4016"/>
    <w:rsid w:val="00CB4758"/>
    <w:rsid w:val="00CB49A3"/>
    <w:rsid w:val="00CB4D1E"/>
    <w:rsid w:val="00CB4F02"/>
    <w:rsid w:val="00CB544B"/>
    <w:rsid w:val="00CB57B3"/>
    <w:rsid w:val="00CB584C"/>
    <w:rsid w:val="00CB5A1E"/>
    <w:rsid w:val="00CB5C0A"/>
    <w:rsid w:val="00CB5E30"/>
    <w:rsid w:val="00CB6164"/>
    <w:rsid w:val="00CB6693"/>
    <w:rsid w:val="00CB7736"/>
    <w:rsid w:val="00CB7800"/>
    <w:rsid w:val="00CB7BFD"/>
    <w:rsid w:val="00CB7C53"/>
    <w:rsid w:val="00CB7F6D"/>
    <w:rsid w:val="00CB7F84"/>
    <w:rsid w:val="00CC0FF0"/>
    <w:rsid w:val="00CC1B6F"/>
    <w:rsid w:val="00CC26FA"/>
    <w:rsid w:val="00CC29B4"/>
    <w:rsid w:val="00CC29CB"/>
    <w:rsid w:val="00CC2E87"/>
    <w:rsid w:val="00CC3430"/>
    <w:rsid w:val="00CC343A"/>
    <w:rsid w:val="00CC3789"/>
    <w:rsid w:val="00CC383C"/>
    <w:rsid w:val="00CC3A5C"/>
    <w:rsid w:val="00CC464B"/>
    <w:rsid w:val="00CC4E21"/>
    <w:rsid w:val="00CC506B"/>
    <w:rsid w:val="00CC589A"/>
    <w:rsid w:val="00CC5CF7"/>
    <w:rsid w:val="00CC5EE7"/>
    <w:rsid w:val="00CC65E3"/>
    <w:rsid w:val="00CC692E"/>
    <w:rsid w:val="00CC6FD9"/>
    <w:rsid w:val="00CC76A3"/>
    <w:rsid w:val="00CC7F4F"/>
    <w:rsid w:val="00CD0487"/>
    <w:rsid w:val="00CD09A7"/>
    <w:rsid w:val="00CD0A09"/>
    <w:rsid w:val="00CD0A39"/>
    <w:rsid w:val="00CD0D64"/>
    <w:rsid w:val="00CD0ECD"/>
    <w:rsid w:val="00CD1929"/>
    <w:rsid w:val="00CD1A34"/>
    <w:rsid w:val="00CD1CD4"/>
    <w:rsid w:val="00CD2D85"/>
    <w:rsid w:val="00CD306E"/>
    <w:rsid w:val="00CD3806"/>
    <w:rsid w:val="00CD41BF"/>
    <w:rsid w:val="00CD47A7"/>
    <w:rsid w:val="00CD49AD"/>
    <w:rsid w:val="00CD4FFB"/>
    <w:rsid w:val="00CD523A"/>
    <w:rsid w:val="00CD6113"/>
    <w:rsid w:val="00CD6250"/>
    <w:rsid w:val="00CD6E09"/>
    <w:rsid w:val="00CD73FC"/>
    <w:rsid w:val="00CD74AE"/>
    <w:rsid w:val="00CD74CA"/>
    <w:rsid w:val="00CE1682"/>
    <w:rsid w:val="00CE1994"/>
    <w:rsid w:val="00CE1B79"/>
    <w:rsid w:val="00CE26D9"/>
    <w:rsid w:val="00CE28BB"/>
    <w:rsid w:val="00CE2A4C"/>
    <w:rsid w:val="00CE2ADA"/>
    <w:rsid w:val="00CE3094"/>
    <w:rsid w:val="00CE368B"/>
    <w:rsid w:val="00CE5218"/>
    <w:rsid w:val="00CE5CA5"/>
    <w:rsid w:val="00CE78DE"/>
    <w:rsid w:val="00CF0414"/>
    <w:rsid w:val="00CF04E2"/>
    <w:rsid w:val="00CF09EC"/>
    <w:rsid w:val="00CF0BD2"/>
    <w:rsid w:val="00CF13CB"/>
    <w:rsid w:val="00CF1626"/>
    <w:rsid w:val="00CF181D"/>
    <w:rsid w:val="00CF1D6A"/>
    <w:rsid w:val="00CF2228"/>
    <w:rsid w:val="00CF23E9"/>
    <w:rsid w:val="00CF2435"/>
    <w:rsid w:val="00CF2577"/>
    <w:rsid w:val="00CF2BB3"/>
    <w:rsid w:val="00CF3134"/>
    <w:rsid w:val="00CF328A"/>
    <w:rsid w:val="00CF3BA9"/>
    <w:rsid w:val="00CF3FE2"/>
    <w:rsid w:val="00CF4BB6"/>
    <w:rsid w:val="00CF526C"/>
    <w:rsid w:val="00CF52B3"/>
    <w:rsid w:val="00CF57B5"/>
    <w:rsid w:val="00CF5931"/>
    <w:rsid w:val="00CF59D0"/>
    <w:rsid w:val="00CF5D76"/>
    <w:rsid w:val="00CF60D4"/>
    <w:rsid w:val="00CF61A2"/>
    <w:rsid w:val="00CF6614"/>
    <w:rsid w:val="00CF68B3"/>
    <w:rsid w:val="00CF69CC"/>
    <w:rsid w:val="00CF6F2C"/>
    <w:rsid w:val="00CF6FBB"/>
    <w:rsid w:val="00CF733F"/>
    <w:rsid w:val="00CF7BB2"/>
    <w:rsid w:val="00D001AC"/>
    <w:rsid w:val="00D0031F"/>
    <w:rsid w:val="00D00863"/>
    <w:rsid w:val="00D00923"/>
    <w:rsid w:val="00D01083"/>
    <w:rsid w:val="00D010F7"/>
    <w:rsid w:val="00D015A8"/>
    <w:rsid w:val="00D015C8"/>
    <w:rsid w:val="00D01B33"/>
    <w:rsid w:val="00D01C8C"/>
    <w:rsid w:val="00D02AF9"/>
    <w:rsid w:val="00D031A4"/>
    <w:rsid w:val="00D03994"/>
    <w:rsid w:val="00D03D80"/>
    <w:rsid w:val="00D0422B"/>
    <w:rsid w:val="00D04638"/>
    <w:rsid w:val="00D04F34"/>
    <w:rsid w:val="00D0578C"/>
    <w:rsid w:val="00D05F27"/>
    <w:rsid w:val="00D0603B"/>
    <w:rsid w:val="00D063E2"/>
    <w:rsid w:val="00D06567"/>
    <w:rsid w:val="00D065A5"/>
    <w:rsid w:val="00D06612"/>
    <w:rsid w:val="00D0663D"/>
    <w:rsid w:val="00D07071"/>
    <w:rsid w:val="00D07499"/>
    <w:rsid w:val="00D0785D"/>
    <w:rsid w:val="00D07C59"/>
    <w:rsid w:val="00D10491"/>
    <w:rsid w:val="00D110DB"/>
    <w:rsid w:val="00D1132B"/>
    <w:rsid w:val="00D11964"/>
    <w:rsid w:val="00D11C7B"/>
    <w:rsid w:val="00D12097"/>
    <w:rsid w:val="00D13927"/>
    <w:rsid w:val="00D1431A"/>
    <w:rsid w:val="00D14985"/>
    <w:rsid w:val="00D14A55"/>
    <w:rsid w:val="00D14CEA"/>
    <w:rsid w:val="00D15599"/>
    <w:rsid w:val="00D15718"/>
    <w:rsid w:val="00D159D4"/>
    <w:rsid w:val="00D15A3A"/>
    <w:rsid w:val="00D15B15"/>
    <w:rsid w:val="00D16462"/>
    <w:rsid w:val="00D166DA"/>
    <w:rsid w:val="00D16B79"/>
    <w:rsid w:val="00D16BA4"/>
    <w:rsid w:val="00D16DB6"/>
    <w:rsid w:val="00D16E34"/>
    <w:rsid w:val="00D172BD"/>
    <w:rsid w:val="00D172CC"/>
    <w:rsid w:val="00D2042D"/>
    <w:rsid w:val="00D22447"/>
    <w:rsid w:val="00D22A06"/>
    <w:rsid w:val="00D22BA2"/>
    <w:rsid w:val="00D22EC3"/>
    <w:rsid w:val="00D2340A"/>
    <w:rsid w:val="00D234BD"/>
    <w:rsid w:val="00D238B5"/>
    <w:rsid w:val="00D2458F"/>
    <w:rsid w:val="00D24B0B"/>
    <w:rsid w:val="00D2575D"/>
    <w:rsid w:val="00D25B3E"/>
    <w:rsid w:val="00D2687A"/>
    <w:rsid w:val="00D26FAD"/>
    <w:rsid w:val="00D2775A"/>
    <w:rsid w:val="00D2776C"/>
    <w:rsid w:val="00D27834"/>
    <w:rsid w:val="00D27D16"/>
    <w:rsid w:val="00D27E3D"/>
    <w:rsid w:val="00D30358"/>
    <w:rsid w:val="00D30ED5"/>
    <w:rsid w:val="00D31220"/>
    <w:rsid w:val="00D312CC"/>
    <w:rsid w:val="00D31388"/>
    <w:rsid w:val="00D31837"/>
    <w:rsid w:val="00D31856"/>
    <w:rsid w:val="00D31E40"/>
    <w:rsid w:val="00D31E45"/>
    <w:rsid w:val="00D31FD9"/>
    <w:rsid w:val="00D323AF"/>
    <w:rsid w:val="00D323C3"/>
    <w:rsid w:val="00D33145"/>
    <w:rsid w:val="00D333EC"/>
    <w:rsid w:val="00D33489"/>
    <w:rsid w:val="00D33B6C"/>
    <w:rsid w:val="00D33BCA"/>
    <w:rsid w:val="00D33D80"/>
    <w:rsid w:val="00D34027"/>
    <w:rsid w:val="00D340E3"/>
    <w:rsid w:val="00D342F2"/>
    <w:rsid w:val="00D346D1"/>
    <w:rsid w:val="00D34978"/>
    <w:rsid w:val="00D35118"/>
    <w:rsid w:val="00D35271"/>
    <w:rsid w:val="00D354D4"/>
    <w:rsid w:val="00D3650D"/>
    <w:rsid w:val="00D36D01"/>
    <w:rsid w:val="00D37202"/>
    <w:rsid w:val="00D41320"/>
    <w:rsid w:val="00D416A3"/>
    <w:rsid w:val="00D41D8A"/>
    <w:rsid w:val="00D424FD"/>
    <w:rsid w:val="00D42B5B"/>
    <w:rsid w:val="00D43414"/>
    <w:rsid w:val="00D43889"/>
    <w:rsid w:val="00D43A28"/>
    <w:rsid w:val="00D4402E"/>
    <w:rsid w:val="00D44A4E"/>
    <w:rsid w:val="00D45279"/>
    <w:rsid w:val="00D455E2"/>
    <w:rsid w:val="00D45A43"/>
    <w:rsid w:val="00D468E4"/>
    <w:rsid w:val="00D46DFD"/>
    <w:rsid w:val="00D46E11"/>
    <w:rsid w:val="00D471F3"/>
    <w:rsid w:val="00D4752E"/>
    <w:rsid w:val="00D478DA"/>
    <w:rsid w:val="00D47CBD"/>
    <w:rsid w:val="00D506E6"/>
    <w:rsid w:val="00D50B1B"/>
    <w:rsid w:val="00D51FB8"/>
    <w:rsid w:val="00D521B7"/>
    <w:rsid w:val="00D52253"/>
    <w:rsid w:val="00D522EF"/>
    <w:rsid w:val="00D523EA"/>
    <w:rsid w:val="00D52C2D"/>
    <w:rsid w:val="00D52C5A"/>
    <w:rsid w:val="00D52EDB"/>
    <w:rsid w:val="00D53415"/>
    <w:rsid w:val="00D5369C"/>
    <w:rsid w:val="00D538ED"/>
    <w:rsid w:val="00D53C5A"/>
    <w:rsid w:val="00D53F22"/>
    <w:rsid w:val="00D54B15"/>
    <w:rsid w:val="00D550ED"/>
    <w:rsid w:val="00D553B2"/>
    <w:rsid w:val="00D553D4"/>
    <w:rsid w:val="00D55CF0"/>
    <w:rsid w:val="00D55E8F"/>
    <w:rsid w:val="00D561EA"/>
    <w:rsid w:val="00D56653"/>
    <w:rsid w:val="00D56657"/>
    <w:rsid w:val="00D566D5"/>
    <w:rsid w:val="00D56922"/>
    <w:rsid w:val="00D572A6"/>
    <w:rsid w:val="00D57421"/>
    <w:rsid w:val="00D57526"/>
    <w:rsid w:val="00D5770C"/>
    <w:rsid w:val="00D57890"/>
    <w:rsid w:val="00D578FB"/>
    <w:rsid w:val="00D57C55"/>
    <w:rsid w:val="00D60621"/>
    <w:rsid w:val="00D606DE"/>
    <w:rsid w:val="00D60905"/>
    <w:rsid w:val="00D60998"/>
    <w:rsid w:val="00D60C18"/>
    <w:rsid w:val="00D60FD6"/>
    <w:rsid w:val="00D61061"/>
    <w:rsid w:val="00D61075"/>
    <w:rsid w:val="00D61ADE"/>
    <w:rsid w:val="00D61D38"/>
    <w:rsid w:val="00D623C9"/>
    <w:rsid w:val="00D62721"/>
    <w:rsid w:val="00D627FF"/>
    <w:rsid w:val="00D6281A"/>
    <w:rsid w:val="00D628DB"/>
    <w:rsid w:val="00D635E6"/>
    <w:rsid w:val="00D63ECE"/>
    <w:rsid w:val="00D6420C"/>
    <w:rsid w:val="00D6459C"/>
    <w:rsid w:val="00D645F7"/>
    <w:rsid w:val="00D64972"/>
    <w:rsid w:val="00D64E0D"/>
    <w:rsid w:val="00D64F21"/>
    <w:rsid w:val="00D652DC"/>
    <w:rsid w:val="00D65301"/>
    <w:rsid w:val="00D656B5"/>
    <w:rsid w:val="00D66138"/>
    <w:rsid w:val="00D67584"/>
    <w:rsid w:val="00D677B4"/>
    <w:rsid w:val="00D67A2C"/>
    <w:rsid w:val="00D70348"/>
    <w:rsid w:val="00D70607"/>
    <w:rsid w:val="00D706F2"/>
    <w:rsid w:val="00D70907"/>
    <w:rsid w:val="00D70BF1"/>
    <w:rsid w:val="00D71DBC"/>
    <w:rsid w:val="00D726F5"/>
    <w:rsid w:val="00D72CEC"/>
    <w:rsid w:val="00D72D74"/>
    <w:rsid w:val="00D72E45"/>
    <w:rsid w:val="00D72E8D"/>
    <w:rsid w:val="00D73869"/>
    <w:rsid w:val="00D73AF9"/>
    <w:rsid w:val="00D73DC5"/>
    <w:rsid w:val="00D74519"/>
    <w:rsid w:val="00D74566"/>
    <w:rsid w:val="00D74A00"/>
    <w:rsid w:val="00D74D39"/>
    <w:rsid w:val="00D74E06"/>
    <w:rsid w:val="00D74FE8"/>
    <w:rsid w:val="00D753F4"/>
    <w:rsid w:val="00D762D9"/>
    <w:rsid w:val="00D76306"/>
    <w:rsid w:val="00D7644C"/>
    <w:rsid w:val="00D7663B"/>
    <w:rsid w:val="00D76B79"/>
    <w:rsid w:val="00D76D6A"/>
    <w:rsid w:val="00D77790"/>
    <w:rsid w:val="00D80430"/>
    <w:rsid w:val="00D80772"/>
    <w:rsid w:val="00D80999"/>
    <w:rsid w:val="00D809EF"/>
    <w:rsid w:val="00D80E7C"/>
    <w:rsid w:val="00D811D9"/>
    <w:rsid w:val="00D827D9"/>
    <w:rsid w:val="00D837B0"/>
    <w:rsid w:val="00D83E91"/>
    <w:rsid w:val="00D84334"/>
    <w:rsid w:val="00D84A3E"/>
    <w:rsid w:val="00D8564C"/>
    <w:rsid w:val="00D8635B"/>
    <w:rsid w:val="00D86D37"/>
    <w:rsid w:val="00D875AE"/>
    <w:rsid w:val="00D8778E"/>
    <w:rsid w:val="00D87B24"/>
    <w:rsid w:val="00D9036D"/>
    <w:rsid w:val="00D906EB"/>
    <w:rsid w:val="00D90F58"/>
    <w:rsid w:val="00D92ACA"/>
    <w:rsid w:val="00D92D26"/>
    <w:rsid w:val="00D93178"/>
    <w:rsid w:val="00D936AC"/>
    <w:rsid w:val="00D93CB2"/>
    <w:rsid w:val="00D93D23"/>
    <w:rsid w:val="00D94393"/>
    <w:rsid w:val="00D94827"/>
    <w:rsid w:val="00D9491C"/>
    <w:rsid w:val="00D9596C"/>
    <w:rsid w:val="00D959A0"/>
    <w:rsid w:val="00D95E5C"/>
    <w:rsid w:val="00D96506"/>
    <w:rsid w:val="00D96C22"/>
    <w:rsid w:val="00D973AF"/>
    <w:rsid w:val="00D97723"/>
    <w:rsid w:val="00DA00F3"/>
    <w:rsid w:val="00DA0309"/>
    <w:rsid w:val="00DA032F"/>
    <w:rsid w:val="00DA05EA"/>
    <w:rsid w:val="00DA0719"/>
    <w:rsid w:val="00DA08DA"/>
    <w:rsid w:val="00DA10D9"/>
    <w:rsid w:val="00DA1BE1"/>
    <w:rsid w:val="00DA21E4"/>
    <w:rsid w:val="00DA21FF"/>
    <w:rsid w:val="00DA271A"/>
    <w:rsid w:val="00DA2930"/>
    <w:rsid w:val="00DA2C44"/>
    <w:rsid w:val="00DA324A"/>
    <w:rsid w:val="00DA338F"/>
    <w:rsid w:val="00DA3458"/>
    <w:rsid w:val="00DA3857"/>
    <w:rsid w:val="00DA3989"/>
    <w:rsid w:val="00DA45A2"/>
    <w:rsid w:val="00DA55DA"/>
    <w:rsid w:val="00DA5E3D"/>
    <w:rsid w:val="00DA61A6"/>
    <w:rsid w:val="00DA63C9"/>
    <w:rsid w:val="00DA65E7"/>
    <w:rsid w:val="00DA6ADF"/>
    <w:rsid w:val="00DA6D92"/>
    <w:rsid w:val="00DA7D33"/>
    <w:rsid w:val="00DB1970"/>
    <w:rsid w:val="00DB22DD"/>
    <w:rsid w:val="00DB35D6"/>
    <w:rsid w:val="00DB4238"/>
    <w:rsid w:val="00DB438A"/>
    <w:rsid w:val="00DB49DA"/>
    <w:rsid w:val="00DB4C38"/>
    <w:rsid w:val="00DB5340"/>
    <w:rsid w:val="00DB5534"/>
    <w:rsid w:val="00DB5D2C"/>
    <w:rsid w:val="00DB5FF5"/>
    <w:rsid w:val="00DB6210"/>
    <w:rsid w:val="00DB632F"/>
    <w:rsid w:val="00DB7097"/>
    <w:rsid w:val="00DB73BB"/>
    <w:rsid w:val="00DB7B87"/>
    <w:rsid w:val="00DC0921"/>
    <w:rsid w:val="00DC0B5C"/>
    <w:rsid w:val="00DC1080"/>
    <w:rsid w:val="00DC1FCD"/>
    <w:rsid w:val="00DC2065"/>
    <w:rsid w:val="00DC2114"/>
    <w:rsid w:val="00DC216B"/>
    <w:rsid w:val="00DC22CC"/>
    <w:rsid w:val="00DC2817"/>
    <w:rsid w:val="00DC2900"/>
    <w:rsid w:val="00DC2E5E"/>
    <w:rsid w:val="00DC344C"/>
    <w:rsid w:val="00DC3463"/>
    <w:rsid w:val="00DC37F3"/>
    <w:rsid w:val="00DC3920"/>
    <w:rsid w:val="00DC3997"/>
    <w:rsid w:val="00DC3D5B"/>
    <w:rsid w:val="00DC4EE7"/>
    <w:rsid w:val="00DC5058"/>
    <w:rsid w:val="00DC5372"/>
    <w:rsid w:val="00DC5479"/>
    <w:rsid w:val="00DC66A3"/>
    <w:rsid w:val="00DC6F56"/>
    <w:rsid w:val="00DC6F76"/>
    <w:rsid w:val="00DC7428"/>
    <w:rsid w:val="00DC750E"/>
    <w:rsid w:val="00DC7778"/>
    <w:rsid w:val="00DC7B89"/>
    <w:rsid w:val="00DC7C14"/>
    <w:rsid w:val="00DD054E"/>
    <w:rsid w:val="00DD0CF6"/>
    <w:rsid w:val="00DD0D7E"/>
    <w:rsid w:val="00DD1379"/>
    <w:rsid w:val="00DD1BE0"/>
    <w:rsid w:val="00DD1C35"/>
    <w:rsid w:val="00DD28A7"/>
    <w:rsid w:val="00DD28FC"/>
    <w:rsid w:val="00DD397C"/>
    <w:rsid w:val="00DD3A92"/>
    <w:rsid w:val="00DD41E4"/>
    <w:rsid w:val="00DD4B72"/>
    <w:rsid w:val="00DD518C"/>
    <w:rsid w:val="00DD53EC"/>
    <w:rsid w:val="00DD53F5"/>
    <w:rsid w:val="00DD54F7"/>
    <w:rsid w:val="00DD56D7"/>
    <w:rsid w:val="00DD6057"/>
    <w:rsid w:val="00DD68EC"/>
    <w:rsid w:val="00DD6D7D"/>
    <w:rsid w:val="00DD6DBE"/>
    <w:rsid w:val="00DE0798"/>
    <w:rsid w:val="00DE07DB"/>
    <w:rsid w:val="00DE093F"/>
    <w:rsid w:val="00DE0EAC"/>
    <w:rsid w:val="00DE0EB6"/>
    <w:rsid w:val="00DE117F"/>
    <w:rsid w:val="00DE12E8"/>
    <w:rsid w:val="00DE146F"/>
    <w:rsid w:val="00DE15F8"/>
    <w:rsid w:val="00DE1CC2"/>
    <w:rsid w:val="00DE1F4D"/>
    <w:rsid w:val="00DE26F8"/>
    <w:rsid w:val="00DE273E"/>
    <w:rsid w:val="00DE2EAC"/>
    <w:rsid w:val="00DE3830"/>
    <w:rsid w:val="00DE411D"/>
    <w:rsid w:val="00DE45D1"/>
    <w:rsid w:val="00DE4774"/>
    <w:rsid w:val="00DE477F"/>
    <w:rsid w:val="00DE4D76"/>
    <w:rsid w:val="00DE5C07"/>
    <w:rsid w:val="00DE6115"/>
    <w:rsid w:val="00DE62D9"/>
    <w:rsid w:val="00DE62F0"/>
    <w:rsid w:val="00DE7013"/>
    <w:rsid w:val="00DE7934"/>
    <w:rsid w:val="00DE7AF3"/>
    <w:rsid w:val="00DE7EC2"/>
    <w:rsid w:val="00DF038F"/>
    <w:rsid w:val="00DF048F"/>
    <w:rsid w:val="00DF08BC"/>
    <w:rsid w:val="00DF0901"/>
    <w:rsid w:val="00DF0EAE"/>
    <w:rsid w:val="00DF1019"/>
    <w:rsid w:val="00DF110F"/>
    <w:rsid w:val="00DF17EB"/>
    <w:rsid w:val="00DF1BA5"/>
    <w:rsid w:val="00DF222F"/>
    <w:rsid w:val="00DF2DA2"/>
    <w:rsid w:val="00DF2DC5"/>
    <w:rsid w:val="00DF2F9A"/>
    <w:rsid w:val="00DF346B"/>
    <w:rsid w:val="00DF3593"/>
    <w:rsid w:val="00DF3867"/>
    <w:rsid w:val="00DF491D"/>
    <w:rsid w:val="00DF4F49"/>
    <w:rsid w:val="00DF5478"/>
    <w:rsid w:val="00DF559A"/>
    <w:rsid w:val="00DF55D7"/>
    <w:rsid w:val="00DF5603"/>
    <w:rsid w:val="00DF5782"/>
    <w:rsid w:val="00DF6096"/>
    <w:rsid w:val="00DF6294"/>
    <w:rsid w:val="00DF6F6A"/>
    <w:rsid w:val="00DF71FA"/>
    <w:rsid w:val="00DF7935"/>
    <w:rsid w:val="00E00CD1"/>
    <w:rsid w:val="00E011F6"/>
    <w:rsid w:val="00E01461"/>
    <w:rsid w:val="00E0155D"/>
    <w:rsid w:val="00E016FE"/>
    <w:rsid w:val="00E0172F"/>
    <w:rsid w:val="00E01745"/>
    <w:rsid w:val="00E01AC6"/>
    <w:rsid w:val="00E02D0A"/>
    <w:rsid w:val="00E03F8B"/>
    <w:rsid w:val="00E043AD"/>
    <w:rsid w:val="00E04F74"/>
    <w:rsid w:val="00E05889"/>
    <w:rsid w:val="00E05DB1"/>
    <w:rsid w:val="00E063A0"/>
    <w:rsid w:val="00E06568"/>
    <w:rsid w:val="00E066EB"/>
    <w:rsid w:val="00E06885"/>
    <w:rsid w:val="00E06B6F"/>
    <w:rsid w:val="00E06C8D"/>
    <w:rsid w:val="00E06D65"/>
    <w:rsid w:val="00E06E7F"/>
    <w:rsid w:val="00E07337"/>
    <w:rsid w:val="00E07413"/>
    <w:rsid w:val="00E075D1"/>
    <w:rsid w:val="00E07858"/>
    <w:rsid w:val="00E07A47"/>
    <w:rsid w:val="00E1029B"/>
    <w:rsid w:val="00E10CD9"/>
    <w:rsid w:val="00E10FA5"/>
    <w:rsid w:val="00E11013"/>
    <w:rsid w:val="00E12B11"/>
    <w:rsid w:val="00E12E41"/>
    <w:rsid w:val="00E13EB1"/>
    <w:rsid w:val="00E147FA"/>
    <w:rsid w:val="00E14C63"/>
    <w:rsid w:val="00E14C9A"/>
    <w:rsid w:val="00E14E86"/>
    <w:rsid w:val="00E14F5C"/>
    <w:rsid w:val="00E15107"/>
    <w:rsid w:val="00E158DD"/>
    <w:rsid w:val="00E15E2C"/>
    <w:rsid w:val="00E15EF1"/>
    <w:rsid w:val="00E161EF"/>
    <w:rsid w:val="00E167C1"/>
    <w:rsid w:val="00E16DD0"/>
    <w:rsid w:val="00E16DDC"/>
    <w:rsid w:val="00E1710E"/>
    <w:rsid w:val="00E177CA"/>
    <w:rsid w:val="00E20110"/>
    <w:rsid w:val="00E205ED"/>
    <w:rsid w:val="00E21008"/>
    <w:rsid w:val="00E21361"/>
    <w:rsid w:val="00E21837"/>
    <w:rsid w:val="00E2194A"/>
    <w:rsid w:val="00E21ABC"/>
    <w:rsid w:val="00E21B7C"/>
    <w:rsid w:val="00E21BE2"/>
    <w:rsid w:val="00E227F9"/>
    <w:rsid w:val="00E22D3A"/>
    <w:rsid w:val="00E230BA"/>
    <w:rsid w:val="00E23210"/>
    <w:rsid w:val="00E238A1"/>
    <w:rsid w:val="00E23B73"/>
    <w:rsid w:val="00E23E8F"/>
    <w:rsid w:val="00E24584"/>
    <w:rsid w:val="00E24845"/>
    <w:rsid w:val="00E24DA8"/>
    <w:rsid w:val="00E24F2F"/>
    <w:rsid w:val="00E25017"/>
    <w:rsid w:val="00E25345"/>
    <w:rsid w:val="00E253C3"/>
    <w:rsid w:val="00E253DB"/>
    <w:rsid w:val="00E254D2"/>
    <w:rsid w:val="00E25D78"/>
    <w:rsid w:val="00E25DD9"/>
    <w:rsid w:val="00E26A62"/>
    <w:rsid w:val="00E2751F"/>
    <w:rsid w:val="00E27EB2"/>
    <w:rsid w:val="00E310E0"/>
    <w:rsid w:val="00E311CA"/>
    <w:rsid w:val="00E31A80"/>
    <w:rsid w:val="00E32358"/>
    <w:rsid w:val="00E32378"/>
    <w:rsid w:val="00E3242B"/>
    <w:rsid w:val="00E32FD3"/>
    <w:rsid w:val="00E332A7"/>
    <w:rsid w:val="00E33903"/>
    <w:rsid w:val="00E33F6F"/>
    <w:rsid w:val="00E342AC"/>
    <w:rsid w:val="00E34F23"/>
    <w:rsid w:val="00E3507C"/>
    <w:rsid w:val="00E3540D"/>
    <w:rsid w:val="00E35A2B"/>
    <w:rsid w:val="00E36EC6"/>
    <w:rsid w:val="00E37457"/>
    <w:rsid w:val="00E3752F"/>
    <w:rsid w:val="00E37B00"/>
    <w:rsid w:val="00E37C26"/>
    <w:rsid w:val="00E4054B"/>
    <w:rsid w:val="00E40597"/>
    <w:rsid w:val="00E40AE7"/>
    <w:rsid w:val="00E41D1E"/>
    <w:rsid w:val="00E41FF9"/>
    <w:rsid w:val="00E4211C"/>
    <w:rsid w:val="00E423FB"/>
    <w:rsid w:val="00E42530"/>
    <w:rsid w:val="00E4278E"/>
    <w:rsid w:val="00E42E0C"/>
    <w:rsid w:val="00E42FB0"/>
    <w:rsid w:val="00E43909"/>
    <w:rsid w:val="00E43DE0"/>
    <w:rsid w:val="00E43E48"/>
    <w:rsid w:val="00E44015"/>
    <w:rsid w:val="00E44147"/>
    <w:rsid w:val="00E441C6"/>
    <w:rsid w:val="00E4428F"/>
    <w:rsid w:val="00E445BD"/>
    <w:rsid w:val="00E44640"/>
    <w:rsid w:val="00E44875"/>
    <w:rsid w:val="00E44B36"/>
    <w:rsid w:val="00E44E52"/>
    <w:rsid w:val="00E4658D"/>
    <w:rsid w:val="00E46D50"/>
    <w:rsid w:val="00E4785A"/>
    <w:rsid w:val="00E47AB3"/>
    <w:rsid w:val="00E47F40"/>
    <w:rsid w:val="00E501AB"/>
    <w:rsid w:val="00E5056D"/>
    <w:rsid w:val="00E5070C"/>
    <w:rsid w:val="00E50791"/>
    <w:rsid w:val="00E5102C"/>
    <w:rsid w:val="00E513AC"/>
    <w:rsid w:val="00E5146A"/>
    <w:rsid w:val="00E52025"/>
    <w:rsid w:val="00E52132"/>
    <w:rsid w:val="00E52455"/>
    <w:rsid w:val="00E5270F"/>
    <w:rsid w:val="00E52CB9"/>
    <w:rsid w:val="00E52E5C"/>
    <w:rsid w:val="00E5311E"/>
    <w:rsid w:val="00E53FFA"/>
    <w:rsid w:val="00E5493D"/>
    <w:rsid w:val="00E55194"/>
    <w:rsid w:val="00E559F4"/>
    <w:rsid w:val="00E56050"/>
    <w:rsid w:val="00E563F4"/>
    <w:rsid w:val="00E56988"/>
    <w:rsid w:val="00E56DBC"/>
    <w:rsid w:val="00E574BC"/>
    <w:rsid w:val="00E57D29"/>
    <w:rsid w:val="00E60425"/>
    <w:rsid w:val="00E60691"/>
    <w:rsid w:val="00E612D6"/>
    <w:rsid w:val="00E6149D"/>
    <w:rsid w:val="00E61509"/>
    <w:rsid w:val="00E61F9A"/>
    <w:rsid w:val="00E623E8"/>
    <w:rsid w:val="00E6305D"/>
    <w:rsid w:val="00E6353E"/>
    <w:rsid w:val="00E63C43"/>
    <w:rsid w:val="00E63D42"/>
    <w:rsid w:val="00E63EE6"/>
    <w:rsid w:val="00E640BD"/>
    <w:rsid w:val="00E64701"/>
    <w:rsid w:val="00E64BDE"/>
    <w:rsid w:val="00E64D8C"/>
    <w:rsid w:val="00E65E03"/>
    <w:rsid w:val="00E6609A"/>
    <w:rsid w:val="00E661C0"/>
    <w:rsid w:val="00E669EE"/>
    <w:rsid w:val="00E66A5E"/>
    <w:rsid w:val="00E66C0F"/>
    <w:rsid w:val="00E67411"/>
    <w:rsid w:val="00E6774D"/>
    <w:rsid w:val="00E71149"/>
    <w:rsid w:val="00E71539"/>
    <w:rsid w:val="00E716E6"/>
    <w:rsid w:val="00E719A8"/>
    <w:rsid w:val="00E71EFD"/>
    <w:rsid w:val="00E72160"/>
    <w:rsid w:val="00E724EC"/>
    <w:rsid w:val="00E725F3"/>
    <w:rsid w:val="00E726F1"/>
    <w:rsid w:val="00E72F8B"/>
    <w:rsid w:val="00E73A32"/>
    <w:rsid w:val="00E73F6B"/>
    <w:rsid w:val="00E75210"/>
    <w:rsid w:val="00E754E7"/>
    <w:rsid w:val="00E75A90"/>
    <w:rsid w:val="00E75E6F"/>
    <w:rsid w:val="00E75FAA"/>
    <w:rsid w:val="00E75FBD"/>
    <w:rsid w:val="00E76870"/>
    <w:rsid w:val="00E7782B"/>
    <w:rsid w:val="00E807A3"/>
    <w:rsid w:val="00E80B18"/>
    <w:rsid w:val="00E81EEF"/>
    <w:rsid w:val="00E82218"/>
    <w:rsid w:val="00E82745"/>
    <w:rsid w:val="00E8291E"/>
    <w:rsid w:val="00E82A0A"/>
    <w:rsid w:val="00E82F0D"/>
    <w:rsid w:val="00E83114"/>
    <w:rsid w:val="00E83C35"/>
    <w:rsid w:val="00E83E73"/>
    <w:rsid w:val="00E83EA6"/>
    <w:rsid w:val="00E83F87"/>
    <w:rsid w:val="00E84040"/>
    <w:rsid w:val="00E84085"/>
    <w:rsid w:val="00E84ADA"/>
    <w:rsid w:val="00E84E94"/>
    <w:rsid w:val="00E84ED3"/>
    <w:rsid w:val="00E854D3"/>
    <w:rsid w:val="00E85937"/>
    <w:rsid w:val="00E85D3A"/>
    <w:rsid w:val="00E865E8"/>
    <w:rsid w:val="00E86BEC"/>
    <w:rsid w:val="00E86BED"/>
    <w:rsid w:val="00E86E64"/>
    <w:rsid w:val="00E87204"/>
    <w:rsid w:val="00E87278"/>
    <w:rsid w:val="00E872AA"/>
    <w:rsid w:val="00E87595"/>
    <w:rsid w:val="00E87789"/>
    <w:rsid w:val="00E87B8E"/>
    <w:rsid w:val="00E87CA6"/>
    <w:rsid w:val="00E87DFE"/>
    <w:rsid w:val="00E9006D"/>
    <w:rsid w:val="00E90886"/>
    <w:rsid w:val="00E911B6"/>
    <w:rsid w:val="00E917CF"/>
    <w:rsid w:val="00E92567"/>
    <w:rsid w:val="00E926CE"/>
    <w:rsid w:val="00E92BA5"/>
    <w:rsid w:val="00E92C44"/>
    <w:rsid w:val="00E92C9F"/>
    <w:rsid w:val="00E9320E"/>
    <w:rsid w:val="00E933D1"/>
    <w:rsid w:val="00E9398A"/>
    <w:rsid w:val="00E93A0C"/>
    <w:rsid w:val="00E93A5B"/>
    <w:rsid w:val="00E94923"/>
    <w:rsid w:val="00E949DB"/>
    <w:rsid w:val="00E94E6F"/>
    <w:rsid w:val="00E94F50"/>
    <w:rsid w:val="00E95206"/>
    <w:rsid w:val="00E95218"/>
    <w:rsid w:val="00E952DB"/>
    <w:rsid w:val="00E957A5"/>
    <w:rsid w:val="00E95EB4"/>
    <w:rsid w:val="00E95F71"/>
    <w:rsid w:val="00E96A1D"/>
    <w:rsid w:val="00E96F54"/>
    <w:rsid w:val="00E97CD8"/>
    <w:rsid w:val="00EA0796"/>
    <w:rsid w:val="00EA0992"/>
    <w:rsid w:val="00EA0A4F"/>
    <w:rsid w:val="00EA1253"/>
    <w:rsid w:val="00EA21B9"/>
    <w:rsid w:val="00EA25F7"/>
    <w:rsid w:val="00EA2773"/>
    <w:rsid w:val="00EA39FB"/>
    <w:rsid w:val="00EA417E"/>
    <w:rsid w:val="00EA4C52"/>
    <w:rsid w:val="00EA4D55"/>
    <w:rsid w:val="00EA4D93"/>
    <w:rsid w:val="00EA5455"/>
    <w:rsid w:val="00EA59B3"/>
    <w:rsid w:val="00EA6020"/>
    <w:rsid w:val="00EA6609"/>
    <w:rsid w:val="00EA7515"/>
    <w:rsid w:val="00EA7BA1"/>
    <w:rsid w:val="00EB0759"/>
    <w:rsid w:val="00EB0829"/>
    <w:rsid w:val="00EB0888"/>
    <w:rsid w:val="00EB0E23"/>
    <w:rsid w:val="00EB0F76"/>
    <w:rsid w:val="00EB1279"/>
    <w:rsid w:val="00EB1503"/>
    <w:rsid w:val="00EB26DF"/>
    <w:rsid w:val="00EB2B16"/>
    <w:rsid w:val="00EB3540"/>
    <w:rsid w:val="00EB37BA"/>
    <w:rsid w:val="00EB389B"/>
    <w:rsid w:val="00EB3F1B"/>
    <w:rsid w:val="00EB4106"/>
    <w:rsid w:val="00EB445C"/>
    <w:rsid w:val="00EB4504"/>
    <w:rsid w:val="00EB4641"/>
    <w:rsid w:val="00EB4A9E"/>
    <w:rsid w:val="00EB560D"/>
    <w:rsid w:val="00EB6301"/>
    <w:rsid w:val="00EB6C65"/>
    <w:rsid w:val="00EB75A9"/>
    <w:rsid w:val="00EC0D4C"/>
    <w:rsid w:val="00EC12FD"/>
    <w:rsid w:val="00EC144A"/>
    <w:rsid w:val="00EC1CB7"/>
    <w:rsid w:val="00EC21ED"/>
    <w:rsid w:val="00EC229E"/>
    <w:rsid w:val="00EC255E"/>
    <w:rsid w:val="00EC2691"/>
    <w:rsid w:val="00EC2B3E"/>
    <w:rsid w:val="00EC2E65"/>
    <w:rsid w:val="00EC3809"/>
    <w:rsid w:val="00EC4EFB"/>
    <w:rsid w:val="00EC52C6"/>
    <w:rsid w:val="00EC5D7C"/>
    <w:rsid w:val="00EC6231"/>
    <w:rsid w:val="00EC658B"/>
    <w:rsid w:val="00EC69E4"/>
    <w:rsid w:val="00EC772C"/>
    <w:rsid w:val="00EC7BA8"/>
    <w:rsid w:val="00EC7FD1"/>
    <w:rsid w:val="00ED0639"/>
    <w:rsid w:val="00ED08E3"/>
    <w:rsid w:val="00ED0A7E"/>
    <w:rsid w:val="00ED0AFA"/>
    <w:rsid w:val="00ED0B9B"/>
    <w:rsid w:val="00ED1C80"/>
    <w:rsid w:val="00ED1F91"/>
    <w:rsid w:val="00ED2AD3"/>
    <w:rsid w:val="00ED2BDB"/>
    <w:rsid w:val="00ED3BAF"/>
    <w:rsid w:val="00ED4042"/>
    <w:rsid w:val="00ED412A"/>
    <w:rsid w:val="00ED42E4"/>
    <w:rsid w:val="00ED46C4"/>
    <w:rsid w:val="00ED4C35"/>
    <w:rsid w:val="00ED4C42"/>
    <w:rsid w:val="00ED5FD3"/>
    <w:rsid w:val="00ED619F"/>
    <w:rsid w:val="00ED6230"/>
    <w:rsid w:val="00ED62F3"/>
    <w:rsid w:val="00ED6C87"/>
    <w:rsid w:val="00ED70B5"/>
    <w:rsid w:val="00ED7956"/>
    <w:rsid w:val="00ED79F0"/>
    <w:rsid w:val="00ED7AE0"/>
    <w:rsid w:val="00EE0E09"/>
    <w:rsid w:val="00EE0F6E"/>
    <w:rsid w:val="00EE1064"/>
    <w:rsid w:val="00EE1427"/>
    <w:rsid w:val="00EE15BE"/>
    <w:rsid w:val="00EE15F1"/>
    <w:rsid w:val="00EE17DC"/>
    <w:rsid w:val="00EE217E"/>
    <w:rsid w:val="00EE274E"/>
    <w:rsid w:val="00EE2E48"/>
    <w:rsid w:val="00EE34A9"/>
    <w:rsid w:val="00EE36A8"/>
    <w:rsid w:val="00EE3706"/>
    <w:rsid w:val="00EE4773"/>
    <w:rsid w:val="00EE51C5"/>
    <w:rsid w:val="00EE57B2"/>
    <w:rsid w:val="00EE5A1B"/>
    <w:rsid w:val="00EE5CE1"/>
    <w:rsid w:val="00EE60A8"/>
    <w:rsid w:val="00EE6116"/>
    <w:rsid w:val="00EE6924"/>
    <w:rsid w:val="00EE698E"/>
    <w:rsid w:val="00EE6B0F"/>
    <w:rsid w:val="00EE6FF0"/>
    <w:rsid w:val="00EE7155"/>
    <w:rsid w:val="00EE74DD"/>
    <w:rsid w:val="00EE76C7"/>
    <w:rsid w:val="00EE7BB9"/>
    <w:rsid w:val="00EF012A"/>
    <w:rsid w:val="00EF093A"/>
    <w:rsid w:val="00EF1055"/>
    <w:rsid w:val="00EF16EC"/>
    <w:rsid w:val="00EF1A53"/>
    <w:rsid w:val="00EF2A5F"/>
    <w:rsid w:val="00EF2DAE"/>
    <w:rsid w:val="00EF2FB4"/>
    <w:rsid w:val="00EF30A5"/>
    <w:rsid w:val="00EF459C"/>
    <w:rsid w:val="00EF4F1B"/>
    <w:rsid w:val="00EF5637"/>
    <w:rsid w:val="00EF5737"/>
    <w:rsid w:val="00EF5DBB"/>
    <w:rsid w:val="00EF5DEF"/>
    <w:rsid w:val="00EF5E8B"/>
    <w:rsid w:val="00EF60D7"/>
    <w:rsid w:val="00EF6494"/>
    <w:rsid w:val="00EF6E1D"/>
    <w:rsid w:val="00EF6F6E"/>
    <w:rsid w:val="00EF7247"/>
    <w:rsid w:val="00EF74B4"/>
    <w:rsid w:val="00F00EF2"/>
    <w:rsid w:val="00F017D8"/>
    <w:rsid w:val="00F01DF5"/>
    <w:rsid w:val="00F02021"/>
    <w:rsid w:val="00F02311"/>
    <w:rsid w:val="00F02641"/>
    <w:rsid w:val="00F02B4F"/>
    <w:rsid w:val="00F02BC4"/>
    <w:rsid w:val="00F03AA5"/>
    <w:rsid w:val="00F03B22"/>
    <w:rsid w:val="00F0495A"/>
    <w:rsid w:val="00F0522F"/>
    <w:rsid w:val="00F05BDB"/>
    <w:rsid w:val="00F061E3"/>
    <w:rsid w:val="00F069AF"/>
    <w:rsid w:val="00F06B2E"/>
    <w:rsid w:val="00F07952"/>
    <w:rsid w:val="00F103C9"/>
    <w:rsid w:val="00F10BDA"/>
    <w:rsid w:val="00F10DD4"/>
    <w:rsid w:val="00F11009"/>
    <w:rsid w:val="00F1108E"/>
    <w:rsid w:val="00F113D7"/>
    <w:rsid w:val="00F115BD"/>
    <w:rsid w:val="00F11727"/>
    <w:rsid w:val="00F11933"/>
    <w:rsid w:val="00F11EF6"/>
    <w:rsid w:val="00F1258B"/>
    <w:rsid w:val="00F129D0"/>
    <w:rsid w:val="00F12E52"/>
    <w:rsid w:val="00F139AE"/>
    <w:rsid w:val="00F13BCF"/>
    <w:rsid w:val="00F13D13"/>
    <w:rsid w:val="00F142C4"/>
    <w:rsid w:val="00F1444A"/>
    <w:rsid w:val="00F14FA7"/>
    <w:rsid w:val="00F1504D"/>
    <w:rsid w:val="00F1532E"/>
    <w:rsid w:val="00F15725"/>
    <w:rsid w:val="00F15B07"/>
    <w:rsid w:val="00F173AB"/>
    <w:rsid w:val="00F17A52"/>
    <w:rsid w:val="00F200B9"/>
    <w:rsid w:val="00F20589"/>
    <w:rsid w:val="00F20909"/>
    <w:rsid w:val="00F211AC"/>
    <w:rsid w:val="00F2207E"/>
    <w:rsid w:val="00F22DCB"/>
    <w:rsid w:val="00F23F07"/>
    <w:rsid w:val="00F24070"/>
    <w:rsid w:val="00F24122"/>
    <w:rsid w:val="00F2473A"/>
    <w:rsid w:val="00F247C1"/>
    <w:rsid w:val="00F25626"/>
    <w:rsid w:val="00F25B79"/>
    <w:rsid w:val="00F25C3D"/>
    <w:rsid w:val="00F27563"/>
    <w:rsid w:val="00F27AE6"/>
    <w:rsid w:val="00F27B0E"/>
    <w:rsid w:val="00F3058B"/>
    <w:rsid w:val="00F31102"/>
    <w:rsid w:val="00F312A5"/>
    <w:rsid w:val="00F31C54"/>
    <w:rsid w:val="00F31F24"/>
    <w:rsid w:val="00F32AFE"/>
    <w:rsid w:val="00F331F3"/>
    <w:rsid w:val="00F335BA"/>
    <w:rsid w:val="00F337CD"/>
    <w:rsid w:val="00F33D86"/>
    <w:rsid w:val="00F341FA"/>
    <w:rsid w:val="00F3452E"/>
    <w:rsid w:val="00F34BFD"/>
    <w:rsid w:val="00F34F44"/>
    <w:rsid w:val="00F350DC"/>
    <w:rsid w:val="00F369AA"/>
    <w:rsid w:val="00F374DD"/>
    <w:rsid w:val="00F37BCC"/>
    <w:rsid w:val="00F40966"/>
    <w:rsid w:val="00F424CE"/>
    <w:rsid w:val="00F42B13"/>
    <w:rsid w:val="00F42C14"/>
    <w:rsid w:val="00F43217"/>
    <w:rsid w:val="00F434A4"/>
    <w:rsid w:val="00F43B79"/>
    <w:rsid w:val="00F43BC8"/>
    <w:rsid w:val="00F43CFF"/>
    <w:rsid w:val="00F441BB"/>
    <w:rsid w:val="00F444CE"/>
    <w:rsid w:val="00F44587"/>
    <w:rsid w:val="00F44904"/>
    <w:rsid w:val="00F44A8C"/>
    <w:rsid w:val="00F4517B"/>
    <w:rsid w:val="00F455F1"/>
    <w:rsid w:val="00F45C64"/>
    <w:rsid w:val="00F45D56"/>
    <w:rsid w:val="00F45EF8"/>
    <w:rsid w:val="00F461F1"/>
    <w:rsid w:val="00F46971"/>
    <w:rsid w:val="00F46AEE"/>
    <w:rsid w:val="00F46B52"/>
    <w:rsid w:val="00F46D51"/>
    <w:rsid w:val="00F50939"/>
    <w:rsid w:val="00F51244"/>
    <w:rsid w:val="00F51342"/>
    <w:rsid w:val="00F5171E"/>
    <w:rsid w:val="00F519DA"/>
    <w:rsid w:val="00F52109"/>
    <w:rsid w:val="00F5228D"/>
    <w:rsid w:val="00F5270F"/>
    <w:rsid w:val="00F5285A"/>
    <w:rsid w:val="00F52E4E"/>
    <w:rsid w:val="00F52F56"/>
    <w:rsid w:val="00F52FE9"/>
    <w:rsid w:val="00F53730"/>
    <w:rsid w:val="00F54528"/>
    <w:rsid w:val="00F54604"/>
    <w:rsid w:val="00F54686"/>
    <w:rsid w:val="00F54B27"/>
    <w:rsid w:val="00F551B8"/>
    <w:rsid w:val="00F55364"/>
    <w:rsid w:val="00F55493"/>
    <w:rsid w:val="00F556D5"/>
    <w:rsid w:val="00F55878"/>
    <w:rsid w:val="00F55915"/>
    <w:rsid w:val="00F5599D"/>
    <w:rsid w:val="00F55BAB"/>
    <w:rsid w:val="00F56AC1"/>
    <w:rsid w:val="00F56EFF"/>
    <w:rsid w:val="00F570B3"/>
    <w:rsid w:val="00F57B3C"/>
    <w:rsid w:val="00F57BF2"/>
    <w:rsid w:val="00F605DF"/>
    <w:rsid w:val="00F60722"/>
    <w:rsid w:val="00F6088A"/>
    <w:rsid w:val="00F60FE9"/>
    <w:rsid w:val="00F610DA"/>
    <w:rsid w:val="00F61625"/>
    <w:rsid w:val="00F61732"/>
    <w:rsid w:val="00F61BD5"/>
    <w:rsid w:val="00F624B4"/>
    <w:rsid w:val="00F62550"/>
    <w:rsid w:val="00F62A3A"/>
    <w:rsid w:val="00F630A3"/>
    <w:rsid w:val="00F633E9"/>
    <w:rsid w:val="00F63809"/>
    <w:rsid w:val="00F6400B"/>
    <w:rsid w:val="00F64289"/>
    <w:rsid w:val="00F64903"/>
    <w:rsid w:val="00F65A64"/>
    <w:rsid w:val="00F6606C"/>
    <w:rsid w:val="00F664DD"/>
    <w:rsid w:val="00F66586"/>
    <w:rsid w:val="00F66D60"/>
    <w:rsid w:val="00F67903"/>
    <w:rsid w:val="00F7018E"/>
    <w:rsid w:val="00F703C3"/>
    <w:rsid w:val="00F70507"/>
    <w:rsid w:val="00F7066F"/>
    <w:rsid w:val="00F70C00"/>
    <w:rsid w:val="00F70DE1"/>
    <w:rsid w:val="00F71172"/>
    <w:rsid w:val="00F71DFA"/>
    <w:rsid w:val="00F71ECD"/>
    <w:rsid w:val="00F71F5B"/>
    <w:rsid w:val="00F7287E"/>
    <w:rsid w:val="00F74474"/>
    <w:rsid w:val="00F74603"/>
    <w:rsid w:val="00F7585B"/>
    <w:rsid w:val="00F75D74"/>
    <w:rsid w:val="00F76736"/>
    <w:rsid w:val="00F76A55"/>
    <w:rsid w:val="00F77050"/>
    <w:rsid w:val="00F7727D"/>
    <w:rsid w:val="00F77B92"/>
    <w:rsid w:val="00F77E09"/>
    <w:rsid w:val="00F80095"/>
    <w:rsid w:val="00F81744"/>
    <w:rsid w:val="00F818ED"/>
    <w:rsid w:val="00F81D0D"/>
    <w:rsid w:val="00F81F78"/>
    <w:rsid w:val="00F82BFE"/>
    <w:rsid w:val="00F82C7C"/>
    <w:rsid w:val="00F836ED"/>
    <w:rsid w:val="00F839D8"/>
    <w:rsid w:val="00F843AE"/>
    <w:rsid w:val="00F8449F"/>
    <w:rsid w:val="00F84F6F"/>
    <w:rsid w:val="00F852BD"/>
    <w:rsid w:val="00F85A17"/>
    <w:rsid w:val="00F85BBE"/>
    <w:rsid w:val="00F85ED4"/>
    <w:rsid w:val="00F86B72"/>
    <w:rsid w:val="00F86C05"/>
    <w:rsid w:val="00F86E09"/>
    <w:rsid w:val="00F8710C"/>
    <w:rsid w:val="00F87466"/>
    <w:rsid w:val="00F87DD6"/>
    <w:rsid w:val="00F87F7E"/>
    <w:rsid w:val="00F90544"/>
    <w:rsid w:val="00F9077C"/>
    <w:rsid w:val="00F9083D"/>
    <w:rsid w:val="00F9102B"/>
    <w:rsid w:val="00F91AD9"/>
    <w:rsid w:val="00F91CA3"/>
    <w:rsid w:val="00F91EC8"/>
    <w:rsid w:val="00F92F04"/>
    <w:rsid w:val="00F941F9"/>
    <w:rsid w:val="00F947A0"/>
    <w:rsid w:val="00F947B3"/>
    <w:rsid w:val="00F94EFD"/>
    <w:rsid w:val="00F95431"/>
    <w:rsid w:val="00F956C8"/>
    <w:rsid w:val="00F95B0F"/>
    <w:rsid w:val="00F961BE"/>
    <w:rsid w:val="00F96251"/>
    <w:rsid w:val="00F96632"/>
    <w:rsid w:val="00F96652"/>
    <w:rsid w:val="00F968B0"/>
    <w:rsid w:val="00F96BD0"/>
    <w:rsid w:val="00F9702B"/>
    <w:rsid w:val="00F9729C"/>
    <w:rsid w:val="00F97E17"/>
    <w:rsid w:val="00FA0D6D"/>
    <w:rsid w:val="00FA0DB5"/>
    <w:rsid w:val="00FA0EFF"/>
    <w:rsid w:val="00FA10A7"/>
    <w:rsid w:val="00FA1816"/>
    <w:rsid w:val="00FA182B"/>
    <w:rsid w:val="00FA1DE9"/>
    <w:rsid w:val="00FA1EF9"/>
    <w:rsid w:val="00FA1F34"/>
    <w:rsid w:val="00FA2257"/>
    <w:rsid w:val="00FA2773"/>
    <w:rsid w:val="00FA2AD2"/>
    <w:rsid w:val="00FA3206"/>
    <w:rsid w:val="00FA3971"/>
    <w:rsid w:val="00FA3D64"/>
    <w:rsid w:val="00FA4689"/>
    <w:rsid w:val="00FA4CB7"/>
    <w:rsid w:val="00FA4E78"/>
    <w:rsid w:val="00FA5166"/>
    <w:rsid w:val="00FA5281"/>
    <w:rsid w:val="00FA52BD"/>
    <w:rsid w:val="00FA61DC"/>
    <w:rsid w:val="00FA6CBC"/>
    <w:rsid w:val="00FA7BB3"/>
    <w:rsid w:val="00FA7D41"/>
    <w:rsid w:val="00FA7F27"/>
    <w:rsid w:val="00FB0E99"/>
    <w:rsid w:val="00FB18E4"/>
    <w:rsid w:val="00FB1AF6"/>
    <w:rsid w:val="00FB21A3"/>
    <w:rsid w:val="00FB225A"/>
    <w:rsid w:val="00FB2F4B"/>
    <w:rsid w:val="00FB3295"/>
    <w:rsid w:val="00FB33AA"/>
    <w:rsid w:val="00FB35DD"/>
    <w:rsid w:val="00FB41D0"/>
    <w:rsid w:val="00FB445C"/>
    <w:rsid w:val="00FB44F3"/>
    <w:rsid w:val="00FB455F"/>
    <w:rsid w:val="00FB4A95"/>
    <w:rsid w:val="00FB4DEC"/>
    <w:rsid w:val="00FB4E6C"/>
    <w:rsid w:val="00FB508D"/>
    <w:rsid w:val="00FB52E8"/>
    <w:rsid w:val="00FB53C6"/>
    <w:rsid w:val="00FB5419"/>
    <w:rsid w:val="00FB54DA"/>
    <w:rsid w:val="00FB553A"/>
    <w:rsid w:val="00FB573D"/>
    <w:rsid w:val="00FB5D13"/>
    <w:rsid w:val="00FB5EC9"/>
    <w:rsid w:val="00FB5FC6"/>
    <w:rsid w:val="00FB6305"/>
    <w:rsid w:val="00FB684A"/>
    <w:rsid w:val="00FB6ACB"/>
    <w:rsid w:val="00FB6C00"/>
    <w:rsid w:val="00FB7780"/>
    <w:rsid w:val="00FB783F"/>
    <w:rsid w:val="00FB798D"/>
    <w:rsid w:val="00FB79B3"/>
    <w:rsid w:val="00FB79F9"/>
    <w:rsid w:val="00FC0031"/>
    <w:rsid w:val="00FC035C"/>
    <w:rsid w:val="00FC03E2"/>
    <w:rsid w:val="00FC071D"/>
    <w:rsid w:val="00FC0916"/>
    <w:rsid w:val="00FC0A4D"/>
    <w:rsid w:val="00FC14BE"/>
    <w:rsid w:val="00FC17B0"/>
    <w:rsid w:val="00FC23C9"/>
    <w:rsid w:val="00FC2697"/>
    <w:rsid w:val="00FC29D9"/>
    <w:rsid w:val="00FC4689"/>
    <w:rsid w:val="00FC4832"/>
    <w:rsid w:val="00FC4BE1"/>
    <w:rsid w:val="00FC50E7"/>
    <w:rsid w:val="00FC56DB"/>
    <w:rsid w:val="00FC593D"/>
    <w:rsid w:val="00FC5972"/>
    <w:rsid w:val="00FC5A50"/>
    <w:rsid w:val="00FC6071"/>
    <w:rsid w:val="00FC710C"/>
    <w:rsid w:val="00FC7625"/>
    <w:rsid w:val="00FC7BCC"/>
    <w:rsid w:val="00FD05BE"/>
    <w:rsid w:val="00FD0D84"/>
    <w:rsid w:val="00FD1340"/>
    <w:rsid w:val="00FD1349"/>
    <w:rsid w:val="00FD1DD4"/>
    <w:rsid w:val="00FD27A9"/>
    <w:rsid w:val="00FD2B97"/>
    <w:rsid w:val="00FD38E2"/>
    <w:rsid w:val="00FD3F4B"/>
    <w:rsid w:val="00FD4374"/>
    <w:rsid w:val="00FD43E6"/>
    <w:rsid w:val="00FD4CCD"/>
    <w:rsid w:val="00FD5427"/>
    <w:rsid w:val="00FD5764"/>
    <w:rsid w:val="00FD6173"/>
    <w:rsid w:val="00FD6841"/>
    <w:rsid w:val="00FD6B7F"/>
    <w:rsid w:val="00FD7148"/>
    <w:rsid w:val="00FD72C7"/>
    <w:rsid w:val="00FD778E"/>
    <w:rsid w:val="00FD7990"/>
    <w:rsid w:val="00FD7CEB"/>
    <w:rsid w:val="00FE00CB"/>
    <w:rsid w:val="00FE0337"/>
    <w:rsid w:val="00FE035B"/>
    <w:rsid w:val="00FE0385"/>
    <w:rsid w:val="00FE0FD0"/>
    <w:rsid w:val="00FE1071"/>
    <w:rsid w:val="00FE1726"/>
    <w:rsid w:val="00FE1781"/>
    <w:rsid w:val="00FE1C40"/>
    <w:rsid w:val="00FE1E4F"/>
    <w:rsid w:val="00FE204E"/>
    <w:rsid w:val="00FE3405"/>
    <w:rsid w:val="00FE3D93"/>
    <w:rsid w:val="00FE3FB3"/>
    <w:rsid w:val="00FE406C"/>
    <w:rsid w:val="00FE4708"/>
    <w:rsid w:val="00FE4940"/>
    <w:rsid w:val="00FE4BD7"/>
    <w:rsid w:val="00FE5E07"/>
    <w:rsid w:val="00FE61C6"/>
    <w:rsid w:val="00FE78CC"/>
    <w:rsid w:val="00FE7C68"/>
    <w:rsid w:val="00FE7D72"/>
    <w:rsid w:val="00FE7DD2"/>
    <w:rsid w:val="00FF03AB"/>
    <w:rsid w:val="00FF03B4"/>
    <w:rsid w:val="00FF1133"/>
    <w:rsid w:val="00FF127B"/>
    <w:rsid w:val="00FF1D5C"/>
    <w:rsid w:val="00FF23CF"/>
    <w:rsid w:val="00FF276F"/>
    <w:rsid w:val="00FF29E0"/>
    <w:rsid w:val="00FF3000"/>
    <w:rsid w:val="00FF3768"/>
    <w:rsid w:val="00FF38BE"/>
    <w:rsid w:val="00FF4986"/>
    <w:rsid w:val="00FF4BFE"/>
    <w:rsid w:val="00FF4E64"/>
    <w:rsid w:val="00FF5EC1"/>
    <w:rsid w:val="00FF5FE8"/>
    <w:rsid w:val="00FF6056"/>
    <w:rsid w:val="00FF657D"/>
    <w:rsid w:val="00FF663A"/>
    <w:rsid w:val="00FF66F8"/>
    <w:rsid w:val="00FF671B"/>
    <w:rsid w:val="00FF69B3"/>
    <w:rsid w:val="00FF7CA9"/>
    <w:rsid w:val="02632856"/>
    <w:rsid w:val="02F7729B"/>
    <w:rsid w:val="12294741"/>
    <w:rsid w:val="15215043"/>
    <w:rsid w:val="168C260E"/>
    <w:rsid w:val="182C115C"/>
    <w:rsid w:val="1A3DEA72"/>
    <w:rsid w:val="26498F4E"/>
    <w:rsid w:val="2C457A37"/>
    <w:rsid w:val="2EF381C4"/>
    <w:rsid w:val="3137A851"/>
    <w:rsid w:val="322330A0"/>
    <w:rsid w:val="32F8C351"/>
    <w:rsid w:val="3617E03D"/>
    <w:rsid w:val="3813279F"/>
    <w:rsid w:val="42B6D20D"/>
    <w:rsid w:val="449F31B0"/>
    <w:rsid w:val="451D0617"/>
    <w:rsid w:val="4CAF6CA3"/>
    <w:rsid w:val="4E958AF5"/>
    <w:rsid w:val="50D79495"/>
    <w:rsid w:val="51B1BC75"/>
    <w:rsid w:val="51BD473C"/>
    <w:rsid w:val="54675D59"/>
    <w:rsid w:val="5AB3C899"/>
    <w:rsid w:val="5C4B43D5"/>
    <w:rsid w:val="5D7342D9"/>
    <w:rsid w:val="5D8E2523"/>
    <w:rsid w:val="5EA2C788"/>
    <w:rsid w:val="64016F25"/>
    <w:rsid w:val="67D20C07"/>
    <w:rsid w:val="6B0AD480"/>
    <w:rsid w:val="6B1F29E2"/>
    <w:rsid w:val="6F8868B3"/>
    <w:rsid w:val="716C4DAC"/>
    <w:rsid w:val="74F933F5"/>
    <w:rsid w:val="781A77C2"/>
    <w:rsid w:val="7D88CE08"/>
    <w:rsid w:val="7DFB5E62"/>
    <w:rsid w:val="7E8D1F0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14AC0ED5-4CE9-4628-BEE6-133040CE7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06490">
      <w:bodyDiv w:val="1"/>
      <w:marLeft w:val="0"/>
      <w:marRight w:val="0"/>
      <w:marTop w:val="0"/>
      <w:marBottom w:val="0"/>
      <w:divBdr>
        <w:top w:val="none" w:sz="0" w:space="0" w:color="auto"/>
        <w:left w:val="none" w:sz="0" w:space="0" w:color="auto"/>
        <w:bottom w:val="none" w:sz="0" w:space="0" w:color="auto"/>
        <w:right w:val="none" w:sz="0" w:space="0" w:color="auto"/>
      </w:divBdr>
    </w:div>
    <w:div w:id="112404648">
      <w:bodyDiv w:val="1"/>
      <w:marLeft w:val="0"/>
      <w:marRight w:val="0"/>
      <w:marTop w:val="0"/>
      <w:marBottom w:val="0"/>
      <w:divBdr>
        <w:top w:val="none" w:sz="0" w:space="0" w:color="auto"/>
        <w:left w:val="none" w:sz="0" w:space="0" w:color="auto"/>
        <w:bottom w:val="none" w:sz="0" w:space="0" w:color="auto"/>
        <w:right w:val="none" w:sz="0" w:space="0" w:color="auto"/>
      </w:divBdr>
      <w:divsChild>
        <w:div w:id="459298208">
          <w:marLeft w:val="0"/>
          <w:marRight w:val="0"/>
          <w:marTop w:val="0"/>
          <w:marBottom w:val="0"/>
          <w:divBdr>
            <w:top w:val="none" w:sz="0" w:space="0" w:color="auto"/>
            <w:left w:val="none" w:sz="0" w:space="0" w:color="auto"/>
            <w:bottom w:val="none" w:sz="0" w:space="0" w:color="auto"/>
            <w:right w:val="none" w:sz="0" w:space="0" w:color="auto"/>
          </w:divBdr>
        </w:div>
        <w:div w:id="845170790">
          <w:marLeft w:val="0"/>
          <w:marRight w:val="0"/>
          <w:marTop w:val="0"/>
          <w:marBottom w:val="0"/>
          <w:divBdr>
            <w:top w:val="none" w:sz="0" w:space="0" w:color="auto"/>
            <w:left w:val="none" w:sz="0" w:space="0" w:color="auto"/>
            <w:bottom w:val="none" w:sz="0" w:space="0" w:color="auto"/>
            <w:right w:val="none" w:sz="0" w:space="0" w:color="auto"/>
          </w:divBdr>
        </w:div>
      </w:divsChild>
    </w:div>
    <w:div w:id="145319402">
      <w:bodyDiv w:val="1"/>
      <w:marLeft w:val="0"/>
      <w:marRight w:val="0"/>
      <w:marTop w:val="0"/>
      <w:marBottom w:val="0"/>
      <w:divBdr>
        <w:top w:val="none" w:sz="0" w:space="0" w:color="auto"/>
        <w:left w:val="none" w:sz="0" w:space="0" w:color="auto"/>
        <w:bottom w:val="none" w:sz="0" w:space="0" w:color="auto"/>
        <w:right w:val="none" w:sz="0" w:space="0" w:color="auto"/>
      </w:divBdr>
    </w:div>
    <w:div w:id="187766165">
      <w:bodyDiv w:val="1"/>
      <w:marLeft w:val="0"/>
      <w:marRight w:val="0"/>
      <w:marTop w:val="0"/>
      <w:marBottom w:val="0"/>
      <w:divBdr>
        <w:top w:val="none" w:sz="0" w:space="0" w:color="auto"/>
        <w:left w:val="none" w:sz="0" w:space="0" w:color="auto"/>
        <w:bottom w:val="none" w:sz="0" w:space="0" w:color="auto"/>
        <w:right w:val="none" w:sz="0" w:space="0" w:color="auto"/>
      </w:divBdr>
      <w:divsChild>
        <w:div w:id="179898503">
          <w:marLeft w:val="0"/>
          <w:marRight w:val="0"/>
          <w:marTop w:val="0"/>
          <w:marBottom w:val="0"/>
          <w:divBdr>
            <w:top w:val="none" w:sz="0" w:space="0" w:color="auto"/>
            <w:left w:val="none" w:sz="0" w:space="0" w:color="auto"/>
            <w:bottom w:val="none" w:sz="0" w:space="0" w:color="auto"/>
            <w:right w:val="none" w:sz="0" w:space="0" w:color="auto"/>
          </w:divBdr>
        </w:div>
        <w:div w:id="201791597">
          <w:marLeft w:val="0"/>
          <w:marRight w:val="0"/>
          <w:marTop w:val="0"/>
          <w:marBottom w:val="0"/>
          <w:divBdr>
            <w:top w:val="none" w:sz="0" w:space="0" w:color="auto"/>
            <w:left w:val="none" w:sz="0" w:space="0" w:color="auto"/>
            <w:bottom w:val="none" w:sz="0" w:space="0" w:color="auto"/>
            <w:right w:val="none" w:sz="0" w:space="0" w:color="auto"/>
          </w:divBdr>
        </w:div>
        <w:div w:id="288705078">
          <w:marLeft w:val="0"/>
          <w:marRight w:val="0"/>
          <w:marTop w:val="0"/>
          <w:marBottom w:val="0"/>
          <w:divBdr>
            <w:top w:val="none" w:sz="0" w:space="0" w:color="auto"/>
            <w:left w:val="none" w:sz="0" w:space="0" w:color="auto"/>
            <w:bottom w:val="none" w:sz="0" w:space="0" w:color="auto"/>
            <w:right w:val="none" w:sz="0" w:space="0" w:color="auto"/>
          </w:divBdr>
        </w:div>
        <w:div w:id="730274363">
          <w:marLeft w:val="0"/>
          <w:marRight w:val="0"/>
          <w:marTop w:val="0"/>
          <w:marBottom w:val="0"/>
          <w:divBdr>
            <w:top w:val="none" w:sz="0" w:space="0" w:color="auto"/>
            <w:left w:val="none" w:sz="0" w:space="0" w:color="auto"/>
            <w:bottom w:val="none" w:sz="0" w:space="0" w:color="auto"/>
            <w:right w:val="none" w:sz="0" w:space="0" w:color="auto"/>
          </w:divBdr>
        </w:div>
        <w:div w:id="795097418">
          <w:marLeft w:val="0"/>
          <w:marRight w:val="0"/>
          <w:marTop w:val="0"/>
          <w:marBottom w:val="0"/>
          <w:divBdr>
            <w:top w:val="none" w:sz="0" w:space="0" w:color="auto"/>
            <w:left w:val="none" w:sz="0" w:space="0" w:color="auto"/>
            <w:bottom w:val="none" w:sz="0" w:space="0" w:color="auto"/>
            <w:right w:val="none" w:sz="0" w:space="0" w:color="auto"/>
          </w:divBdr>
        </w:div>
        <w:div w:id="1185704219">
          <w:marLeft w:val="0"/>
          <w:marRight w:val="0"/>
          <w:marTop w:val="0"/>
          <w:marBottom w:val="0"/>
          <w:divBdr>
            <w:top w:val="none" w:sz="0" w:space="0" w:color="auto"/>
            <w:left w:val="none" w:sz="0" w:space="0" w:color="auto"/>
            <w:bottom w:val="none" w:sz="0" w:space="0" w:color="auto"/>
            <w:right w:val="none" w:sz="0" w:space="0" w:color="auto"/>
          </w:divBdr>
        </w:div>
        <w:div w:id="1275821257">
          <w:marLeft w:val="0"/>
          <w:marRight w:val="0"/>
          <w:marTop w:val="0"/>
          <w:marBottom w:val="0"/>
          <w:divBdr>
            <w:top w:val="none" w:sz="0" w:space="0" w:color="auto"/>
            <w:left w:val="none" w:sz="0" w:space="0" w:color="auto"/>
            <w:bottom w:val="none" w:sz="0" w:space="0" w:color="auto"/>
            <w:right w:val="none" w:sz="0" w:space="0" w:color="auto"/>
          </w:divBdr>
        </w:div>
        <w:div w:id="1432434836">
          <w:marLeft w:val="0"/>
          <w:marRight w:val="0"/>
          <w:marTop w:val="0"/>
          <w:marBottom w:val="0"/>
          <w:divBdr>
            <w:top w:val="none" w:sz="0" w:space="0" w:color="auto"/>
            <w:left w:val="none" w:sz="0" w:space="0" w:color="auto"/>
            <w:bottom w:val="none" w:sz="0" w:space="0" w:color="auto"/>
            <w:right w:val="none" w:sz="0" w:space="0" w:color="auto"/>
          </w:divBdr>
        </w:div>
        <w:div w:id="1487824073">
          <w:marLeft w:val="0"/>
          <w:marRight w:val="0"/>
          <w:marTop w:val="0"/>
          <w:marBottom w:val="0"/>
          <w:divBdr>
            <w:top w:val="none" w:sz="0" w:space="0" w:color="auto"/>
            <w:left w:val="none" w:sz="0" w:space="0" w:color="auto"/>
            <w:bottom w:val="none" w:sz="0" w:space="0" w:color="auto"/>
            <w:right w:val="none" w:sz="0" w:space="0" w:color="auto"/>
          </w:divBdr>
        </w:div>
        <w:div w:id="1680429925">
          <w:marLeft w:val="0"/>
          <w:marRight w:val="0"/>
          <w:marTop w:val="0"/>
          <w:marBottom w:val="0"/>
          <w:divBdr>
            <w:top w:val="none" w:sz="0" w:space="0" w:color="auto"/>
            <w:left w:val="none" w:sz="0" w:space="0" w:color="auto"/>
            <w:bottom w:val="none" w:sz="0" w:space="0" w:color="auto"/>
            <w:right w:val="none" w:sz="0" w:space="0" w:color="auto"/>
          </w:divBdr>
        </w:div>
        <w:div w:id="1990210819">
          <w:marLeft w:val="0"/>
          <w:marRight w:val="0"/>
          <w:marTop w:val="0"/>
          <w:marBottom w:val="0"/>
          <w:divBdr>
            <w:top w:val="none" w:sz="0" w:space="0" w:color="auto"/>
            <w:left w:val="none" w:sz="0" w:space="0" w:color="auto"/>
            <w:bottom w:val="none" w:sz="0" w:space="0" w:color="auto"/>
            <w:right w:val="none" w:sz="0" w:space="0" w:color="auto"/>
          </w:divBdr>
        </w:div>
      </w:divsChild>
    </w:div>
    <w:div w:id="208610408">
      <w:bodyDiv w:val="1"/>
      <w:marLeft w:val="0"/>
      <w:marRight w:val="0"/>
      <w:marTop w:val="0"/>
      <w:marBottom w:val="0"/>
      <w:divBdr>
        <w:top w:val="none" w:sz="0" w:space="0" w:color="auto"/>
        <w:left w:val="none" w:sz="0" w:space="0" w:color="auto"/>
        <w:bottom w:val="none" w:sz="0" w:space="0" w:color="auto"/>
        <w:right w:val="none" w:sz="0" w:space="0" w:color="auto"/>
      </w:divBdr>
      <w:divsChild>
        <w:div w:id="661011360">
          <w:marLeft w:val="0"/>
          <w:marRight w:val="0"/>
          <w:marTop w:val="0"/>
          <w:marBottom w:val="0"/>
          <w:divBdr>
            <w:top w:val="none" w:sz="0" w:space="0" w:color="auto"/>
            <w:left w:val="none" w:sz="0" w:space="0" w:color="auto"/>
            <w:bottom w:val="none" w:sz="0" w:space="0" w:color="auto"/>
            <w:right w:val="none" w:sz="0" w:space="0" w:color="auto"/>
          </w:divBdr>
          <w:divsChild>
            <w:div w:id="2092434150">
              <w:marLeft w:val="0"/>
              <w:marRight w:val="0"/>
              <w:marTop w:val="0"/>
              <w:marBottom w:val="0"/>
              <w:divBdr>
                <w:top w:val="none" w:sz="0" w:space="0" w:color="auto"/>
                <w:left w:val="none" w:sz="0" w:space="0" w:color="auto"/>
                <w:bottom w:val="none" w:sz="0" w:space="0" w:color="auto"/>
                <w:right w:val="none" w:sz="0" w:space="0" w:color="auto"/>
              </w:divBdr>
              <w:divsChild>
                <w:div w:id="729308396">
                  <w:marLeft w:val="0"/>
                  <w:marRight w:val="0"/>
                  <w:marTop w:val="0"/>
                  <w:marBottom w:val="0"/>
                  <w:divBdr>
                    <w:top w:val="none" w:sz="0" w:space="0" w:color="auto"/>
                    <w:left w:val="none" w:sz="0" w:space="0" w:color="auto"/>
                    <w:bottom w:val="none" w:sz="0" w:space="0" w:color="auto"/>
                    <w:right w:val="none" w:sz="0" w:space="0" w:color="auto"/>
                  </w:divBdr>
                  <w:divsChild>
                    <w:div w:id="855073466">
                      <w:marLeft w:val="0"/>
                      <w:marRight w:val="0"/>
                      <w:marTop w:val="0"/>
                      <w:marBottom w:val="0"/>
                      <w:divBdr>
                        <w:top w:val="none" w:sz="0" w:space="0" w:color="auto"/>
                        <w:left w:val="none" w:sz="0" w:space="0" w:color="auto"/>
                        <w:bottom w:val="none" w:sz="0" w:space="0" w:color="auto"/>
                        <w:right w:val="none" w:sz="0" w:space="0" w:color="auto"/>
                      </w:divBdr>
                      <w:divsChild>
                        <w:div w:id="1238857681">
                          <w:marLeft w:val="0"/>
                          <w:marRight w:val="0"/>
                          <w:marTop w:val="0"/>
                          <w:marBottom w:val="0"/>
                          <w:divBdr>
                            <w:top w:val="none" w:sz="0" w:space="0" w:color="auto"/>
                            <w:left w:val="none" w:sz="0" w:space="0" w:color="auto"/>
                            <w:bottom w:val="none" w:sz="0" w:space="0" w:color="auto"/>
                            <w:right w:val="none" w:sz="0" w:space="0" w:color="auto"/>
                          </w:divBdr>
                          <w:divsChild>
                            <w:div w:id="79451177">
                              <w:marLeft w:val="0"/>
                              <w:marRight w:val="0"/>
                              <w:marTop w:val="0"/>
                              <w:marBottom w:val="0"/>
                              <w:divBdr>
                                <w:top w:val="none" w:sz="0" w:space="0" w:color="auto"/>
                                <w:left w:val="none" w:sz="0" w:space="0" w:color="auto"/>
                                <w:bottom w:val="none" w:sz="0" w:space="0" w:color="auto"/>
                                <w:right w:val="none" w:sz="0" w:space="0" w:color="auto"/>
                              </w:divBdr>
                              <w:divsChild>
                                <w:div w:id="9077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3629027">
      <w:bodyDiv w:val="1"/>
      <w:marLeft w:val="0"/>
      <w:marRight w:val="0"/>
      <w:marTop w:val="0"/>
      <w:marBottom w:val="0"/>
      <w:divBdr>
        <w:top w:val="none" w:sz="0" w:space="0" w:color="auto"/>
        <w:left w:val="none" w:sz="0" w:space="0" w:color="auto"/>
        <w:bottom w:val="none" w:sz="0" w:space="0" w:color="auto"/>
        <w:right w:val="none" w:sz="0" w:space="0" w:color="auto"/>
      </w:divBdr>
      <w:divsChild>
        <w:div w:id="471412196">
          <w:marLeft w:val="0"/>
          <w:marRight w:val="0"/>
          <w:marTop w:val="0"/>
          <w:marBottom w:val="0"/>
          <w:divBdr>
            <w:top w:val="none" w:sz="0" w:space="0" w:color="auto"/>
            <w:left w:val="none" w:sz="0" w:space="0" w:color="auto"/>
            <w:bottom w:val="none" w:sz="0" w:space="0" w:color="auto"/>
            <w:right w:val="none" w:sz="0" w:space="0" w:color="auto"/>
          </w:divBdr>
          <w:divsChild>
            <w:div w:id="177233367">
              <w:marLeft w:val="0"/>
              <w:marRight w:val="0"/>
              <w:marTop w:val="0"/>
              <w:marBottom w:val="0"/>
              <w:divBdr>
                <w:top w:val="none" w:sz="0" w:space="0" w:color="auto"/>
                <w:left w:val="none" w:sz="0" w:space="0" w:color="auto"/>
                <w:bottom w:val="none" w:sz="0" w:space="0" w:color="auto"/>
                <w:right w:val="none" w:sz="0" w:space="0" w:color="auto"/>
              </w:divBdr>
              <w:divsChild>
                <w:div w:id="991249970">
                  <w:marLeft w:val="0"/>
                  <w:marRight w:val="0"/>
                  <w:marTop w:val="0"/>
                  <w:marBottom w:val="0"/>
                  <w:divBdr>
                    <w:top w:val="none" w:sz="0" w:space="0" w:color="auto"/>
                    <w:left w:val="none" w:sz="0" w:space="0" w:color="auto"/>
                    <w:bottom w:val="none" w:sz="0" w:space="0" w:color="auto"/>
                    <w:right w:val="none" w:sz="0" w:space="0" w:color="auto"/>
                  </w:divBdr>
                  <w:divsChild>
                    <w:div w:id="338512129">
                      <w:marLeft w:val="0"/>
                      <w:marRight w:val="0"/>
                      <w:marTop w:val="0"/>
                      <w:marBottom w:val="0"/>
                      <w:divBdr>
                        <w:top w:val="none" w:sz="0" w:space="0" w:color="auto"/>
                        <w:left w:val="none" w:sz="0" w:space="0" w:color="auto"/>
                        <w:bottom w:val="none" w:sz="0" w:space="0" w:color="auto"/>
                        <w:right w:val="none" w:sz="0" w:space="0" w:color="auto"/>
                      </w:divBdr>
                      <w:divsChild>
                        <w:div w:id="298613439">
                          <w:marLeft w:val="0"/>
                          <w:marRight w:val="0"/>
                          <w:marTop w:val="0"/>
                          <w:marBottom w:val="0"/>
                          <w:divBdr>
                            <w:top w:val="none" w:sz="0" w:space="0" w:color="auto"/>
                            <w:left w:val="none" w:sz="0" w:space="0" w:color="auto"/>
                            <w:bottom w:val="none" w:sz="0" w:space="0" w:color="auto"/>
                            <w:right w:val="none" w:sz="0" w:space="0" w:color="auto"/>
                          </w:divBdr>
                          <w:divsChild>
                            <w:div w:id="191778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5738">
      <w:bodyDiv w:val="1"/>
      <w:marLeft w:val="0"/>
      <w:marRight w:val="0"/>
      <w:marTop w:val="0"/>
      <w:marBottom w:val="0"/>
      <w:divBdr>
        <w:top w:val="none" w:sz="0" w:space="0" w:color="auto"/>
        <w:left w:val="none" w:sz="0" w:space="0" w:color="auto"/>
        <w:bottom w:val="none" w:sz="0" w:space="0" w:color="auto"/>
        <w:right w:val="none" w:sz="0" w:space="0" w:color="auto"/>
      </w:divBdr>
      <w:divsChild>
        <w:div w:id="125706626">
          <w:marLeft w:val="0"/>
          <w:marRight w:val="0"/>
          <w:marTop w:val="0"/>
          <w:marBottom w:val="0"/>
          <w:divBdr>
            <w:top w:val="none" w:sz="0" w:space="0" w:color="auto"/>
            <w:left w:val="none" w:sz="0" w:space="0" w:color="auto"/>
            <w:bottom w:val="none" w:sz="0" w:space="0" w:color="auto"/>
            <w:right w:val="none" w:sz="0" w:space="0" w:color="auto"/>
          </w:divBdr>
        </w:div>
        <w:div w:id="412552944">
          <w:marLeft w:val="0"/>
          <w:marRight w:val="0"/>
          <w:marTop w:val="0"/>
          <w:marBottom w:val="0"/>
          <w:divBdr>
            <w:top w:val="none" w:sz="0" w:space="0" w:color="auto"/>
            <w:left w:val="none" w:sz="0" w:space="0" w:color="auto"/>
            <w:bottom w:val="none" w:sz="0" w:space="0" w:color="auto"/>
            <w:right w:val="none" w:sz="0" w:space="0" w:color="auto"/>
          </w:divBdr>
        </w:div>
      </w:divsChild>
    </w:div>
    <w:div w:id="383329844">
      <w:bodyDiv w:val="1"/>
      <w:marLeft w:val="0"/>
      <w:marRight w:val="0"/>
      <w:marTop w:val="0"/>
      <w:marBottom w:val="0"/>
      <w:divBdr>
        <w:top w:val="none" w:sz="0" w:space="0" w:color="auto"/>
        <w:left w:val="none" w:sz="0" w:space="0" w:color="auto"/>
        <w:bottom w:val="none" w:sz="0" w:space="0" w:color="auto"/>
        <w:right w:val="none" w:sz="0" w:space="0" w:color="auto"/>
      </w:divBdr>
      <w:divsChild>
        <w:div w:id="1352494382">
          <w:marLeft w:val="0"/>
          <w:marRight w:val="0"/>
          <w:marTop w:val="240"/>
          <w:marBottom w:val="0"/>
          <w:divBdr>
            <w:top w:val="none" w:sz="0" w:space="0" w:color="auto"/>
            <w:left w:val="none" w:sz="0" w:space="0" w:color="auto"/>
            <w:bottom w:val="none" w:sz="0" w:space="0" w:color="auto"/>
            <w:right w:val="none" w:sz="0" w:space="0" w:color="auto"/>
          </w:divBdr>
          <w:divsChild>
            <w:div w:id="469713496">
              <w:marLeft w:val="0"/>
              <w:marRight w:val="0"/>
              <w:marTop w:val="0"/>
              <w:marBottom w:val="0"/>
              <w:divBdr>
                <w:top w:val="none" w:sz="0" w:space="0" w:color="auto"/>
                <w:left w:val="none" w:sz="0" w:space="0" w:color="auto"/>
                <w:bottom w:val="none" w:sz="0" w:space="0" w:color="auto"/>
                <w:right w:val="none" w:sz="0" w:space="0" w:color="auto"/>
              </w:divBdr>
            </w:div>
          </w:divsChild>
        </w:div>
        <w:div w:id="2095130841">
          <w:marLeft w:val="0"/>
          <w:marRight w:val="0"/>
          <w:marTop w:val="240"/>
          <w:marBottom w:val="0"/>
          <w:divBdr>
            <w:top w:val="none" w:sz="0" w:space="0" w:color="auto"/>
            <w:left w:val="none" w:sz="0" w:space="0" w:color="auto"/>
            <w:bottom w:val="none" w:sz="0" w:space="0" w:color="auto"/>
            <w:right w:val="none" w:sz="0" w:space="0" w:color="auto"/>
          </w:divBdr>
        </w:div>
      </w:divsChild>
    </w:div>
    <w:div w:id="389692194">
      <w:bodyDiv w:val="1"/>
      <w:marLeft w:val="0"/>
      <w:marRight w:val="0"/>
      <w:marTop w:val="0"/>
      <w:marBottom w:val="0"/>
      <w:divBdr>
        <w:top w:val="none" w:sz="0" w:space="0" w:color="auto"/>
        <w:left w:val="none" w:sz="0" w:space="0" w:color="auto"/>
        <w:bottom w:val="none" w:sz="0" w:space="0" w:color="auto"/>
        <w:right w:val="none" w:sz="0" w:space="0" w:color="auto"/>
      </w:divBdr>
    </w:div>
    <w:div w:id="556747769">
      <w:bodyDiv w:val="1"/>
      <w:marLeft w:val="0"/>
      <w:marRight w:val="0"/>
      <w:marTop w:val="0"/>
      <w:marBottom w:val="0"/>
      <w:divBdr>
        <w:top w:val="none" w:sz="0" w:space="0" w:color="auto"/>
        <w:left w:val="none" w:sz="0" w:space="0" w:color="auto"/>
        <w:bottom w:val="none" w:sz="0" w:space="0" w:color="auto"/>
        <w:right w:val="none" w:sz="0" w:space="0" w:color="auto"/>
      </w:divBdr>
      <w:divsChild>
        <w:div w:id="1112432359">
          <w:marLeft w:val="0"/>
          <w:marRight w:val="0"/>
          <w:marTop w:val="0"/>
          <w:marBottom w:val="0"/>
          <w:divBdr>
            <w:top w:val="none" w:sz="0" w:space="0" w:color="auto"/>
            <w:left w:val="none" w:sz="0" w:space="0" w:color="auto"/>
            <w:bottom w:val="none" w:sz="0" w:space="0" w:color="auto"/>
            <w:right w:val="none" w:sz="0" w:space="0" w:color="auto"/>
          </w:divBdr>
        </w:div>
        <w:div w:id="1143501105">
          <w:marLeft w:val="0"/>
          <w:marRight w:val="0"/>
          <w:marTop w:val="0"/>
          <w:marBottom w:val="0"/>
          <w:divBdr>
            <w:top w:val="none" w:sz="0" w:space="0" w:color="auto"/>
            <w:left w:val="none" w:sz="0" w:space="0" w:color="auto"/>
            <w:bottom w:val="none" w:sz="0" w:space="0" w:color="auto"/>
            <w:right w:val="none" w:sz="0" w:space="0" w:color="auto"/>
          </w:divBdr>
        </w:div>
        <w:div w:id="1412583808">
          <w:marLeft w:val="0"/>
          <w:marRight w:val="0"/>
          <w:marTop w:val="0"/>
          <w:marBottom w:val="0"/>
          <w:divBdr>
            <w:top w:val="none" w:sz="0" w:space="0" w:color="auto"/>
            <w:left w:val="none" w:sz="0" w:space="0" w:color="auto"/>
            <w:bottom w:val="none" w:sz="0" w:space="0" w:color="auto"/>
            <w:right w:val="none" w:sz="0" w:space="0" w:color="auto"/>
          </w:divBdr>
        </w:div>
        <w:div w:id="1518276161">
          <w:marLeft w:val="0"/>
          <w:marRight w:val="0"/>
          <w:marTop w:val="0"/>
          <w:marBottom w:val="0"/>
          <w:divBdr>
            <w:top w:val="none" w:sz="0" w:space="0" w:color="auto"/>
            <w:left w:val="none" w:sz="0" w:space="0" w:color="auto"/>
            <w:bottom w:val="none" w:sz="0" w:space="0" w:color="auto"/>
            <w:right w:val="none" w:sz="0" w:space="0" w:color="auto"/>
          </w:divBdr>
        </w:div>
        <w:div w:id="1570772204">
          <w:marLeft w:val="0"/>
          <w:marRight w:val="0"/>
          <w:marTop w:val="0"/>
          <w:marBottom w:val="0"/>
          <w:divBdr>
            <w:top w:val="none" w:sz="0" w:space="0" w:color="auto"/>
            <w:left w:val="none" w:sz="0" w:space="0" w:color="auto"/>
            <w:bottom w:val="none" w:sz="0" w:space="0" w:color="auto"/>
            <w:right w:val="none" w:sz="0" w:space="0" w:color="auto"/>
          </w:divBdr>
        </w:div>
      </w:divsChild>
    </w:div>
    <w:div w:id="706218708">
      <w:bodyDiv w:val="1"/>
      <w:marLeft w:val="0"/>
      <w:marRight w:val="0"/>
      <w:marTop w:val="0"/>
      <w:marBottom w:val="0"/>
      <w:divBdr>
        <w:top w:val="none" w:sz="0" w:space="0" w:color="auto"/>
        <w:left w:val="none" w:sz="0" w:space="0" w:color="auto"/>
        <w:bottom w:val="none" w:sz="0" w:space="0" w:color="auto"/>
        <w:right w:val="none" w:sz="0" w:space="0" w:color="auto"/>
      </w:divBdr>
    </w:div>
    <w:div w:id="708988827">
      <w:bodyDiv w:val="1"/>
      <w:marLeft w:val="0"/>
      <w:marRight w:val="0"/>
      <w:marTop w:val="0"/>
      <w:marBottom w:val="0"/>
      <w:divBdr>
        <w:top w:val="none" w:sz="0" w:space="0" w:color="auto"/>
        <w:left w:val="none" w:sz="0" w:space="0" w:color="auto"/>
        <w:bottom w:val="none" w:sz="0" w:space="0" w:color="auto"/>
        <w:right w:val="none" w:sz="0" w:space="0" w:color="auto"/>
      </w:divBdr>
      <w:divsChild>
        <w:div w:id="435179570">
          <w:marLeft w:val="0"/>
          <w:marRight w:val="0"/>
          <w:marTop w:val="0"/>
          <w:marBottom w:val="0"/>
          <w:divBdr>
            <w:top w:val="none" w:sz="0" w:space="0" w:color="auto"/>
            <w:left w:val="none" w:sz="0" w:space="0" w:color="auto"/>
            <w:bottom w:val="none" w:sz="0" w:space="0" w:color="auto"/>
            <w:right w:val="none" w:sz="0" w:space="0" w:color="auto"/>
          </w:divBdr>
        </w:div>
        <w:div w:id="724110137">
          <w:marLeft w:val="0"/>
          <w:marRight w:val="0"/>
          <w:marTop w:val="0"/>
          <w:marBottom w:val="0"/>
          <w:divBdr>
            <w:top w:val="none" w:sz="0" w:space="0" w:color="auto"/>
            <w:left w:val="none" w:sz="0" w:space="0" w:color="auto"/>
            <w:bottom w:val="none" w:sz="0" w:space="0" w:color="auto"/>
            <w:right w:val="none" w:sz="0" w:space="0" w:color="auto"/>
          </w:divBdr>
        </w:div>
      </w:divsChild>
    </w:div>
    <w:div w:id="799420161">
      <w:bodyDiv w:val="1"/>
      <w:marLeft w:val="0"/>
      <w:marRight w:val="0"/>
      <w:marTop w:val="0"/>
      <w:marBottom w:val="0"/>
      <w:divBdr>
        <w:top w:val="none" w:sz="0" w:space="0" w:color="auto"/>
        <w:left w:val="none" w:sz="0" w:space="0" w:color="auto"/>
        <w:bottom w:val="none" w:sz="0" w:space="0" w:color="auto"/>
        <w:right w:val="none" w:sz="0" w:space="0" w:color="auto"/>
      </w:divBdr>
    </w:div>
    <w:div w:id="853424168">
      <w:bodyDiv w:val="1"/>
      <w:marLeft w:val="0"/>
      <w:marRight w:val="0"/>
      <w:marTop w:val="0"/>
      <w:marBottom w:val="0"/>
      <w:divBdr>
        <w:top w:val="none" w:sz="0" w:space="0" w:color="auto"/>
        <w:left w:val="none" w:sz="0" w:space="0" w:color="auto"/>
        <w:bottom w:val="none" w:sz="0" w:space="0" w:color="auto"/>
        <w:right w:val="none" w:sz="0" w:space="0" w:color="auto"/>
      </w:divBdr>
      <w:divsChild>
        <w:div w:id="536434259">
          <w:marLeft w:val="0"/>
          <w:marRight w:val="0"/>
          <w:marTop w:val="0"/>
          <w:marBottom w:val="0"/>
          <w:divBdr>
            <w:top w:val="none" w:sz="0" w:space="0" w:color="auto"/>
            <w:left w:val="none" w:sz="0" w:space="0" w:color="auto"/>
            <w:bottom w:val="none" w:sz="0" w:space="0" w:color="auto"/>
            <w:right w:val="none" w:sz="0" w:space="0" w:color="auto"/>
          </w:divBdr>
        </w:div>
        <w:div w:id="1238131383">
          <w:marLeft w:val="0"/>
          <w:marRight w:val="0"/>
          <w:marTop w:val="0"/>
          <w:marBottom w:val="0"/>
          <w:divBdr>
            <w:top w:val="none" w:sz="0" w:space="0" w:color="auto"/>
            <w:left w:val="none" w:sz="0" w:space="0" w:color="auto"/>
            <w:bottom w:val="none" w:sz="0" w:space="0" w:color="auto"/>
            <w:right w:val="none" w:sz="0" w:space="0" w:color="auto"/>
          </w:divBdr>
        </w:div>
      </w:divsChild>
    </w:div>
    <w:div w:id="1028724615">
      <w:bodyDiv w:val="1"/>
      <w:marLeft w:val="0"/>
      <w:marRight w:val="0"/>
      <w:marTop w:val="0"/>
      <w:marBottom w:val="0"/>
      <w:divBdr>
        <w:top w:val="none" w:sz="0" w:space="0" w:color="auto"/>
        <w:left w:val="none" w:sz="0" w:space="0" w:color="auto"/>
        <w:bottom w:val="none" w:sz="0" w:space="0" w:color="auto"/>
        <w:right w:val="none" w:sz="0" w:space="0" w:color="auto"/>
      </w:divBdr>
      <w:divsChild>
        <w:div w:id="593367276">
          <w:marLeft w:val="0"/>
          <w:marRight w:val="0"/>
          <w:marTop w:val="240"/>
          <w:marBottom w:val="0"/>
          <w:divBdr>
            <w:top w:val="none" w:sz="0" w:space="0" w:color="auto"/>
            <w:left w:val="none" w:sz="0" w:space="0" w:color="auto"/>
            <w:bottom w:val="none" w:sz="0" w:space="0" w:color="auto"/>
            <w:right w:val="none" w:sz="0" w:space="0" w:color="auto"/>
          </w:divBdr>
          <w:divsChild>
            <w:div w:id="547882485">
              <w:marLeft w:val="0"/>
              <w:marRight w:val="0"/>
              <w:marTop w:val="0"/>
              <w:marBottom w:val="0"/>
              <w:divBdr>
                <w:top w:val="none" w:sz="0" w:space="0" w:color="auto"/>
                <w:left w:val="none" w:sz="0" w:space="0" w:color="auto"/>
                <w:bottom w:val="none" w:sz="0" w:space="0" w:color="auto"/>
                <w:right w:val="none" w:sz="0" w:space="0" w:color="auto"/>
              </w:divBdr>
            </w:div>
          </w:divsChild>
        </w:div>
        <w:div w:id="1545943665">
          <w:marLeft w:val="0"/>
          <w:marRight w:val="0"/>
          <w:marTop w:val="240"/>
          <w:marBottom w:val="0"/>
          <w:divBdr>
            <w:top w:val="none" w:sz="0" w:space="0" w:color="auto"/>
            <w:left w:val="none" w:sz="0" w:space="0" w:color="auto"/>
            <w:bottom w:val="none" w:sz="0" w:space="0" w:color="auto"/>
            <w:right w:val="none" w:sz="0" w:space="0" w:color="auto"/>
          </w:divBdr>
        </w:div>
      </w:divsChild>
    </w:div>
    <w:div w:id="1050345658">
      <w:bodyDiv w:val="1"/>
      <w:marLeft w:val="0"/>
      <w:marRight w:val="0"/>
      <w:marTop w:val="0"/>
      <w:marBottom w:val="0"/>
      <w:divBdr>
        <w:top w:val="none" w:sz="0" w:space="0" w:color="auto"/>
        <w:left w:val="none" w:sz="0" w:space="0" w:color="auto"/>
        <w:bottom w:val="none" w:sz="0" w:space="0" w:color="auto"/>
        <w:right w:val="none" w:sz="0" w:space="0" w:color="auto"/>
      </w:divBdr>
      <w:divsChild>
        <w:div w:id="639387791">
          <w:marLeft w:val="0"/>
          <w:marRight w:val="0"/>
          <w:marTop w:val="0"/>
          <w:marBottom w:val="0"/>
          <w:divBdr>
            <w:top w:val="none" w:sz="0" w:space="0" w:color="auto"/>
            <w:left w:val="none" w:sz="0" w:space="0" w:color="auto"/>
            <w:bottom w:val="none" w:sz="0" w:space="0" w:color="auto"/>
            <w:right w:val="none" w:sz="0" w:space="0" w:color="auto"/>
          </w:divBdr>
          <w:divsChild>
            <w:div w:id="1788740866">
              <w:marLeft w:val="0"/>
              <w:marRight w:val="0"/>
              <w:marTop w:val="0"/>
              <w:marBottom w:val="0"/>
              <w:divBdr>
                <w:top w:val="none" w:sz="0" w:space="0" w:color="auto"/>
                <w:left w:val="none" w:sz="0" w:space="0" w:color="auto"/>
                <w:bottom w:val="none" w:sz="0" w:space="0" w:color="auto"/>
                <w:right w:val="none" w:sz="0" w:space="0" w:color="auto"/>
              </w:divBdr>
              <w:divsChild>
                <w:div w:id="921372181">
                  <w:marLeft w:val="0"/>
                  <w:marRight w:val="0"/>
                  <w:marTop w:val="0"/>
                  <w:marBottom w:val="0"/>
                  <w:divBdr>
                    <w:top w:val="none" w:sz="0" w:space="0" w:color="auto"/>
                    <w:left w:val="none" w:sz="0" w:space="0" w:color="auto"/>
                    <w:bottom w:val="none" w:sz="0" w:space="0" w:color="auto"/>
                    <w:right w:val="none" w:sz="0" w:space="0" w:color="auto"/>
                  </w:divBdr>
                  <w:divsChild>
                    <w:div w:id="1611745380">
                      <w:marLeft w:val="0"/>
                      <w:marRight w:val="0"/>
                      <w:marTop w:val="0"/>
                      <w:marBottom w:val="0"/>
                      <w:divBdr>
                        <w:top w:val="none" w:sz="0" w:space="0" w:color="auto"/>
                        <w:left w:val="none" w:sz="0" w:space="0" w:color="auto"/>
                        <w:bottom w:val="none" w:sz="0" w:space="0" w:color="auto"/>
                        <w:right w:val="none" w:sz="0" w:space="0" w:color="auto"/>
                      </w:divBdr>
                      <w:divsChild>
                        <w:div w:id="117577518">
                          <w:marLeft w:val="0"/>
                          <w:marRight w:val="0"/>
                          <w:marTop w:val="0"/>
                          <w:marBottom w:val="0"/>
                          <w:divBdr>
                            <w:top w:val="none" w:sz="0" w:space="0" w:color="auto"/>
                            <w:left w:val="none" w:sz="0" w:space="0" w:color="auto"/>
                            <w:bottom w:val="none" w:sz="0" w:space="0" w:color="auto"/>
                            <w:right w:val="none" w:sz="0" w:space="0" w:color="auto"/>
                          </w:divBdr>
                          <w:divsChild>
                            <w:div w:id="154717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553311">
      <w:bodyDiv w:val="1"/>
      <w:marLeft w:val="0"/>
      <w:marRight w:val="0"/>
      <w:marTop w:val="0"/>
      <w:marBottom w:val="0"/>
      <w:divBdr>
        <w:top w:val="none" w:sz="0" w:space="0" w:color="auto"/>
        <w:left w:val="none" w:sz="0" w:space="0" w:color="auto"/>
        <w:bottom w:val="none" w:sz="0" w:space="0" w:color="auto"/>
        <w:right w:val="none" w:sz="0" w:space="0" w:color="auto"/>
      </w:divBdr>
      <w:divsChild>
        <w:div w:id="1465930299">
          <w:marLeft w:val="0"/>
          <w:marRight w:val="0"/>
          <w:marTop w:val="0"/>
          <w:marBottom w:val="0"/>
          <w:divBdr>
            <w:top w:val="none" w:sz="0" w:space="0" w:color="auto"/>
            <w:left w:val="none" w:sz="0" w:space="0" w:color="auto"/>
            <w:bottom w:val="none" w:sz="0" w:space="0" w:color="auto"/>
            <w:right w:val="none" w:sz="0" w:space="0" w:color="auto"/>
          </w:divBdr>
        </w:div>
        <w:div w:id="1661469992">
          <w:marLeft w:val="0"/>
          <w:marRight w:val="0"/>
          <w:marTop w:val="0"/>
          <w:marBottom w:val="0"/>
          <w:divBdr>
            <w:top w:val="none" w:sz="0" w:space="0" w:color="auto"/>
            <w:left w:val="none" w:sz="0" w:space="0" w:color="auto"/>
            <w:bottom w:val="none" w:sz="0" w:space="0" w:color="auto"/>
            <w:right w:val="none" w:sz="0" w:space="0" w:color="auto"/>
          </w:divBdr>
        </w:div>
      </w:divsChild>
    </w:div>
    <w:div w:id="1202206660">
      <w:bodyDiv w:val="1"/>
      <w:marLeft w:val="0"/>
      <w:marRight w:val="0"/>
      <w:marTop w:val="0"/>
      <w:marBottom w:val="0"/>
      <w:divBdr>
        <w:top w:val="none" w:sz="0" w:space="0" w:color="auto"/>
        <w:left w:val="none" w:sz="0" w:space="0" w:color="auto"/>
        <w:bottom w:val="none" w:sz="0" w:space="0" w:color="auto"/>
        <w:right w:val="none" w:sz="0" w:space="0" w:color="auto"/>
      </w:divBdr>
    </w:div>
    <w:div w:id="1226598759">
      <w:bodyDiv w:val="1"/>
      <w:marLeft w:val="0"/>
      <w:marRight w:val="0"/>
      <w:marTop w:val="0"/>
      <w:marBottom w:val="0"/>
      <w:divBdr>
        <w:top w:val="none" w:sz="0" w:space="0" w:color="auto"/>
        <w:left w:val="none" w:sz="0" w:space="0" w:color="auto"/>
        <w:bottom w:val="none" w:sz="0" w:space="0" w:color="auto"/>
        <w:right w:val="none" w:sz="0" w:space="0" w:color="auto"/>
      </w:divBdr>
    </w:div>
    <w:div w:id="1233127124">
      <w:bodyDiv w:val="1"/>
      <w:marLeft w:val="0"/>
      <w:marRight w:val="0"/>
      <w:marTop w:val="0"/>
      <w:marBottom w:val="0"/>
      <w:divBdr>
        <w:top w:val="none" w:sz="0" w:space="0" w:color="auto"/>
        <w:left w:val="none" w:sz="0" w:space="0" w:color="auto"/>
        <w:bottom w:val="none" w:sz="0" w:space="0" w:color="auto"/>
        <w:right w:val="none" w:sz="0" w:space="0" w:color="auto"/>
      </w:divBdr>
      <w:divsChild>
        <w:div w:id="391999410">
          <w:marLeft w:val="0"/>
          <w:marRight w:val="0"/>
          <w:marTop w:val="0"/>
          <w:marBottom w:val="0"/>
          <w:divBdr>
            <w:top w:val="none" w:sz="0" w:space="0" w:color="auto"/>
            <w:left w:val="none" w:sz="0" w:space="0" w:color="auto"/>
            <w:bottom w:val="none" w:sz="0" w:space="0" w:color="auto"/>
            <w:right w:val="none" w:sz="0" w:space="0" w:color="auto"/>
          </w:divBdr>
        </w:div>
        <w:div w:id="423039259">
          <w:marLeft w:val="0"/>
          <w:marRight w:val="0"/>
          <w:marTop w:val="0"/>
          <w:marBottom w:val="0"/>
          <w:divBdr>
            <w:top w:val="none" w:sz="0" w:space="0" w:color="auto"/>
            <w:left w:val="none" w:sz="0" w:space="0" w:color="auto"/>
            <w:bottom w:val="none" w:sz="0" w:space="0" w:color="auto"/>
            <w:right w:val="none" w:sz="0" w:space="0" w:color="auto"/>
          </w:divBdr>
        </w:div>
        <w:div w:id="456485500">
          <w:marLeft w:val="0"/>
          <w:marRight w:val="0"/>
          <w:marTop w:val="0"/>
          <w:marBottom w:val="0"/>
          <w:divBdr>
            <w:top w:val="none" w:sz="0" w:space="0" w:color="auto"/>
            <w:left w:val="none" w:sz="0" w:space="0" w:color="auto"/>
            <w:bottom w:val="none" w:sz="0" w:space="0" w:color="auto"/>
            <w:right w:val="none" w:sz="0" w:space="0" w:color="auto"/>
          </w:divBdr>
        </w:div>
        <w:div w:id="804660538">
          <w:marLeft w:val="0"/>
          <w:marRight w:val="0"/>
          <w:marTop w:val="0"/>
          <w:marBottom w:val="0"/>
          <w:divBdr>
            <w:top w:val="none" w:sz="0" w:space="0" w:color="auto"/>
            <w:left w:val="none" w:sz="0" w:space="0" w:color="auto"/>
            <w:bottom w:val="none" w:sz="0" w:space="0" w:color="auto"/>
            <w:right w:val="none" w:sz="0" w:space="0" w:color="auto"/>
          </w:divBdr>
        </w:div>
        <w:div w:id="1723284659">
          <w:marLeft w:val="0"/>
          <w:marRight w:val="0"/>
          <w:marTop w:val="0"/>
          <w:marBottom w:val="0"/>
          <w:divBdr>
            <w:top w:val="none" w:sz="0" w:space="0" w:color="auto"/>
            <w:left w:val="none" w:sz="0" w:space="0" w:color="auto"/>
            <w:bottom w:val="none" w:sz="0" w:space="0" w:color="auto"/>
            <w:right w:val="none" w:sz="0" w:space="0" w:color="auto"/>
          </w:divBdr>
        </w:div>
      </w:divsChild>
    </w:div>
    <w:div w:id="1235816652">
      <w:bodyDiv w:val="1"/>
      <w:marLeft w:val="0"/>
      <w:marRight w:val="0"/>
      <w:marTop w:val="0"/>
      <w:marBottom w:val="0"/>
      <w:divBdr>
        <w:top w:val="none" w:sz="0" w:space="0" w:color="auto"/>
        <w:left w:val="none" w:sz="0" w:space="0" w:color="auto"/>
        <w:bottom w:val="none" w:sz="0" w:space="0" w:color="auto"/>
        <w:right w:val="none" w:sz="0" w:space="0" w:color="auto"/>
      </w:divBdr>
      <w:divsChild>
        <w:div w:id="136340588">
          <w:marLeft w:val="0"/>
          <w:marRight w:val="0"/>
          <w:marTop w:val="0"/>
          <w:marBottom w:val="0"/>
          <w:divBdr>
            <w:top w:val="none" w:sz="0" w:space="0" w:color="auto"/>
            <w:left w:val="none" w:sz="0" w:space="0" w:color="auto"/>
            <w:bottom w:val="none" w:sz="0" w:space="0" w:color="auto"/>
            <w:right w:val="none" w:sz="0" w:space="0" w:color="auto"/>
          </w:divBdr>
        </w:div>
        <w:div w:id="778522545">
          <w:marLeft w:val="0"/>
          <w:marRight w:val="0"/>
          <w:marTop w:val="0"/>
          <w:marBottom w:val="0"/>
          <w:divBdr>
            <w:top w:val="none" w:sz="0" w:space="0" w:color="auto"/>
            <w:left w:val="none" w:sz="0" w:space="0" w:color="auto"/>
            <w:bottom w:val="none" w:sz="0" w:space="0" w:color="auto"/>
            <w:right w:val="none" w:sz="0" w:space="0" w:color="auto"/>
          </w:divBdr>
        </w:div>
        <w:div w:id="1342507975">
          <w:marLeft w:val="0"/>
          <w:marRight w:val="0"/>
          <w:marTop w:val="0"/>
          <w:marBottom w:val="0"/>
          <w:divBdr>
            <w:top w:val="none" w:sz="0" w:space="0" w:color="auto"/>
            <w:left w:val="none" w:sz="0" w:space="0" w:color="auto"/>
            <w:bottom w:val="none" w:sz="0" w:space="0" w:color="auto"/>
            <w:right w:val="none" w:sz="0" w:space="0" w:color="auto"/>
          </w:divBdr>
        </w:div>
        <w:div w:id="1505585975">
          <w:marLeft w:val="0"/>
          <w:marRight w:val="0"/>
          <w:marTop w:val="0"/>
          <w:marBottom w:val="0"/>
          <w:divBdr>
            <w:top w:val="none" w:sz="0" w:space="0" w:color="auto"/>
            <w:left w:val="none" w:sz="0" w:space="0" w:color="auto"/>
            <w:bottom w:val="none" w:sz="0" w:space="0" w:color="auto"/>
            <w:right w:val="none" w:sz="0" w:space="0" w:color="auto"/>
          </w:divBdr>
        </w:div>
        <w:div w:id="1766534360">
          <w:marLeft w:val="0"/>
          <w:marRight w:val="0"/>
          <w:marTop w:val="0"/>
          <w:marBottom w:val="0"/>
          <w:divBdr>
            <w:top w:val="none" w:sz="0" w:space="0" w:color="auto"/>
            <w:left w:val="none" w:sz="0" w:space="0" w:color="auto"/>
            <w:bottom w:val="none" w:sz="0" w:space="0" w:color="auto"/>
            <w:right w:val="none" w:sz="0" w:space="0" w:color="auto"/>
          </w:divBdr>
        </w:div>
        <w:div w:id="1874657579">
          <w:marLeft w:val="0"/>
          <w:marRight w:val="0"/>
          <w:marTop w:val="0"/>
          <w:marBottom w:val="0"/>
          <w:divBdr>
            <w:top w:val="none" w:sz="0" w:space="0" w:color="auto"/>
            <w:left w:val="none" w:sz="0" w:space="0" w:color="auto"/>
            <w:bottom w:val="none" w:sz="0" w:space="0" w:color="auto"/>
            <w:right w:val="none" w:sz="0" w:space="0" w:color="auto"/>
          </w:divBdr>
        </w:div>
        <w:div w:id="1888561151">
          <w:marLeft w:val="0"/>
          <w:marRight w:val="0"/>
          <w:marTop w:val="0"/>
          <w:marBottom w:val="0"/>
          <w:divBdr>
            <w:top w:val="none" w:sz="0" w:space="0" w:color="auto"/>
            <w:left w:val="none" w:sz="0" w:space="0" w:color="auto"/>
            <w:bottom w:val="none" w:sz="0" w:space="0" w:color="auto"/>
            <w:right w:val="none" w:sz="0" w:space="0" w:color="auto"/>
          </w:divBdr>
        </w:div>
        <w:div w:id="2036613394">
          <w:marLeft w:val="0"/>
          <w:marRight w:val="0"/>
          <w:marTop w:val="0"/>
          <w:marBottom w:val="0"/>
          <w:divBdr>
            <w:top w:val="none" w:sz="0" w:space="0" w:color="auto"/>
            <w:left w:val="none" w:sz="0" w:space="0" w:color="auto"/>
            <w:bottom w:val="none" w:sz="0" w:space="0" w:color="auto"/>
            <w:right w:val="none" w:sz="0" w:space="0" w:color="auto"/>
          </w:divBdr>
        </w:div>
      </w:divsChild>
    </w:div>
    <w:div w:id="1414743167">
      <w:bodyDiv w:val="1"/>
      <w:marLeft w:val="0"/>
      <w:marRight w:val="0"/>
      <w:marTop w:val="0"/>
      <w:marBottom w:val="0"/>
      <w:divBdr>
        <w:top w:val="none" w:sz="0" w:space="0" w:color="auto"/>
        <w:left w:val="none" w:sz="0" w:space="0" w:color="auto"/>
        <w:bottom w:val="none" w:sz="0" w:space="0" w:color="auto"/>
        <w:right w:val="none" w:sz="0" w:space="0" w:color="auto"/>
      </w:divBdr>
      <w:divsChild>
        <w:div w:id="679700546">
          <w:marLeft w:val="0"/>
          <w:marRight w:val="0"/>
          <w:marTop w:val="0"/>
          <w:marBottom w:val="0"/>
          <w:divBdr>
            <w:top w:val="none" w:sz="0" w:space="0" w:color="auto"/>
            <w:left w:val="none" w:sz="0" w:space="0" w:color="auto"/>
            <w:bottom w:val="none" w:sz="0" w:space="0" w:color="auto"/>
            <w:right w:val="none" w:sz="0" w:space="0" w:color="auto"/>
          </w:divBdr>
        </w:div>
        <w:div w:id="715616712">
          <w:marLeft w:val="0"/>
          <w:marRight w:val="0"/>
          <w:marTop w:val="0"/>
          <w:marBottom w:val="0"/>
          <w:divBdr>
            <w:top w:val="none" w:sz="0" w:space="0" w:color="auto"/>
            <w:left w:val="none" w:sz="0" w:space="0" w:color="auto"/>
            <w:bottom w:val="none" w:sz="0" w:space="0" w:color="auto"/>
            <w:right w:val="none" w:sz="0" w:space="0" w:color="auto"/>
          </w:divBdr>
        </w:div>
        <w:div w:id="1298678950">
          <w:marLeft w:val="0"/>
          <w:marRight w:val="0"/>
          <w:marTop w:val="0"/>
          <w:marBottom w:val="0"/>
          <w:divBdr>
            <w:top w:val="none" w:sz="0" w:space="0" w:color="auto"/>
            <w:left w:val="none" w:sz="0" w:space="0" w:color="auto"/>
            <w:bottom w:val="none" w:sz="0" w:space="0" w:color="auto"/>
            <w:right w:val="none" w:sz="0" w:space="0" w:color="auto"/>
          </w:divBdr>
        </w:div>
        <w:div w:id="1898974292">
          <w:marLeft w:val="0"/>
          <w:marRight w:val="0"/>
          <w:marTop w:val="0"/>
          <w:marBottom w:val="0"/>
          <w:divBdr>
            <w:top w:val="none" w:sz="0" w:space="0" w:color="auto"/>
            <w:left w:val="none" w:sz="0" w:space="0" w:color="auto"/>
            <w:bottom w:val="none" w:sz="0" w:space="0" w:color="auto"/>
            <w:right w:val="none" w:sz="0" w:space="0" w:color="auto"/>
          </w:divBdr>
        </w:div>
        <w:div w:id="2057076260">
          <w:marLeft w:val="0"/>
          <w:marRight w:val="0"/>
          <w:marTop w:val="0"/>
          <w:marBottom w:val="0"/>
          <w:divBdr>
            <w:top w:val="none" w:sz="0" w:space="0" w:color="auto"/>
            <w:left w:val="none" w:sz="0" w:space="0" w:color="auto"/>
            <w:bottom w:val="none" w:sz="0" w:space="0" w:color="auto"/>
            <w:right w:val="none" w:sz="0" w:space="0" w:color="auto"/>
          </w:divBdr>
        </w:div>
      </w:divsChild>
    </w:div>
    <w:div w:id="1531533033">
      <w:bodyDiv w:val="1"/>
      <w:marLeft w:val="0"/>
      <w:marRight w:val="0"/>
      <w:marTop w:val="0"/>
      <w:marBottom w:val="0"/>
      <w:divBdr>
        <w:top w:val="none" w:sz="0" w:space="0" w:color="auto"/>
        <w:left w:val="none" w:sz="0" w:space="0" w:color="auto"/>
        <w:bottom w:val="none" w:sz="0" w:space="0" w:color="auto"/>
        <w:right w:val="none" w:sz="0" w:space="0" w:color="auto"/>
      </w:divBdr>
      <w:divsChild>
        <w:div w:id="40710880">
          <w:marLeft w:val="0"/>
          <w:marRight w:val="0"/>
          <w:marTop w:val="0"/>
          <w:marBottom w:val="0"/>
          <w:divBdr>
            <w:top w:val="none" w:sz="0" w:space="0" w:color="auto"/>
            <w:left w:val="none" w:sz="0" w:space="0" w:color="auto"/>
            <w:bottom w:val="none" w:sz="0" w:space="0" w:color="auto"/>
            <w:right w:val="none" w:sz="0" w:space="0" w:color="auto"/>
          </w:divBdr>
        </w:div>
        <w:div w:id="147598654">
          <w:marLeft w:val="0"/>
          <w:marRight w:val="0"/>
          <w:marTop w:val="0"/>
          <w:marBottom w:val="0"/>
          <w:divBdr>
            <w:top w:val="none" w:sz="0" w:space="0" w:color="auto"/>
            <w:left w:val="none" w:sz="0" w:space="0" w:color="auto"/>
            <w:bottom w:val="none" w:sz="0" w:space="0" w:color="auto"/>
            <w:right w:val="none" w:sz="0" w:space="0" w:color="auto"/>
          </w:divBdr>
        </w:div>
        <w:div w:id="1567495170">
          <w:marLeft w:val="0"/>
          <w:marRight w:val="0"/>
          <w:marTop w:val="0"/>
          <w:marBottom w:val="0"/>
          <w:divBdr>
            <w:top w:val="none" w:sz="0" w:space="0" w:color="auto"/>
            <w:left w:val="none" w:sz="0" w:space="0" w:color="auto"/>
            <w:bottom w:val="none" w:sz="0" w:space="0" w:color="auto"/>
            <w:right w:val="none" w:sz="0" w:space="0" w:color="auto"/>
          </w:divBdr>
        </w:div>
        <w:div w:id="1900751139">
          <w:marLeft w:val="0"/>
          <w:marRight w:val="0"/>
          <w:marTop w:val="0"/>
          <w:marBottom w:val="0"/>
          <w:divBdr>
            <w:top w:val="none" w:sz="0" w:space="0" w:color="auto"/>
            <w:left w:val="none" w:sz="0" w:space="0" w:color="auto"/>
            <w:bottom w:val="none" w:sz="0" w:space="0" w:color="auto"/>
            <w:right w:val="none" w:sz="0" w:space="0" w:color="auto"/>
          </w:divBdr>
        </w:div>
        <w:div w:id="1954819023">
          <w:marLeft w:val="0"/>
          <w:marRight w:val="0"/>
          <w:marTop w:val="0"/>
          <w:marBottom w:val="0"/>
          <w:divBdr>
            <w:top w:val="none" w:sz="0" w:space="0" w:color="auto"/>
            <w:left w:val="none" w:sz="0" w:space="0" w:color="auto"/>
            <w:bottom w:val="none" w:sz="0" w:space="0" w:color="auto"/>
            <w:right w:val="none" w:sz="0" w:space="0" w:color="auto"/>
          </w:divBdr>
        </w:div>
      </w:divsChild>
    </w:div>
    <w:div w:id="1594246807">
      <w:bodyDiv w:val="1"/>
      <w:marLeft w:val="0"/>
      <w:marRight w:val="0"/>
      <w:marTop w:val="0"/>
      <w:marBottom w:val="0"/>
      <w:divBdr>
        <w:top w:val="none" w:sz="0" w:space="0" w:color="auto"/>
        <w:left w:val="none" w:sz="0" w:space="0" w:color="auto"/>
        <w:bottom w:val="none" w:sz="0" w:space="0" w:color="auto"/>
        <w:right w:val="none" w:sz="0" w:space="0" w:color="auto"/>
      </w:divBdr>
      <w:divsChild>
        <w:div w:id="662700198">
          <w:marLeft w:val="0"/>
          <w:marRight w:val="0"/>
          <w:marTop w:val="0"/>
          <w:marBottom w:val="0"/>
          <w:divBdr>
            <w:top w:val="none" w:sz="0" w:space="0" w:color="auto"/>
            <w:left w:val="none" w:sz="0" w:space="0" w:color="auto"/>
            <w:bottom w:val="none" w:sz="0" w:space="0" w:color="auto"/>
            <w:right w:val="none" w:sz="0" w:space="0" w:color="auto"/>
          </w:divBdr>
          <w:divsChild>
            <w:div w:id="662780823">
              <w:marLeft w:val="0"/>
              <w:marRight w:val="0"/>
              <w:marTop w:val="240"/>
              <w:marBottom w:val="0"/>
              <w:divBdr>
                <w:top w:val="none" w:sz="0" w:space="0" w:color="auto"/>
                <w:left w:val="none" w:sz="0" w:space="0" w:color="auto"/>
                <w:bottom w:val="none" w:sz="0" w:space="0" w:color="auto"/>
                <w:right w:val="none" w:sz="0" w:space="0" w:color="auto"/>
              </w:divBdr>
            </w:div>
          </w:divsChild>
        </w:div>
        <w:div w:id="1702171890">
          <w:marLeft w:val="0"/>
          <w:marRight w:val="0"/>
          <w:marTop w:val="0"/>
          <w:marBottom w:val="0"/>
          <w:divBdr>
            <w:top w:val="none" w:sz="0" w:space="0" w:color="auto"/>
            <w:left w:val="none" w:sz="0" w:space="0" w:color="auto"/>
            <w:bottom w:val="none" w:sz="0" w:space="0" w:color="auto"/>
            <w:right w:val="none" w:sz="0" w:space="0" w:color="auto"/>
          </w:divBdr>
          <w:divsChild>
            <w:div w:id="1259945978">
              <w:marLeft w:val="0"/>
              <w:marRight w:val="0"/>
              <w:marTop w:val="240"/>
              <w:marBottom w:val="0"/>
              <w:divBdr>
                <w:top w:val="none" w:sz="0" w:space="0" w:color="auto"/>
                <w:left w:val="none" w:sz="0" w:space="0" w:color="auto"/>
                <w:bottom w:val="none" w:sz="0" w:space="0" w:color="auto"/>
                <w:right w:val="none" w:sz="0" w:space="0" w:color="auto"/>
              </w:divBdr>
            </w:div>
          </w:divsChild>
        </w:div>
        <w:div w:id="2101870944">
          <w:marLeft w:val="0"/>
          <w:marRight w:val="0"/>
          <w:marTop w:val="0"/>
          <w:marBottom w:val="0"/>
          <w:divBdr>
            <w:top w:val="none" w:sz="0" w:space="0" w:color="auto"/>
            <w:left w:val="none" w:sz="0" w:space="0" w:color="auto"/>
            <w:bottom w:val="none" w:sz="0" w:space="0" w:color="auto"/>
            <w:right w:val="none" w:sz="0" w:space="0" w:color="auto"/>
          </w:divBdr>
          <w:divsChild>
            <w:div w:id="1677462836">
              <w:marLeft w:val="0"/>
              <w:marRight w:val="0"/>
              <w:marTop w:val="240"/>
              <w:marBottom w:val="0"/>
              <w:divBdr>
                <w:top w:val="none" w:sz="0" w:space="0" w:color="auto"/>
                <w:left w:val="none" w:sz="0" w:space="0" w:color="auto"/>
                <w:bottom w:val="none" w:sz="0" w:space="0" w:color="auto"/>
                <w:right w:val="none" w:sz="0" w:space="0" w:color="auto"/>
              </w:divBdr>
              <w:divsChild>
                <w:div w:id="47607665">
                  <w:marLeft w:val="0"/>
                  <w:marRight w:val="0"/>
                  <w:marTop w:val="0"/>
                  <w:marBottom w:val="0"/>
                  <w:divBdr>
                    <w:top w:val="none" w:sz="0" w:space="0" w:color="auto"/>
                    <w:left w:val="none" w:sz="0" w:space="0" w:color="auto"/>
                    <w:bottom w:val="none" w:sz="0" w:space="0" w:color="auto"/>
                    <w:right w:val="none" w:sz="0" w:space="0" w:color="auto"/>
                  </w:divBdr>
                  <w:divsChild>
                    <w:div w:id="253130691">
                      <w:marLeft w:val="0"/>
                      <w:marRight w:val="0"/>
                      <w:marTop w:val="0"/>
                      <w:marBottom w:val="0"/>
                      <w:divBdr>
                        <w:top w:val="none" w:sz="0" w:space="0" w:color="auto"/>
                        <w:left w:val="none" w:sz="0" w:space="0" w:color="auto"/>
                        <w:bottom w:val="none" w:sz="0" w:space="0" w:color="auto"/>
                        <w:right w:val="none" w:sz="0" w:space="0" w:color="auto"/>
                      </w:divBdr>
                    </w:div>
                    <w:div w:id="723411705">
                      <w:marLeft w:val="0"/>
                      <w:marRight w:val="0"/>
                      <w:marTop w:val="0"/>
                      <w:marBottom w:val="0"/>
                      <w:divBdr>
                        <w:top w:val="none" w:sz="0" w:space="0" w:color="auto"/>
                        <w:left w:val="none" w:sz="0" w:space="0" w:color="auto"/>
                        <w:bottom w:val="none" w:sz="0" w:space="0" w:color="auto"/>
                        <w:right w:val="none" w:sz="0" w:space="0" w:color="auto"/>
                      </w:divBdr>
                    </w:div>
                  </w:divsChild>
                </w:div>
                <w:div w:id="1935432444">
                  <w:marLeft w:val="0"/>
                  <w:marRight w:val="0"/>
                  <w:marTop w:val="0"/>
                  <w:marBottom w:val="0"/>
                  <w:divBdr>
                    <w:top w:val="none" w:sz="0" w:space="0" w:color="auto"/>
                    <w:left w:val="none" w:sz="0" w:space="0" w:color="auto"/>
                    <w:bottom w:val="none" w:sz="0" w:space="0" w:color="auto"/>
                    <w:right w:val="none" w:sz="0" w:space="0" w:color="auto"/>
                  </w:divBdr>
                </w:div>
              </w:divsChild>
            </w:div>
            <w:div w:id="19233688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707943530">
      <w:bodyDiv w:val="1"/>
      <w:marLeft w:val="0"/>
      <w:marRight w:val="0"/>
      <w:marTop w:val="0"/>
      <w:marBottom w:val="0"/>
      <w:divBdr>
        <w:top w:val="none" w:sz="0" w:space="0" w:color="auto"/>
        <w:left w:val="none" w:sz="0" w:space="0" w:color="auto"/>
        <w:bottom w:val="none" w:sz="0" w:space="0" w:color="auto"/>
        <w:right w:val="none" w:sz="0" w:space="0" w:color="auto"/>
      </w:divBdr>
      <w:divsChild>
        <w:div w:id="406271859">
          <w:marLeft w:val="0"/>
          <w:marRight w:val="0"/>
          <w:marTop w:val="0"/>
          <w:marBottom w:val="0"/>
          <w:divBdr>
            <w:top w:val="none" w:sz="0" w:space="0" w:color="auto"/>
            <w:left w:val="none" w:sz="0" w:space="0" w:color="auto"/>
            <w:bottom w:val="none" w:sz="0" w:space="0" w:color="auto"/>
            <w:right w:val="none" w:sz="0" w:space="0" w:color="auto"/>
          </w:divBdr>
        </w:div>
        <w:div w:id="625507290">
          <w:marLeft w:val="0"/>
          <w:marRight w:val="0"/>
          <w:marTop w:val="0"/>
          <w:marBottom w:val="0"/>
          <w:divBdr>
            <w:top w:val="none" w:sz="0" w:space="0" w:color="auto"/>
            <w:left w:val="none" w:sz="0" w:space="0" w:color="auto"/>
            <w:bottom w:val="none" w:sz="0" w:space="0" w:color="auto"/>
            <w:right w:val="none" w:sz="0" w:space="0" w:color="auto"/>
          </w:divBdr>
        </w:div>
        <w:div w:id="794716929">
          <w:marLeft w:val="0"/>
          <w:marRight w:val="0"/>
          <w:marTop w:val="0"/>
          <w:marBottom w:val="0"/>
          <w:divBdr>
            <w:top w:val="none" w:sz="0" w:space="0" w:color="auto"/>
            <w:left w:val="none" w:sz="0" w:space="0" w:color="auto"/>
            <w:bottom w:val="none" w:sz="0" w:space="0" w:color="auto"/>
            <w:right w:val="none" w:sz="0" w:space="0" w:color="auto"/>
          </w:divBdr>
        </w:div>
        <w:div w:id="1051269875">
          <w:marLeft w:val="0"/>
          <w:marRight w:val="0"/>
          <w:marTop w:val="0"/>
          <w:marBottom w:val="0"/>
          <w:divBdr>
            <w:top w:val="none" w:sz="0" w:space="0" w:color="auto"/>
            <w:left w:val="none" w:sz="0" w:space="0" w:color="auto"/>
            <w:bottom w:val="none" w:sz="0" w:space="0" w:color="auto"/>
            <w:right w:val="none" w:sz="0" w:space="0" w:color="auto"/>
          </w:divBdr>
        </w:div>
        <w:div w:id="1357778899">
          <w:marLeft w:val="0"/>
          <w:marRight w:val="0"/>
          <w:marTop w:val="0"/>
          <w:marBottom w:val="0"/>
          <w:divBdr>
            <w:top w:val="none" w:sz="0" w:space="0" w:color="auto"/>
            <w:left w:val="none" w:sz="0" w:space="0" w:color="auto"/>
            <w:bottom w:val="none" w:sz="0" w:space="0" w:color="auto"/>
            <w:right w:val="none" w:sz="0" w:space="0" w:color="auto"/>
          </w:divBdr>
        </w:div>
        <w:div w:id="1359818470">
          <w:marLeft w:val="0"/>
          <w:marRight w:val="0"/>
          <w:marTop w:val="0"/>
          <w:marBottom w:val="0"/>
          <w:divBdr>
            <w:top w:val="none" w:sz="0" w:space="0" w:color="auto"/>
            <w:left w:val="none" w:sz="0" w:space="0" w:color="auto"/>
            <w:bottom w:val="none" w:sz="0" w:space="0" w:color="auto"/>
            <w:right w:val="none" w:sz="0" w:space="0" w:color="auto"/>
          </w:divBdr>
        </w:div>
        <w:div w:id="2011331131">
          <w:marLeft w:val="0"/>
          <w:marRight w:val="0"/>
          <w:marTop w:val="0"/>
          <w:marBottom w:val="0"/>
          <w:divBdr>
            <w:top w:val="none" w:sz="0" w:space="0" w:color="auto"/>
            <w:left w:val="none" w:sz="0" w:space="0" w:color="auto"/>
            <w:bottom w:val="none" w:sz="0" w:space="0" w:color="auto"/>
            <w:right w:val="none" w:sz="0" w:space="0" w:color="auto"/>
          </w:divBdr>
        </w:div>
        <w:div w:id="2018072010">
          <w:marLeft w:val="0"/>
          <w:marRight w:val="0"/>
          <w:marTop w:val="0"/>
          <w:marBottom w:val="0"/>
          <w:divBdr>
            <w:top w:val="none" w:sz="0" w:space="0" w:color="auto"/>
            <w:left w:val="none" w:sz="0" w:space="0" w:color="auto"/>
            <w:bottom w:val="none" w:sz="0" w:space="0" w:color="auto"/>
            <w:right w:val="none" w:sz="0" w:space="0" w:color="auto"/>
          </w:divBdr>
        </w:div>
      </w:divsChild>
    </w:div>
    <w:div w:id="1757045563">
      <w:bodyDiv w:val="1"/>
      <w:marLeft w:val="0"/>
      <w:marRight w:val="0"/>
      <w:marTop w:val="0"/>
      <w:marBottom w:val="0"/>
      <w:divBdr>
        <w:top w:val="none" w:sz="0" w:space="0" w:color="auto"/>
        <w:left w:val="none" w:sz="0" w:space="0" w:color="auto"/>
        <w:bottom w:val="none" w:sz="0" w:space="0" w:color="auto"/>
        <w:right w:val="none" w:sz="0" w:space="0" w:color="auto"/>
      </w:divBdr>
    </w:div>
    <w:div w:id="1821801266">
      <w:bodyDiv w:val="1"/>
      <w:marLeft w:val="0"/>
      <w:marRight w:val="0"/>
      <w:marTop w:val="0"/>
      <w:marBottom w:val="0"/>
      <w:divBdr>
        <w:top w:val="none" w:sz="0" w:space="0" w:color="auto"/>
        <w:left w:val="none" w:sz="0" w:space="0" w:color="auto"/>
        <w:bottom w:val="none" w:sz="0" w:space="0" w:color="auto"/>
        <w:right w:val="none" w:sz="0" w:space="0" w:color="auto"/>
      </w:divBdr>
    </w:div>
    <w:div w:id="1833519878">
      <w:bodyDiv w:val="1"/>
      <w:marLeft w:val="0"/>
      <w:marRight w:val="0"/>
      <w:marTop w:val="0"/>
      <w:marBottom w:val="0"/>
      <w:divBdr>
        <w:top w:val="none" w:sz="0" w:space="0" w:color="auto"/>
        <w:left w:val="none" w:sz="0" w:space="0" w:color="auto"/>
        <w:bottom w:val="none" w:sz="0" w:space="0" w:color="auto"/>
        <w:right w:val="none" w:sz="0" w:space="0" w:color="auto"/>
      </w:divBdr>
      <w:divsChild>
        <w:div w:id="787352623">
          <w:marLeft w:val="0"/>
          <w:marRight w:val="0"/>
          <w:marTop w:val="0"/>
          <w:marBottom w:val="0"/>
          <w:divBdr>
            <w:top w:val="none" w:sz="0" w:space="0" w:color="auto"/>
            <w:left w:val="none" w:sz="0" w:space="0" w:color="auto"/>
            <w:bottom w:val="none" w:sz="0" w:space="0" w:color="auto"/>
            <w:right w:val="none" w:sz="0" w:space="0" w:color="auto"/>
          </w:divBdr>
          <w:divsChild>
            <w:div w:id="32006582">
              <w:marLeft w:val="0"/>
              <w:marRight w:val="0"/>
              <w:marTop w:val="240"/>
              <w:marBottom w:val="0"/>
              <w:divBdr>
                <w:top w:val="none" w:sz="0" w:space="0" w:color="auto"/>
                <w:left w:val="none" w:sz="0" w:space="0" w:color="auto"/>
                <w:bottom w:val="none" w:sz="0" w:space="0" w:color="auto"/>
                <w:right w:val="none" w:sz="0" w:space="0" w:color="auto"/>
              </w:divBdr>
            </w:div>
          </w:divsChild>
        </w:div>
        <w:div w:id="924730222">
          <w:marLeft w:val="0"/>
          <w:marRight w:val="0"/>
          <w:marTop w:val="0"/>
          <w:marBottom w:val="0"/>
          <w:divBdr>
            <w:top w:val="none" w:sz="0" w:space="0" w:color="auto"/>
            <w:left w:val="none" w:sz="0" w:space="0" w:color="auto"/>
            <w:bottom w:val="none" w:sz="0" w:space="0" w:color="auto"/>
            <w:right w:val="none" w:sz="0" w:space="0" w:color="auto"/>
          </w:divBdr>
          <w:divsChild>
            <w:div w:id="291786902">
              <w:marLeft w:val="0"/>
              <w:marRight w:val="0"/>
              <w:marTop w:val="240"/>
              <w:marBottom w:val="0"/>
              <w:divBdr>
                <w:top w:val="none" w:sz="0" w:space="0" w:color="auto"/>
                <w:left w:val="none" w:sz="0" w:space="0" w:color="auto"/>
                <w:bottom w:val="none" w:sz="0" w:space="0" w:color="auto"/>
                <w:right w:val="none" w:sz="0" w:space="0" w:color="auto"/>
              </w:divBdr>
            </w:div>
          </w:divsChild>
        </w:div>
        <w:div w:id="2107529366">
          <w:marLeft w:val="0"/>
          <w:marRight w:val="0"/>
          <w:marTop w:val="0"/>
          <w:marBottom w:val="0"/>
          <w:divBdr>
            <w:top w:val="none" w:sz="0" w:space="0" w:color="auto"/>
            <w:left w:val="none" w:sz="0" w:space="0" w:color="auto"/>
            <w:bottom w:val="none" w:sz="0" w:space="0" w:color="auto"/>
            <w:right w:val="none" w:sz="0" w:space="0" w:color="auto"/>
          </w:divBdr>
          <w:divsChild>
            <w:div w:id="1584333638">
              <w:marLeft w:val="0"/>
              <w:marRight w:val="0"/>
              <w:marTop w:val="240"/>
              <w:marBottom w:val="0"/>
              <w:divBdr>
                <w:top w:val="none" w:sz="0" w:space="0" w:color="auto"/>
                <w:left w:val="none" w:sz="0" w:space="0" w:color="auto"/>
                <w:bottom w:val="none" w:sz="0" w:space="0" w:color="auto"/>
                <w:right w:val="none" w:sz="0" w:space="0" w:color="auto"/>
              </w:divBdr>
            </w:div>
            <w:div w:id="1840462315">
              <w:marLeft w:val="0"/>
              <w:marRight w:val="0"/>
              <w:marTop w:val="240"/>
              <w:marBottom w:val="0"/>
              <w:divBdr>
                <w:top w:val="none" w:sz="0" w:space="0" w:color="auto"/>
                <w:left w:val="none" w:sz="0" w:space="0" w:color="auto"/>
                <w:bottom w:val="none" w:sz="0" w:space="0" w:color="auto"/>
                <w:right w:val="none" w:sz="0" w:space="0" w:color="auto"/>
              </w:divBdr>
              <w:divsChild>
                <w:div w:id="216013154">
                  <w:marLeft w:val="0"/>
                  <w:marRight w:val="0"/>
                  <w:marTop w:val="0"/>
                  <w:marBottom w:val="0"/>
                  <w:divBdr>
                    <w:top w:val="none" w:sz="0" w:space="0" w:color="auto"/>
                    <w:left w:val="none" w:sz="0" w:space="0" w:color="auto"/>
                    <w:bottom w:val="none" w:sz="0" w:space="0" w:color="auto"/>
                    <w:right w:val="none" w:sz="0" w:space="0" w:color="auto"/>
                  </w:divBdr>
                </w:div>
                <w:div w:id="361562482">
                  <w:marLeft w:val="0"/>
                  <w:marRight w:val="0"/>
                  <w:marTop w:val="0"/>
                  <w:marBottom w:val="0"/>
                  <w:divBdr>
                    <w:top w:val="none" w:sz="0" w:space="0" w:color="auto"/>
                    <w:left w:val="none" w:sz="0" w:space="0" w:color="auto"/>
                    <w:bottom w:val="none" w:sz="0" w:space="0" w:color="auto"/>
                    <w:right w:val="none" w:sz="0" w:space="0" w:color="auto"/>
                  </w:divBdr>
                  <w:divsChild>
                    <w:div w:id="240796013">
                      <w:marLeft w:val="0"/>
                      <w:marRight w:val="0"/>
                      <w:marTop w:val="0"/>
                      <w:marBottom w:val="0"/>
                      <w:divBdr>
                        <w:top w:val="none" w:sz="0" w:space="0" w:color="auto"/>
                        <w:left w:val="none" w:sz="0" w:space="0" w:color="auto"/>
                        <w:bottom w:val="none" w:sz="0" w:space="0" w:color="auto"/>
                        <w:right w:val="none" w:sz="0" w:space="0" w:color="auto"/>
                      </w:divBdr>
                    </w:div>
                    <w:div w:id="148728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882046">
      <w:bodyDiv w:val="1"/>
      <w:marLeft w:val="0"/>
      <w:marRight w:val="0"/>
      <w:marTop w:val="0"/>
      <w:marBottom w:val="0"/>
      <w:divBdr>
        <w:top w:val="none" w:sz="0" w:space="0" w:color="auto"/>
        <w:left w:val="none" w:sz="0" w:space="0" w:color="auto"/>
        <w:bottom w:val="none" w:sz="0" w:space="0" w:color="auto"/>
        <w:right w:val="none" w:sz="0" w:space="0" w:color="auto"/>
      </w:divBdr>
      <w:divsChild>
        <w:div w:id="455024895">
          <w:marLeft w:val="0"/>
          <w:marRight w:val="0"/>
          <w:marTop w:val="0"/>
          <w:marBottom w:val="0"/>
          <w:divBdr>
            <w:top w:val="none" w:sz="0" w:space="0" w:color="auto"/>
            <w:left w:val="none" w:sz="0" w:space="0" w:color="auto"/>
            <w:bottom w:val="none" w:sz="0" w:space="0" w:color="auto"/>
            <w:right w:val="none" w:sz="0" w:space="0" w:color="auto"/>
          </w:divBdr>
          <w:divsChild>
            <w:div w:id="835153318">
              <w:marLeft w:val="0"/>
              <w:marRight w:val="0"/>
              <w:marTop w:val="240"/>
              <w:marBottom w:val="0"/>
              <w:divBdr>
                <w:top w:val="none" w:sz="0" w:space="0" w:color="auto"/>
                <w:left w:val="none" w:sz="0" w:space="0" w:color="auto"/>
                <w:bottom w:val="none" w:sz="0" w:space="0" w:color="auto"/>
                <w:right w:val="none" w:sz="0" w:space="0" w:color="auto"/>
              </w:divBdr>
            </w:div>
          </w:divsChild>
        </w:div>
        <w:div w:id="1414204457">
          <w:marLeft w:val="0"/>
          <w:marRight w:val="0"/>
          <w:marTop w:val="0"/>
          <w:marBottom w:val="0"/>
          <w:divBdr>
            <w:top w:val="none" w:sz="0" w:space="0" w:color="auto"/>
            <w:left w:val="none" w:sz="0" w:space="0" w:color="auto"/>
            <w:bottom w:val="none" w:sz="0" w:space="0" w:color="auto"/>
            <w:right w:val="none" w:sz="0" w:space="0" w:color="auto"/>
          </w:divBdr>
          <w:divsChild>
            <w:div w:id="297034421">
              <w:marLeft w:val="0"/>
              <w:marRight w:val="0"/>
              <w:marTop w:val="240"/>
              <w:marBottom w:val="0"/>
              <w:divBdr>
                <w:top w:val="none" w:sz="0" w:space="0" w:color="auto"/>
                <w:left w:val="none" w:sz="0" w:space="0" w:color="auto"/>
                <w:bottom w:val="none" w:sz="0" w:space="0" w:color="auto"/>
                <w:right w:val="none" w:sz="0" w:space="0" w:color="auto"/>
              </w:divBdr>
            </w:div>
            <w:div w:id="1899511778">
              <w:marLeft w:val="0"/>
              <w:marRight w:val="0"/>
              <w:marTop w:val="240"/>
              <w:marBottom w:val="0"/>
              <w:divBdr>
                <w:top w:val="none" w:sz="0" w:space="0" w:color="auto"/>
                <w:left w:val="none" w:sz="0" w:space="0" w:color="auto"/>
                <w:bottom w:val="none" w:sz="0" w:space="0" w:color="auto"/>
                <w:right w:val="none" w:sz="0" w:space="0" w:color="auto"/>
              </w:divBdr>
              <w:divsChild>
                <w:div w:id="1918393997">
                  <w:marLeft w:val="0"/>
                  <w:marRight w:val="0"/>
                  <w:marTop w:val="0"/>
                  <w:marBottom w:val="0"/>
                  <w:divBdr>
                    <w:top w:val="none" w:sz="0" w:space="0" w:color="auto"/>
                    <w:left w:val="none" w:sz="0" w:space="0" w:color="auto"/>
                    <w:bottom w:val="none" w:sz="0" w:space="0" w:color="auto"/>
                    <w:right w:val="none" w:sz="0" w:space="0" w:color="auto"/>
                  </w:divBdr>
                </w:div>
                <w:div w:id="2054309559">
                  <w:marLeft w:val="0"/>
                  <w:marRight w:val="0"/>
                  <w:marTop w:val="0"/>
                  <w:marBottom w:val="0"/>
                  <w:divBdr>
                    <w:top w:val="none" w:sz="0" w:space="0" w:color="auto"/>
                    <w:left w:val="none" w:sz="0" w:space="0" w:color="auto"/>
                    <w:bottom w:val="none" w:sz="0" w:space="0" w:color="auto"/>
                    <w:right w:val="none" w:sz="0" w:space="0" w:color="auto"/>
                  </w:divBdr>
                  <w:divsChild>
                    <w:div w:id="182099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215588">
          <w:marLeft w:val="0"/>
          <w:marRight w:val="0"/>
          <w:marTop w:val="0"/>
          <w:marBottom w:val="0"/>
          <w:divBdr>
            <w:top w:val="none" w:sz="0" w:space="0" w:color="auto"/>
            <w:left w:val="none" w:sz="0" w:space="0" w:color="auto"/>
            <w:bottom w:val="none" w:sz="0" w:space="0" w:color="auto"/>
            <w:right w:val="none" w:sz="0" w:space="0" w:color="auto"/>
          </w:divBdr>
          <w:divsChild>
            <w:div w:id="25135746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93605237">
      <w:bodyDiv w:val="1"/>
      <w:marLeft w:val="0"/>
      <w:marRight w:val="0"/>
      <w:marTop w:val="0"/>
      <w:marBottom w:val="0"/>
      <w:divBdr>
        <w:top w:val="none" w:sz="0" w:space="0" w:color="auto"/>
        <w:left w:val="none" w:sz="0" w:space="0" w:color="auto"/>
        <w:bottom w:val="none" w:sz="0" w:space="0" w:color="auto"/>
        <w:right w:val="none" w:sz="0" w:space="0" w:color="auto"/>
      </w:divBdr>
      <w:divsChild>
        <w:div w:id="136190351">
          <w:marLeft w:val="0"/>
          <w:marRight w:val="0"/>
          <w:marTop w:val="0"/>
          <w:marBottom w:val="0"/>
          <w:divBdr>
            <w:top w:val="none" w:sz="0" w:space="0" w:color="auto"/>
            <w:left w:val="none" w:sz="0" w:space="0" w:color="auto"/>
            <w:bottom w:val="none" w:sz="0" w:space="0" w:color="auto"/>
            <w:right w:val="none" w:sz="0" w:space="0" w:color="auto"/>
          </w:divBdr>
          <w:divsChild>
            <w:div w:id="429007287">
              <w:marLeft w:val="0"/>
              <w:marRight w:val="0"/>
              <w:marTop w:val="240"/>
              <w:marBottom w:val="0"/>
              <w:divBdr>
                <w:top w:val="none" w:sz="0" w:space="0" w:color="auto"/>
                <w:left w:val="none" w:sz="0" w:space="0" w:color="auto"/>
                <w:bottom w:val="none" w:sz="0" w:space="0" w:color="auto"/>
                <w:right w:val="none" w:sz="0" w:space="0" w:color="auto"/>
              </w:divBdr>
              <w:divsChild>
                <w:div w:id="520707923">
                  <w:marLeft w:val="0"/>
                  <w:marRight w:val="0"/>
                  <w:marTop w:val="0"/>
                  <w:marBottom w:val="0"/>
                  <w:divBdr>
                    <w:top w:val="none" w:sz="0" w:space="0" w:color="auto"/>
                    <w:left w:val="none" w:sz="0" w:space="0" w:color="auto"/>
                    <w:bottom w:val="none" w:sz="0" w:space="0" w:color="auto"/>
                    <w:right w:val="none" w:sz="0" w:space="0" w:color="auto"/>
                  </w:divBdr>
                  <w:divsChild>
                    <w:div w:id="567157673">
                      <w:marLeft w:val="0"/>
                      <w:marRight w:val="0"/>
                      <w:marTop w:val="0"/>
                      <w:marBottom w:val="0"/>
                      <w:divBdr>
                        <w:top w:val="none" w:sz="0" w:space="0" w:color="auto"/>
                        <w:left w:val="none" w:sz="0" w:space="0" w:color="auto"/>
                        <w:bottom w:val="none" w:sz="0" w:space="0" w:color="auto"/>
                        <w:right w:val="none" w:sz="0" w:space="0" w:color="auto"/>
                      </w:divBdr>
                    </w:div>
                  </w:divsChild>
                </w:div>
                <w:div w:id="816187710">
                  <w:marLeft w:val="0"/>
                  <w:marRight w:val="0"/>
                  <w:marTop w:val="0"/>
                  <w:marBottom w:val="0"/>
                  <w:divBdr>
                    <w:top w:val="none" w:sz="0" w:space="0" w:color="auto"/>
                    <w:left w:val="none" w:sz="0" w:space="0" w:color="auto"/>
                    <w:bottom w:val="none" w:sz="0" w:space="0" w:color="auto"/>
                    <w:right w:val="none" w:sz="0" w:space="0" w:color="auto"/>
                  </w:divBdr>
                </w:div>
              </w:divsChild>
            </w:div>
            <w:div w:id="1781758235">
              <w:marLeft w:val="0"/>
              <w:marRight w:val="0"/>
              <w:marTop w:val="240"/>
              <w:marBottom w:val="0"/>
              <w:divBdr>
                <w:top w:val="none" w:sz="0" w:space="0" w:color="auto"/>
                <w:left w:val="none" w:sz="0" w:space="0" w:color="auto"/>
                <w:bottom w:val="none" w:sz="0" w:space="0" w:color="auto"/>
                <w:right w:val="none" w:sz="0" w:space="0" w:color="auto"/>
              </w:divBdr>
            </w:div>
          </w:divsChild>
        </w:div>
        <w:div w:id="1256665744">
          <w:marLeft w:val="0"/>
          <w:marRight w:val="0"/>
          <w:marTop w:val="0"/>
          <w:marBottom w:val="0"/>
          <w:divBdr>
            <w:top w:val="none" w:sz="0" w:space="0" w:color="auto"/>
            <w:left w:val="none" w:sz="0" w:space="0" w:color="auto"/>
            <w:bottom w:val="none" w:sz="0" w:space="0" w:color="auto"/>
            <w:right w:val="none" w:sz="0" w:space="0" w:color="auto"/>
          </w:divBdr>
          <w:divsChild>
            <w:div w:id="317928333">
              <w:marLeft w:val="0"/>
              <w:marRight w:val="0"/>
              <w:marTop w:val="240"/>
              <w:marBottom w:val="0"/>
              <w:divBdr>
                <w:top w:val="none" w:sz="0" w:space="0" w:color="auto"/>
                <w:left w:val="none" w:sz="0" w:space="0" w:color="auto"/>
                <w:bottom w:val="none" w:sz="0" w:space="0" w:color="auto"/>
                <w:right w:val="none" w:sz="0" w:space="0" w:color="auto"/>
              </w:divBdr>
            </w:div>
          </w:divsChild>
        </w:div>
        <w:div w:id="1398553934">
          <w:marLeft w:val="0"/>
          <w:marRight w:val="0"/>
          <w:marTop w:val="0"/>
          <w:marBottom w:val="0"/>
          <w:divBdr>
            <w:top w:val="none" w:sz="0" w:space="0" w:color="auto"/>
            <w:left w:val="none" w:sz="0" w:space="0" w:color="auto"/>
            <w:bottom w:val="none" w:sz="0" w:space="0" w:color="auto"/>
            <w:right w:val="none" w:sz="0" w:space="0" w:color="auto"/>
          </w:divBdr>
          <w:divsChild>
            <w:div w:id="1375349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107846708">
      <w:bodyDiv w:val="1"/>
      <w:marLeft w:val="0"/>
      <w:marRight w:val="0"/>
      <w:marTop w:val="0"/>
      <w:marBottom w:val="0"/>
      <w:divBdr>
        <w:top w:val="none" w:sz="0" w:space="0" w:color="auto"/>
        <w:left w:val="none" w:sz="0" w:space="0" w:color="auto"/>
        <w:bottom w:val="none" w:sz="0" w:space="0" w:color="auto"/>
        <w:right w:val="none" w:sz="0" w:space="0" w:color="auto"/>
      </w:divBdr>
      <w:divsChild>
        <w:div w:id="189148575">
          <w:marLeft w:val="0"/>
          <w:marRight w:val="0"/>
          <w:marTop w:val="0"/>
          <w:marBottom w:val="0"/>
          <w:divBdr>
            <w:top w:val="none" w:sz="0" w:space="0" w:color="auto"/>
            <w:left w:val="none" w:sz="0" w:space="0" w:color="auto"/>
            <w:bottom w:val="none" w:sz="0" w:space="0" w:color="auto"/>
            <w:right w:val="none" w:sz="0" w:space="0" w:color="auto"/>
          </w:divBdr>
        </w:div>
        <w:div w:id="1265383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E4C3-430D-42D7-8C8E-C79A5F8EDD0A}">
  <ds:schemaRefs>
    <ds:schemaRef ds:uri="http://schemas.microsoft.com/office/infopath/2007/PartnerControls"/>
    <ds:schemaRef ds:uri="http://schemas.openxmlformats.org/package/2006/metadata/core-properties"/>
    <ds:schemaRef ds:uri="http://schemas.microsoft.com/sharepoint/v3"/>
    <ds:schemaRef ds:uri="http://schemas.microsoft.com/office/2006/documentManagement/types"/>
    <ds:schemaRef ds:uri="http://purl.org/dc/terms/"/>
    <ds:schemaRef ds:uri="http://schemas.microsoft.com/office/2006/metadata/properties"/>
    <ds:schemaRef ds:uri="e1debc6b-b43f-4dc7-a7b0-dc87a290d3c1"/>
    <ds:schemaRef ds:uri="http://purl.org/dc/dcmitype/"/>
    <ds:schemaRef ds:uri="1bece07b-d03c-423c-b8a0-beed4db0bbc2"/>
    <ds:schemaRef ds:uri="http://www.w3.org/XML/1998/namespace"/>
    <ds:schemaRef ds:uri="http://purl.org/dc/elements/1.1/"/>
  </ds:schemaRefs>
</ds:datastoreItem>
</file>

<file path=customXml/itemProps2.xml><?xml version="1.0" encoding="utf-8"?>
<ds:datastoreItem xmlns:ds="http://schemas.openxmlformats.org/officeDocument/2006/customXml" ds:itemID="{B528F551-1CF0-4E77-AE35-9F9CDE54F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4.xml><?xml version="1.0" encoding="utf-8"?>
<ds:datastoreItem xmlns:ds="http://schemas.openxmlformats.org/officeDocument/2006/customXml" ds:itemID="{0159C539-4763-48FA-A8BC-010CF74C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6</Pages>
  <Words>1544</Words>
  <Characters>8803</Characters>
  <Application>Microsoft Office Word</Application>
  <DocSecurity>0</DocSecurity>
  <Lines>73</Lines>
  <Paragraphs>20</Paragraphs>
  <ScaleCrop>false</ScaleCrop>
  <Manager/>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cp:lastPrinted>2026-01-31T04:37:00Z</cp:lastPrinted>
  <dcterms:created xsi:type="dcterms:W3CDTF">2026-05-06T13:51:00Z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6</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